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514826"/>
        <w:docPartObj>
          <w:docPartGallery w:val="Cover Pages"/>
          <w:docPartUnique/>
        </w:docPartObj>
      </w:sdtPr>
      <w:sdtEndPr>
        <w:rPr>
          <w:rFonts w:ascii="Cambria" w:hAnsi="Cambria"/>
          <w:b/>
          <w:bCs/>
          <w:sz w:val="28"/>
          <w:szCs w:val="28"/>
        </w:rPr>
      </w:sdtEndPr>
      <w:sdtContent>
        <w:p w14:paraId="336BC7C9" w14:textId="16CB06B0" w:rsidR="00661B51" w:rsidRPr="00456405" w:rsidRDefault="00661B5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85"/>
          </w:tblGrid>
          <w:tr w:rsidR="00456405" w:rsidRPr="00456405" w14:paraId="44E20391" w14:textId="77777777">
            <w:sdt>
              <w:sdtPr>
                <w:rPr>
                  <w:sz w:val="24"/>
                  <w:szCs w:val="24"/>
                </w:rPr>
                <w:alias w:val="Company"/>
                <w:id w:val="13406915"/>
                <w:placeholder>
                  <w:docPart w:val="3AA2E80F4B0F44238FB9626365AF974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DC4223" w14:textId="17002BE5" w:rsidR="00661B51" w:rsidRPr="00456405" w:rsidRDefault="00661B51">
                    <w:pPr>
                      <w:pStyle w:val="NoSpacing"/>
                      <w:rPr>
                        <w:sz w:val="24"/>
                      </w:rPr>
                    </w:pPr>
                    <w:r w:rsidRPr="00456405">
                      <w:rPr>
                        <w:sz w:val="24"/>
                        <w:szCs w:val="24"/>
                      </w:rPr>
                      <w:t>Queens University, Belfast</w:t>
                    </w:r>
                  </w:p>
                </w:tc>
              </w:sdtContent>
            </w:sdt>
          </w:tr>
          <w:tr w:rsidR="00456405" w:rsidRPr="00456405" w14:paraId="49F73A3C" w14:textId="77777777">
            <w:tc>
              <w:tcPr>
                <w:tcW w:w="7672" w:type="dxa"/>
              </w:tcPr>
              <w:sdt>
                <w:sdtPr>
                  <w:rPr>
                    <w:rFonts w:asciiTheme="majorHAnsi" w:eastAsiaTheme="majorEastAsia" w:hAnsiTheme="majorHAnsi" w:cstheme="majorBidi"/>
                    <w:sz w:val="88"/>
                    <w:szCs w:val="88"/>
                  </w:rPr>
                  <w:alias w:val="Title"/>
                  <w:id w:val="13406919"/>
                  <w:placeholder>
                    <w:docPart w:val="095D997A72E84AB6BEE5A576A0626FED"/>
                  </w:placeholder>
                  <w:dataBinding w:prefixMappings="xmlns:ns0='http://schemas.openxmlformats.org/package/2006/metadata/core-properties' xmlns:ns1='http://purl.org/dc/elements/1.1/'" w:xpath="/ns0:coreProperties[1]/ns1:title[1]" w:storeItemID="{6C3C8BC8-F283-45AE-878A-BAB7291924A1}"/>
                  <w:text/>
                </w:sdtPr>
                <w:sdtContent>
                  <w:p w14:paraId="2DAFBD20" w14:textId="7F43AED7" w:rsidR="00661B51" w:rsidRPr="00456405" w:rsidRDefault="00661B51">
                    <w:pPr>
                      <w:pStyle w:val="NoSpacing"/>
                      <w:spacing w:line="216" w:lineRule="auto"/>
                      <w:rPr>
                        <w:rFonts w:asciiTheme="majorHAnsi" w:eastAsiaTheme="majorEastAsia" w:hAnsiTheme="majorHAnsi" w:cstheme="majorBidi"/>
                        <w:sz w:val="88"/>
                        <w:szCs w:val="88"/>
                      </w:rPr>
                    </w:pPr>
                    <w:r w:rsidRPr="00456405">
                      <w:rPr>
                        <w:rFonts w:asciiTheme="majorHAnsi" w:eastAsiaTheme="majorEastAsia" w:hAnsiTheme="majorHAnsi" w:cstheme="majorBidi"/>
                        <w:sz w:val="88"/>
                        <w:szCs w:val="88"/>
                      </w:rPr>
                      <w:t>FIN7022: Credit Risk Management</w:t>
                    </w:r>
                  </w:p>
                </w:sdtContent>
              </w:sdt>
            </w:tc>
          </w:tr>
          <w:tr w:rsidR="00456405" w:rsidRPr="00456405" w14:paraId="0D7454D5" w14:textId="77777777">
            <w:sdt>
              <w:sdtPr>
                <w:rPr>
                  <w:sz w:val="24"/>
                  <w:szCs w:val="24"/>
                </w:rPr>
                <w:alias w:val="Subtitle"/>
                <w:id w:val="13406923"/>
                <w:placeholder>
                  <w:docPart w:val="A8008A1DEAFA4C6684C5A7BC65658ED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C81DFD2" w14:textId="6F83ED81" w:rsidR="00661B51" w:rsidRPr="00456405" w:rsidRDefault="00661B51">
                    <w:pPr>
                      <w:pStyle w:val="NoSpacing"/>
                      <w:rPr>
                        <w:sz w:val="24"/>
                      </w:rPr>
                    </w:pPr>
                    <w:r w:rsidRPr="00456405">
                      <w:rPr>
                        <w:sz w:val="24"/>
                        <w:szCs w:val="24"/>
                      </w:rPr>
                      <w:t xml:space="preserve">Word Count </w:t>
                    </w:r>
                    <w:r w:rsidR="00967B35">
                      <w:rPr>
                        <w:sz w:val="24"/>
                        <w:szCs w:val="24"/>
                      </w:rPr>
                      <w:t>(</w:t>
                    </w:r>
                    <w:r w:rsidRPr="00456405">
                      <w:rPr>
                        <w:sz w:val="24"/>
                        <w:szCs w:val="24"/>
                      </w:rPr>
                      <w:t xml:space="preserve">excluding footnotes, textboxes, </w:t>
                    </w:r>
                    <w:r w:rsidR="001B7F7F" w:rsidRPr="00456405">
                      <w:rPr>
                        <w:sz w:val="24"/>
                        <w:szCs w:val="24"/>
                      </w:rPr>
                      <w:t xml:space="preserve">appendix, </w:t>
                    </w:r>
                    <w:r w:rsidRPr="00456405">
                      <w:rPr>
                        <w:sz w:val="24"/>
                        <w:szCs w:val="24"/>
                      </w:rPr>
                      <w:t xml:space="preserve">references and </w:t>
                    </w:r>
                    <w:r w:rsidR="00456405" w:rsidRPr="00456405">
                      <w:rPr>
                        <w:sz w:val="24"/>
                        <w:szCs w:val="24"/>
                      </w:rPr>
                      <w:t>endnotes</w:t>
                    </w:r>
                    <w:r w:rsidR="00967B35">
                      <w:rPr>
                        <w:sz w:val="24"/>
                        <w:szCs w:val="24"/>
                      </w:rPr>
                      <w:t>)</w:t>
                    </w:r>
                    <w:r w:rsidR="00456405" w:rsidRPr="00456405">
                      <w:rPr>
                        <w:sz w:val="24"/>
                        <w:szCs w:val="24"/>
                      </w:rPr>
                      <w:t>:</w:t>
                    </w:r>
                    <w:r w:rsidRPr="00456405">
                      <w:rPr>
                        <w:sz w:val="24"/>
                        <w:szCs w:val="24"/>
                      </w:rPr>
                      <w:t xml:space="preserve"> </w:t>
                    </w:r>
                    <w:r w:rsidR="001B7F7F" w:rsidRPr="00456405">
                      <w:rPr>
                        <w:sz w:val="24"/>
                        <w:szCs w:val="24"/>
                      </w:rPr>
                      <w:t>4982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456405" w:rsidRPr="00456405" w14:paraId="1CAAB82A" w14:textId="77777777">
            <w:tc>
              <w:tcPr>
                <w:tcW w:w="7221" w:type="dxa"/>
                <w:tcMar>
                  <w:top w:w="216" w:type="dxa"/>
                  <w:left w:w="115" w:type="dxa"/>
                  <w:bottom w:w="216" w:type="dxa"/>
                  <w:right w:w="115" w:type="dxa"/>
                </w:tcMar>
              </w:tcPr>
              <w:sdt>
                <w:sdtPr>
                  <w:rPr>
                    <w:sz w:val="28"/>
                    <w:szCs w:val="28"/>
                  </w:rPr>
                  <w:alias w:val="Author"/>
                  <w:id w:val="13406928"/>
                  <w:placeholder>
                    <w:docPart w:val="8322FEB739EA4CD18A75C6829822A93A"/>
                  </w:placeholder>
                  <w:dataBinding w:prefixMappings="xmlns:ns0='http://schemas.openxmlformats.org/package/2006/metadata/core-properties' xmlns:ns1='http://purl.org/dc/elements/1.1/'" w:xpath="/ns0:coreProperties[1]/ns1:creator[1]" w:storeItemID="{6C3C8BC8-F283-45AE-878A-BAB7291924A1}"/>
                  <w:text/>
                </w:sdtPr>
                <w:sdtContent>
                  <w:p w14:paraId="42E7252D" w14:textId="2F76C4C1" w:rsidR="00661B51" w:rsidRPr="00456405" w:rsidRDefault="00661B51">
                    <w:pPr>
                      <w:pStyle w:val="NoSpacing"/>
                      <w:rPr>
                        <w:sz w:val="28"/>
                        <w:szCs w:val="28"/>
                      </w:rPr>
                    </w:pPr>
                    <w:r w:rsidRPr="00456405">
                      <w:rPr>
                        <w:sz w:val="28"/>
                        <w:szCs w:val="28"/>
                      </w:rPr>
                      <w:t>Syed Ya</w:t>
                    </w:r>
                    <w:r w:rsidR="00456405">
                      <w:rPr>
                        <w:sz w:val="28"/>
                        <w:szCs w:val="28"/>
                      </w:rPr>
                      <w:t>s</w:t>
                    </w:r>
                    <w:r w:rsidRPr="00456405">
                      <w:rPr>
                        <w:sz w:val="28"/>
                        <w:szCs w:val="28"/>
                      </w:rPr>
                      <w:t>eer Rahman</w:t>
                    </w:r>
                    <w:r w:rsidR="00814466" w:rsidRPr="00456405">
                      <w:rPr>
                        <w:sz w:val="28"/>
                        <w:szCs w:val="28"/>
                      </w:rPr>
                      <w:t xml:space="preserve"> - 40455377</w:t>
                    </w:r>
                  </w:p>
                </w:sdtContent>
              </w:sdt>
              <w:sdt>
                <w:sdtPr>
                  <w:rPr>
                    <w:sz w:val="28"/>
                    <w:szCs w:val="28"/>
                  </w:rPr>
                  <w:alias w:val="Date"/>
                  <w:tag w:val="Date"/>
                  <w:id w:val="13406932"/>
                  <w:placeholder>
                    <w:docPart w:val="C8753C20223049328D9EE790CEA4DF65"/>
                  </w:placeholder>
                  <w:dataBinding w:prefixMappings="xmlns:ns0='http://schemas.microsoft.com/office/2006/coverPageProps'" w:xpath="/ns0:CoverPageProperties[1]/ns0:PublishDate[1]" w:storeItemID="{55AF091B-3C7A-41E3-B477-F2FDAA23CFDA}"/>
                  <w:date w:fullDate="2025-03-14T00:00:00Z">
                    <w:dateFormat w:val="dd/MM/yyyy"/>
                    <w:lid w:val="en-GB"/>
                    <w:storeMappedDataAs w:val="dateTime"/>
                    <w:calendar w:val="gregorian"/>
                  </w:date>
                </w:sdtPr>
                <w:sdtContent>
                  <w:p w14:paraId="388A1939" w14:textId="30DDDC31" w:rsidR="00661B51" w:rsidRPr="00456405" w:rsidRDefault="00814466">
                    <w:pPr>
                      <w:rPr>
                        <w:sz w:val="28"/>
                        <w:szCs w:val="28"/>
                      </w:rPr>
                    </w:pPr>
                    <w:r w:rsidRPr="00456405">
                      <w:rPr>
                        <w:sz w:val="28"/>
                        <w:szCs w:val="28"/>
                      </w:rPr>
                      <w:t>14/03/2025</w:t>
                    </w:r>
                  </w:p>
                </w:sdtContent>
              </w:sdt>
              <w:p w14:paraId="24F66C70" w14:textId="77777777" w:rsidR="00661B51" w:rsidRPr="00456405" w:rsidRDefault="00661B51"/>
            </w:tc>
          </w:tr>
        </w:tbl>
        <w:p w14:paraId="2E0C92E3" w14:textId="2EA1F89A" w:rsidR="00661B51" w:rsidRPr="00456405" w:rsidRDefault="00661B51">
          <w:pPr>
            <w:rPr>
              <w:rFonts w:ascii="Cambria" w:hAnsi="Cambria"/>
              <w:b/>
              <w:bCs/>
              <w:sz w:val="28"/>
              <w:szCs w:val="28"/>
            </w:rPr>
          </w:pPr>
          <w:r w:rsidRPr="00456405">
            <w:rPr>
              <w:rFonts w:ascii="Cambria" w:hAnsi="Cambria"/>
              <w:b/>
              <w:bCs/>
              <w:sz w:val="28"/>
              <w:szCs w:val="28"/>
            </w:rPr>
            <w:br w:type="page"/>
          </w:r>
        </w:p>
      </w:sdtContent>
    </w:sdt>
    <w:p w14:paraId="5DC50D20" w14:textId="54C89518" w:rsidR="0015618D" w:rsidRPr="00456405" w:rsidRDefault="0015618D" w:rsidP="009552AC">
      <w:pPr>
        <w:spacing w:beforeLines="20" w:before="48" w:afterLines="40" w:after="96" w:line="240" w:lineRule="auto"/>
        <w:jc w:val="both"/>
        <w:rPr>
          <w:rFonts w:ascii="Cambria" w:hAnsi="Cambria"/>
          <w:b/>
          <w:bCs/>
          <w:sz w:val="28"/>
          <w:szCs w:val="28"/>
        </w:rPr>
      </w:pPr>
      <w:r w:rsidRPr="00456405">
        <w:rPr>
          <w:rFonts w:ascii="Cambria" w:hAnsi="Cambria"/>
          <w:b/>
          <w:bCs/>
          <w:sz w:val="28"/>
          <w:szCs w:val="28"/>
        </w:rPr>
        <w:lastRenderedPageBreak/>
        <w:t xml:space="preserve">General Information </w:t>
      </w:r>
      <w:r w:rsidRPr="00456405">
        <w:rPr>
          <w:rFonts w:ascii="Cambria" w:hAnsi="Cambria"/>
          <w:b/>
          <w:bCs/>
          <w:sz w:val="28"/>
          <w:szCs w:val="28"/>
        </w:rPr>
        <w:tab/>
      </w:r>
    </w:p>
    <w:p w14:paraId="551CC94A" w14:textId="3C0A0F48" w:rsidR="00BB15CC" w:rsidRPr="00456405" w:rsidRDefault="006A4201" w:rsidP="00BB15CC">
      <w:pPr>
        <w:spacing w:beforeLines="20" w:before="48" w:afterLines="40" w:after="96" w:line="240" w:lineRule="auto"/>
        <w:jc w:val="both"/>
        <w:rPr>
          <w:rFonts w:ascii="Cambria" w:hAnsi="Cambria"/>
        </w:rPr>
      </w:pPr>
      <w:r w:rsidRPr="00456405">
        <w:rPr>
          <w:rFonts w:ascii="Cambria" w:hAnsi="Cambria"/>
          <w:b/>
          <w:bCs/>
        </w:rPr>
        <w:br/>
      </w:r>
      <w:r w:rsidR="00691FCC" w:rsidRPr="00456405">
        <w:rPr>
          <w:rFonts w:ascii="Cambria" w:hAnsi="Cambria"/>
          <w:b/>
          <w:bCs/>
        </w:rPr>
        <w:t>Walmart Inc. (NYSE: WMT)</w:t>
      </w:r>
      <w:r w:rsidR="00691FCC" w:rsidRPr="00456405">
        <w:rPr>
          <w:rFonts w:ascii="Cambria" w:hAnsi="Cambria"/>
          <w:b/>
          <w:bCs/>
        </w:rPr>
        <w:tab/>
      </w:r>
      <w:r w:rsidRPr="00456405">
        <w:rPr>
          <w:rFonts w:ascii="Cambria" w:hAnsi="Cambria"/>
          <w:b/>
          <w:bCs/>
        </w:rPr>
        <w:br/>
      </w:r>
      <w:r w:rsidRPr="00456405">
        <w:rPr>
          <w:rFonts w:ascii="Cambria" w:hAnsi="Cambria"/>
          <w:b/>
          <w:bCs/>
        </w:rPr>
        <w:br/>
      </w:r>
      <w:r w:rsidR="00691FCC" w:rsidRPr="00456405">
        <w:rPr>
          <w:rFonts w:ascii="Cambria" w:hAnsi="Cambria"/>
          <w:b/>
          <w:bCs/>
        </w:rPr>
        <w:t xml:space="preserve">Revenue: </w:t>
      </w:r>
      <w:r w:rsidR="00691FCC" w:rsidRPr="00456405">
        <w:rPr>
          <w:rFonts w:ascii="Cambria" w:hAnsi="Cambria"/>
        </w:rPr>
        <w:t xml:space="preserve">$648.1B (FY2024) </w:t>
      </w:r>
      <w:r w:rsidR="00691FCC" w:rsidRPr="00456405">
        <w:rPr>
          <w:rFonts w:ascii="Cambria" w:hAnsi="Cambria"/>
        </w:rPr>
        <w:tab/>
      </w:r>
      <w:r w:rsidR="00691FCC" w:rsidRPr="00456405">
        <w:rPr>
          <w:rFonts w:ascii="Cambria" w:hAnsi="Cambria"/>
        </w:rPr>
        <w:br/>
      </w:r>
      <w:r w:rsidR="00691FCC" w:rsidRPr="00456405">
        <w:rPr>
          <w:rFonts w:ascii="Cambria" w:hAnsi="Cambria"/>
          <w:b/>
          <w:bCs/>
        </w:rPr>
        <w:t xml:space="preserve">Employees: </w:t>
      </w:r>
      <w:r w:rsidR="00691FCC" w:rsidRPr="00456405">
        <w:rPr>
          <w:rFonts w:ascii="Cambria" w:hAnsi="Cambria"/>
        </w:rPr>
        <w:t>2.1M</w:t>
      </w:r>
      <w:r w:rsidR="00691FCC" w:rsidRPr="00456405">
        <w:rPr>
          <w:rFonts w:ascii="Cambria" w:hAnsi="Cambria"/>
        </w:rPr>
        <w:tab/>
      </w:r>
      <w:r w:rsidR="00691FCC" w:rsidRPr="00456405">
        <w:rPr>
          <w:rFonts w:ascii="Cambria" w:hAnsi="Cambria"/>
        </w:rPr>
        <w:br/>
      </w:r>
      <w:r w:rsidR="00691FCC" w:rsidRPr="00456405">
        <w:rPr>
          <w:rFonts w:ascii="Cambria" w:hAnsi="Cambria"/>
          <w:b/>
          <w:bCs/>
        </w:rPr>
        <w:t xml:space="preserve">Credit Ratings: </w:t>
      </w:r>
      <w:r w:rsidR="00691FCC" w:rsidRPr="00456405">
        <w:rPr>
          <w:rFonts w:ascii="Cambria" w:hAnsi="Cambria"/>
        </w:rPr>
        <w:t>Moody’s Aa2 | S&amp;P AA</w:t>
      </w:r>
      <w:r w:rsidR="00691FCC" w:rsidRPr="00456405">
        <w:rPr>
          <w:rFonts w:ascii="Cambria" w:hAnsi="Cambria"/>
        </w:rPr>
        <w:tab/>
      </w:r>
      <w:r w:rsidR="00691FCC" w:rsidRPr="00456405">
        <w:rPr>
          <w:rFonts w:ascii="Cambria" w:hAnsi="Cambria"/>
        </w:rPr>
        <w:br/>
      </w:r>
      <w:r w:rsidR="00691FCC" w:rsidRPr="00456405">
        <w:rPr>
          <w:rFonts w:ascii="Cambria" w:hAnsi="Cambria"/>
          <w:b/>
          <w:bCs/>
        </w:rPr>
        <w:t xml:space="preserve">Outlook: </w:t>
      </w:r>
      <w:r w:rsidR="00691FCC" w:rsidRPr="00456405">
        <w:rPr>
          <w:rFonts w:ascii="Cambria" w:hAnsi="Cambria"/>
        </w:rPr>
        <w:t xml:space="preserve">Market leader with robust cash flow and operational efficiency. AI-driven supply chain investments ($9B) and sustainability efforts have contributed to enhancing margins. Recent acquisition of VIZIO to expand digital reach. </w:t>
      </w:r>
      <w:r w:rsidR="00691FCC" w:rsidRPr="00456405">
        <w:rPr>
          <w:rFonts w:ascii="Cambria" w:hAnsi="Cambria"/>
        </w:rPr>
        <w:tab/>
      </w:r>
      <w:r w:rsidR="00E84C30" w:rsidRPr="00456405">
        <w:rPr>
          <w:rFonts w:ascii="Cambria" w:hAnsi="Cambria"/>
          <w:b/>
          <w:bCs/>
        </w:rPr>
        <w:br/>
      </w:r>
      <w:r w:rsidRPr="00456405">
        <w:rPr>
          <w:rFonts w:ascii="Cambria" w:hAnsi="Cambria"/>
        </w:rPr>
        <w:br/>
      </w:r>
      <w:r w:rsidRPr="00456405">
        <w:rPr>
          <w:rFonts w:ascii="Cambria" w:hAnsi="Cambria"/>
          <w:b/>
          <w:bCs/>
        </w:rPr>
        <w:t>Costco Wholesale Corporation (</w:t>
      </w:r>
      <w:proofErr w:type="spellStart"/>
      <w:r w:rsidRPr="00456405">
        <w:rPr>
          <w:rFonts w:ascii="Cambria" w:hAnsi="Cambria"/>
          <w:b/>
          <w:bCs/>
        </w:rPr>
        <w:t>NasdaqGS</w:t>
      </w:r>
      <w:proofErr w:type="spellEnd"/>
      <w:r w:rsidRPr="00456405">
        <w:rPr>
          <w:rFonts w:ascii="Cambria" w:hAnsi="Cambria"/>
          <w:b/>
          <w:bCs/>
        </w:rPr>
        <w:t>: COST)</w:t>
      </w:r>
      <w:r w:rsidRPr="00456405">
        <w:rPr>
          <w:rFonts w:ascii="Cambria" w:hAnsi="Cambria"/>
        </w:rPr>
        <w:tab/>
      </w:r>
      <w:r w:rsidRPr="00456405">
        <w:rPr>
          <w:rFonts w:ascii="Cambria" w:hAnsi="Cambria"/>
        </w:rPr>
        <w:br/>
      </w:r>
      <w:r w:rsidR="00BB15CC" w:rsidRPr="00456405">
        <w:rPr>
          <w:rFonts w:ascii="Cambria" w:hAnsi="Cambria"/>
          <w:b/>
          <w:bCs/>
        </w:rPr>
        <w:br/>
      </w:r>
      <w:r w:rsidRPr="00456405">
        <w:rPr>
          <w:rFonts w:ascii="Cambria" w:hAnsi="Cambria"/>
          <w:b/>
          <w:bCs/>
        </w:rPr>
        <w:t xml:space="preserve">Revenue: </w:t>
      </w:r>
      <w:r w:rsidRPr="00456405">
        <w:rPr>
          <w:rFonts w:ascii="Cambria" w:hAnsi="Cambria"/>
        </w:rPr>
        <w:t>$254.5B (FY2024)</w:t>
      </w:r>
      <w:r w:rsidRPr="00456405">
        <w:rPr>
          <w:rFonts w:ascii="Cambria" w:hAnsi="Cambria"/>
        </w:rPr>
        <w:tab/>
      </w:r>
      <w:r w:rsidRPr="00456405">
        <w:rPr>
          <w:rFonts w:ascii="Cambria" w:hAnsi="Cambria"/>
        </w:rPr>
        <w:br/>
      </w:r>
      <w:r w:rsidRPr="00456405">
        <w:rPr>
          <w:rFonts w:ascii="Cambria" w:hAnsi="Cambria"/>
          <w:b/>
          <w:bCs/>
        </w:rPr>
        <w:t xml:space="preserve">Employees: </w:t>
      </w:r>
      <w:r w:rsidRPr="00456405">
        <w:rPr>
          <w:rFonts w:ascii="Cambria" w:hAnsi="Cambria"/>
        </w:rPr>
        <w:t>328K</w:t>
      </w:r>
      <w:r w:rsidRPr="00456405">
        <w:rPr>
          <w:rFonts w:ascii="Cambria" w:hAnsi="Cambria"/>
        </w:rPr>
        <w:tab/>
      </w:r>
      <w:r w:rsidRPr="00456405">
        <w:rPr>
          <w:rFonts w:ascii="Cambria" w:hAnsi="Cambria"/>
        </w:rPr>
        <w:br/>
      </w:r>
      <w:r w:rsidRPr="00456405">
        <w:rPr>
          <w:rFonts w:ascii="Cambria" w:hAnsi="Cambria"/>
          <w:b/>
          <w:bCs/>
        </w:rPr>
        <w:t xml:space="preserve">Credit Ratings: </w:t>
      </w:r>
      <w:r w:rsidRPr="00456405">
        <w:rPr>
          <w:rFonts w:ascii="Cambria" w:hAnsi="Cambria"/>
        </w:rPr>
        <w:t>Moody’s A1 | S&amp;P A+</w:t>
      </w:r>
      <w:r w:rsidRPr="00456405">
        <w:rPr>
          <w:rFonts w:ascii="Cambria" w:hAnsi="Cambria"/>
        </w:rPr>
        <w:tab/>
      </w:r>
      <w:r w:rsidRPr="00456405">
        <w:rPr>
          <w:rFonts w:ascii="Cambria" w:hAnsi="Cambria"/>
        </w:rPr>
        <w:br/>
      </w:r>
      <w:r w:rsidRPr="00456405">
        <w:rPr>
          <w:rFonts w:ascii="Cambria" w:hAnsi="Cambria"/>
          <w:b/>
          <w:bCs/>
        </w:rPr>
        <w:t xml:space="preserve">Outlook: </w:t>
      </w:r>
      <w:r w:rsidRPr="00456405">
        <w:rPr>
          <w:rFonts w:ascii="Cambria" w:hAnsi="Cambria"/>
        </w:rPr>
        <w:t xml:space="preserve">Expansion into China and Europe. AI-driven inventory optimisation improves efficiency. Kirkland Signature segment drives high-margin sales. Strong financials, with a membership-driven revenue model backed by stable customer base. </w:t>
      </w:r>
      <w:r w:rsidR="00BB15CC" w:rsidRPr="00456405">
        <w:rPr>
          <w:rFonts w:ascii="Cambria" w:hAnsi="Cambria"/>
        </w:rPr>
        <w:tab/>
      </w:r>
      <w:r w:rsidR="00BB15CC" w:rsidRPr="00456405">
        <w:rPr>
          <w:rFonts w:ascii="Cambria" w:hAnsi="Cambria"/>
        </w:rPr>
        <w:br/>
      </w:r>
      <w:r w:rsidR="00BB15CC" w:rsidRPr="00456405">
        <w:rPr>
          <w:rFonts w:ascii="Cambria" w:hAnsi="Cambria"/>
        </w:rPr>
        <w:br/>
      </w:r>
      <w:r w:rsidR="00BB15CC" w:rsidRPr="00456405">
        <w:rPr>
          <w:rFonts w:ascii="Cambria" w:hAnsi="Cambria"/>
          <w:b/>
          <w:bCs/>
        </w:rPr>
        <w:t>Alibaba Group Holding Limited (NYSE: BABA)</w:t>
      </w:r>
      <w:r w:rsidR="00BB15CC" w:rsidRPr="00456405">
        <w:rPr>
          <w:rFonts w:ascii="Cambria" w:hAnsi="Cambria"/>
          <w:b/>
          <w:bCs/>
        </w:rPr>
        <w:tab/>
      </w:r>
    </w:p>
    <w:p w14:paraId="6D68294B" w14:textId="6949480D" w:rsidR="0053118B" w:rsidRPr="00456405" w:rsidRDefault="00BB15CC" w:rsidP="00BB15CC">
      <w:pPr>
        <w:spacing w:beforeLines="20" w:before="48" w:afterLines="40" w:after="96" w:line="240" w:lineRule="auto"/>
        <w:jc w:val="both"/>
        <w:rPr>
          <w:rFonts w:ascii="Cambria" w:hAnsi="Cambria"/>
          <w:b/>
          <w:bCs/>
        </w:rPr>
      </w:pPr>
      <w:r w:rsidRPr="00456405">
        <w:rPr>
          <w:rFonts w:ascii="Cambria" w:hAnsi="Cambria"/>
          <w:b/>
          <w:bCs/>
        </w:rPr>
        <w:t xml:space="preserve">Revenue: </w:t>
      </w:r>
      <w:r w:rsidRPr="00456405">
        <w:rPr>
          <w:rFonts w:ascii="Cambria" w:hAnsi="Cambria"/>
        </w:rPr>
        <w:t>$134.5B (FY2024)</w:t>
      </w:r>
      <w:r w:rsidRPr="00456405">
        <w:rPr>
          <w:rFonts w:ascii="Cambria" w:hAnsi="Cambria"/>
        </w:rPr>
        <w:tab/>
      </w:r>
      <w:r w:rsidR="005C6DF9" w:rsidRPr="00456405">
        <w:rPr>
          <w:rFonts w:ascii="Cambria" w:hAnsi="Cambria"/>
          <w:b/>
          <w:bCs/>
        </w:rPr>
        <w:br/>
      </w:r>
      <w:r w:rsidRPr="00456405">
        <w:rPr>
          <w:rFonts w:ascii="Cambria" w:hAnsi="Cambria"/>
          <w:b/>
          <w:bCs/>
        </w:rPr>
        <w:t xml:space="preserve">Employees: </w:t>
      </w:r>
      <w:r w:rsidRPr="00456405">
        <w:rPr>
          <w:rFonts w:ascii="Cambria" w:hAnsi="Cambria"/>
        </w:rPr>
        <w:t>228K</w:t>
      </w:r>
      <w:r w:rsidRPr="00456405">
        <w:rPr>
          <w:rFonts w:ascii="Cambria" w:hAnsi="Cambria"/>
          <w:b/>
          <w:bCs/>
        </w:rPr>
        <w:tab/>
      </w:r>
      <w:r w:rsidR="005C6DF9" w:rsidRPr="00456405">
        <w:rPr>
          <w:rFonts w:ascii="Cambria" w:hAnsi="Cambria"/>
          <w:b/>
          <w:bCs/>
        </w:rPr>
        <w:br/>
      </w:r>
      <w:r w:rsidRPr="00456405">
        <w:rPr>
          <w:rFonts w:ascii="Cambria" w:hAnsi="Cambria"/>
          <w:b/>
          <w:bCs/>
        </w:rPr>
        <w:t xml:space="preserve">Credit Ratings: </w:t>
      </w:r>
      <w:r w:rsidRPr="00456405">
        <w:rPr>
          <w:rFonts w:ascii="Cambria" w:hAnsi="Cambria"/>
        </w:rPr>
        <w:t>Moody’s A1 | S&amp;P A+</w:t>
      </w:r>
      <w:r w:rsidR="005C6DF9" w:rsidRPr="00456405">
        <w:rPr>
          <w:rFonts w:ascii="Cambria" w:hAnsi="Cambria"/>
        </w:rPr>
        <w:tab/>
      </w:r>
      <w:r w:rsidR="005C6DF9" w:rsidRPr="00456405">
        <w:rPr>
          <w:rFonts w:ascii="Cambria" w:hAnsi="Cambria"/>
          <w:b/>
          <w:bCs/>
        </w:rPr>
        <w:br/>
      </w:r>
      <w:r w:rsidRPr="00456405">
        <w:rPr>
          <w:rFonts w:ascii="Cambria" w:hAnsi="Cambria"/>
          <w:b/>
          <w:bCs/>
        </w:rPr>
        <w:t xml:space="preserve">Outlook: </w:t>
      </w:r>
      <w:r w:rsidR="00DD5267" w:rsidRPr="00456405">
        <w:rPr>
          <w:rFonts w:ascii="Cambria" w:hAnsi="Cambria"/>
        </w:rPr>
        <w:t xml:space="preserve">Global pioneer and industry leader in e-commerce and cloud computing. Corporate restructuring enhances financial flexibility but remains vulnerable to regulatory scrutiny. </w:t>
      </w:r>
      <w:r w:rsidR="00DD5267" w:rsidRPr="00456405">
        <w:rPr>
          <w:rFonts w:ascii="Cambria" w:hAnsi="Cambria"/>
        </w:rPr>
        <w:tab/>
      </w:r>
      <w:r w:rsidR="00DD5267" w:rsidRPr="00456405">
        <w:rPr>
          <w:rFonts w:ascii="Cambria" w:hAnsi="Cambria"/>
          <w:b/>
          <w:bCs/>
        </w:rPr>
        <w:br/>
      </w:r>
      <w:r w:rsidR="00DD5267" w:rsidRPr="00456405">
        <w:rPr>
          <w:rFonts w:ascii="Cambria" w:hAnsi="Cambria"/>
          <w:b/>
          <w:bCs/>
        </w:rPr>
        <w:br/>
      </w:r>
      <w:r w:rsidR="0087683B" w:rsidRPr="00456405">
        <w:rPr>
          <w:rFonts w:ascii="Cambria" w:hAnsi="Cambria"/>
          <w:b/>
          <w:bCs/>
        </w:rPr>
        <w:t>Carrefour S.A. (ENXTPA: CA)</w:t>
      </w:r>
      <w:r w:rsidR="0087683B" w:rsidRPr="00456405">
        <w:rPr>
          <w:rFonts w:ascii="Cambria" w:hAnsi="Cambria"/>
        </w:rPr>
        <w:tab/>
      </w:r>
      <w:r w:rsidR="0087683B" w:rsidRPr="00456405">
        <w:rPr>
          <w:rFonts w:ascii="Cambria" w:hAnsi="Cambria"/>
        </w:rPr>
        <w:br/>
      </w:r>
      <w:r w:rsidR="0087683B" w:rsidRPr="00456405">
        <w:rPr>
          <w:rFonts w:ascii="Cambria" w:hAnsi="Cambria"/>
          <w:b/>
          <w:bCs/>
        </w:rPr>
        <w:t xml:space="preserve">Revenue: </w:t>
      </w:r>
      <w:r w:rsidR="0087683B" w:rsidRPr="00456405">
        <w:rPr>
          <w:rFonts w:ascii="Cambria" w:hAnsi="Cambria"/>
        </w:rPr>
        <w:t xml:space="preserve">$90.1B (FY2024) </w:t>
      </w:r>
      <w:r w:rsidR="0087683B" w:rsidRPr="00456405">
        <w:rPr>
          <w:rFonts w:ascii="Cambria" w:hAnsi="Cambria"/>
        </w:rPr>
        <w:tab/>
      </w:r>
      <w:r w:rsidR="0087683B" w:rsidRPr="00456405">
        <w:rPr>
          <w:rFonts w:ascii="Cambria" w:hAnsi="Cambria"/>
        </w:rPr>
        <w:br/>
      </w:r>
      <w:r w:rsidR="0087683B" w:rsidRPr="00456405">
        <w:rPr>
          <w:rFonts w:ascii="Cambria" w:hAnsi="Cambria"/>
          <w:b/>
          <w:bCs/>
        </w:rPr>
        <w:t xml:space="preserve">Employees: </w:t>
      </w:r>
      <w:r w:rsidR="0087683B" w:rsidRPr="00456405">
        <w:rPr>
          <w:rFonts w:ascii="Cambria" w:hAnsi="Cambria"/>
        </w:rPr>
        <w:t>319K</w:t>
      </w:r>
      <w:r w:rsidR="0087683B" w:rsidRPr="00456405">
        <w:rPr>
          <w:rFonts w:ascii="Cambria" w:hAnsi="Cambria"/>
        </w:rPr>
        <w:tab/>
      </w:r>
      <w:r w:rsidR="0087683B" w:rsidRPr="00456405">
        <w:rPr>
          <w:rFonts w:ascii="Cambria" w:hAnsi="Cambria"/>
        </w:rPr>
        <w:br/>
      </w:r>
      <w:r w:rsidR="0087683B" w:rsidRPr="00456405">
        <w:rPr>
          <w:rFonts w:ascii="Cambria" w:hAnsi="Cambria"/>
          <w:b/>
          <w:bCs/>
        </w:rPr>
        <w:t xml:space="preserve">Credit Ratings: </w:t>
      </w:r>
      <w:r w:rsidR="0087683B" w:rsidRPr="00456405">
        <w:rPr>
          <w:rFonts w:ascii="Cambria" w:hAnsi="Cambria"/>
        </w:rPr>
        <w:t>Moody’s Baa1 | S&amp;P BBB</w:t>
      </w:r>
      <w:r w:rsidR="0087683B" w:rsidRPr="00456405">
        <w:rPr>
          <w:rFonts w:ascii="Cambria" w:hAnsi="Cambria"/>
        </w:rPr>
        <w:tab/>
      </w:r>
      <w:r w:rsidR="0087683B" w:rsidRPr="00456405">
        <w:rPr>
          <w:rFonts w:ascii="Cambria" w:hAnsi="Cambria"/>
        </w:rPr>
        <w:br/>
      </w:r>
      <w:r w:rsidR="0087683B" w:rsidRPr="00456405">
        <w:rPr>
          <w:rFonts w:ascii="Cambria" w:hAnsi="Cambria"/>
          <w:b/>
          <w:bCs/>
        </w:rPr>
        <w:t xml:space="preserve">Outlook: </w:t>
      </w:r>
      <w:r w:rsidR="0087683B" w:rsidRPr="00456405">
        <w:rPr>
          <w:rFonts w:ascii="Cambria" w:hAnsi="Cambria"/>
        </w:rPr>
        <w:t xml:space="preserve">Leader in the European retail </w:t>
      </w:r>
      <w:r w:rsidR="0053118B" w:rsidRPr="00456405">
        <w:rPr>
          <w:rFonts w:ascii="Cambria" w:hAnsi="Cambria"/>
        </w:rPr>
        <w:t>sector but</w:t>
      </w:r>
      <w:r w:rsidR="0087683B" w:rsidRPr="00456405">
        <w:rPr>
          <w:rFonts w:ascii="Cambria" w:hAnsi="Cambria"/>
        </w:rPr>
        <w:t xml:space="preserve"> faces stiff competition from discount stores coupled with margin pressures. Digital expansion via Uber Eats and Grupo BIG acquisition in Brazil support long-term positioning. </w:t>
      </w:r>
      <w:r w:rsidR="0053118B" w:rsidRPr="00456405">
        <w:rPr>
          <w:rFonts w:ascii="Cambria" w:hAnsi="Cambria"/>
        </w:rPr>
        <w:tab/>
      </w:r>
      <w:r w:rsidR="0053118B" w:rsidRPr="00456405">
        <w:rPr>
          <w:rFonts w:ascii="Cambria" w:hAnsi="Cambria"/>
        </w:rPr>
        <w:br/>
      </w:r>
      <w:r w:rsidR="0053118B" w:rsidRPr="00456405">
        <w:rPr>
          <w:rFonts w:ascii="Cambria" w:hAnsi="Cambria"/>
        </w:rPr>
        <w:br/>
      </w:r>
      <w:r w:rsidR="0053118B" w:rsidRPr="00456405">
        <w:rPr>
          <w:rFonts w:ascii="Cambria" w:hAnsi="Cambria"/>
          <w:b/>
          <w:bCs/>
        </w:rPr>
        <w:t>Magazine Luiza S.A. (BOVESPA: MGLU3)</w:t>
      </w:r>
      <w:r w:rsidR="0053118B" w:rsidRPr="00456405">
        <w:rPr>
          <w:rFonts w:ascii="Cambria" w:hAnsi="Cambria"/>
        </w:rPr>
        <w:tab/>
      </w:r>
      <w:r w:rsidR="0053118B" w:rsidRPr="00456405">
        <w:rPr>
          <w:rFonts w:ascii="Cambria" w:hAnsi="Cambria"/>
        </w:rPr>
        <w:br/>
      </w:r>
      <w:r w:rsidR="0053118B" w:rsidRPr="00456405">
        <w:rPr>
          <w:rFonts w:ascii="Cambria" w:hAnsi="Cambria"/>
          <w:b/>
          <w:bCs/>
        </w:rPr>
        <w:t xml:space="preserve">Revenue: </w:t>
      </w:r>
      <w:r w:rsidR="0053118B" w:rsidRPr="00456405">
        <w:rPr>
          <w:rFonts w:ascii="Cambria" w:hAnsi="Cambria"/>
        </w:rPr>
        <w:t>$6.9B (FY2024)</w:t>
      </w:r>
      <w:r w:rsidR="0053118B" w:rsidRPr="00456405">
        <w:rPr>
          <w:rFonts w:ascii="Cambria" w:hAnsi="Cambria"/>
        </w:rPr>
        <w:tab/>
      </w:r>
      <w:r w:rsidR="0053118B" w:rsidRPr="00456405">
        <w:rPr>
          <w:rFonts w:ascii="Cambria" w:hAnsi="Cambria"/>
        </w:rPr>
        <w:br/>
      </w:r>
      <w:r w:rsidR="0053118B" w:rsidRPr="00456405">
        <w:rPr>
          <w:rFonts w:ascii="Cambria" w:hAnsi="Cambria"/>
          <w:b/>
          <w:bCs/>
        </w:rPr>
        <w:t xml:space="preserve">Employees: </w:t>
      </w:r>
      <w:r w:rsidR="0053118B" w:rsidRPr="00456405">
        <w:rPr>
          <w:rFonts w:ascii="Cambria" w:hAnsi="Cambria"/>
        </w:rPr>
        <w:t>41K</w:t>
      </w:r>
      <w:r w:rsidR="0053118B" w:rsidRPr="00456405">
        <w:rPr>
          <w:rFonts w:ascii="Cambria" w:hAnsi="Cambria"/>
        </w:rPr>
        <w:tab/>
      </w:r>
      <w:r w:rsidR="0053118B" w:rsidRPr="00456405">
        <w:rPr>
          <w:rFonts w:ascii="Cambria" w:hAnsi="Cambria"/>
        </w:rPr>
        <w:br/>
      </w:r>
      <w:r w:rsidR="0053118B" w:rsidRPr="00456405">
        <w:rPr>
          <w:rFonts w:ascii="Cambria" w:hAnsi="Cambria"/>
          <w:b/>
          <w:bCs/>
        </w:rPr>
        <w:t xml:space="preserve">Credit Ratings: </w:t>
      </w:r>
      <w:r w:rsidR="0053118B" w:rsidRPr="00456405">
        <w:rPr>
          <w:rFonts w:ascii="Cambria" w:hAnsi="Cambria"/>
        </w:rPr>
        <w:t xml:space="preserve">Fitch BB- | </w:t>
      </w:r>
      <w:r w:rsidR="000E2C26" w:rsidRPr="00456405">
        <w:rPr>
          <w:rFonts w:ascii="Cambria" w:hAnsi="Cambria"/>
        </w:rPr>
        <w:t>Moody's Ba3</w:t>
      </w:r>
      <w:r w:rsidR="0053118B" w:rsidRPr="00456405">
        <w:rPr>
          <w:rFonts w:ascii="Cambria" w:hAnsi="Cambria"/>
        </w:rPr>
        <w:tab/>
      </w:r>
      <w:r w:rsidR="0053118B" w:rsidRPr="00456405">
        <w:rPr>
          <w:rFonts w:ascii="Cambria" w:hAnsi="Cambria"/>
        </w:rPr>
        <w:br/>
      </w:r>
      <w:r w:rsidR="0053118B" w:rsidRPr="00456405">
        <w:rPr>
          <w:rFonts w:ascii="Cambria" w:hAnsi="Cambria"/>
          <w:b/>
          <w:bCs/>
        </w:rPr>
        <w:t xml:space="preserve">Outlook: </w:t>
      </w:r>
      <w:r w:rsidR="0053118B" w:rsidRPr="00456405">
        <w:rPr>
          <w:rFonts w:ascii="Cambria" w:hAnsi="Cambria"/>
        </w:rPr>
        <w:t>Brazilian retailer, with fast paced digital transformation, AI-driven logistics and provides fintech services (</w:t>
      </w:r>
      <w:proofErr w:type="spellStart"/>
      <w:r w:rsidR="0053118B" w:rsidRPr="00456405">
        <w:rPr>
          <w:rFonts w:ascii="Cambria" w:hAnsi="Cambria"/>
        </w:rPr>
        <w:t>MagaluPay</w:t>
      </w:r>
      <w:proofErr w:type="spellEnd"/>
      <w:r w:rsidR="0053118B" w:rsidRPr="00456405">
        <w:rPr>
          <w:rFonts w:ascii="Cambria" w:hAnsi="Cambria"/>
        </w:rPr>
        <w:t xml:space="preserve">). However, macroeconomic instability in Brazil coupled with new international entrants pose risks to long-term sustainability.  </w:t>
      </w:r>
    </w:p>
    <w:p w14:paraId="6FDF16B2" w14:textId="1CB4BBD6" w:rsidR="00A52549" w:rsidRPr="00456405" w:rsidRDefault="006F5DE4" w:rsidP="006547B9">
      <w:pPr>
        <w:spacing w:beforeLines="20" w:before="48" w:afterLines="40" w:after="96" w:line="240" w:lineRule="auto"/>
        <w:jc w:val="both"/>
        <w:rPr>
          <w:rFonts w:ascii="Cambria" w:hAnsi="Cambria"/>
          <w:sz w:val="24"/>
          <w:szCs w:val="24"/>
        </w:rPr>
      </w:pPr>
      <w:r w:rsidRPr="00456405">
        <w:rPr>
          <w:rFonts w:ascii="Cambria" w:hAnsi="Cambria"/>
        </w:rPr>
        <w:br/>
      </w:r>
      <w:r w:rsidR="006547B9" w:rsidRPr="00456405">
        <w:rPr>
          <w:rFonts w:ascii="Cambria" w:hAnsi="Cambria"/>
          <w:b/>
          <w:bCs/>
          <w:sz w:val="28"/>
          <w:szCs w:val="28"/>
        </w:rPr>
        <w:t>Descriptive Analysis</w:t>
      </w:r>
      <w:r w:rsidR="006547B9" w:rsidRPr="00456405">
        <w:rPr>
          <w:rFonts w:ascii="Cambria" w:hAnsi="Cambria"/>
          <w:b/>
          <w:bCs/>
          <w:sz w:val="28"/>
          <w:szCs w:val="28"/>
        </w:rPr>
        <w:tab/>
      </w:r>
      <w:r w:rsidR="006547B9" w:rsidRPr="00456405">
        <w:rPr>
          <w:rFonts w:ascii="Cambria" w:hAnsi="Cambria"/>
          <w:b/>
          <w:bCs/>
          <w:sz w:val="28"/>
          <w:szCs w:val="28"/>
        </w:rPr>
        <w:tab/>
      </w:r>
      <w:r w:rsidR="006547B9" w:rsidRPr="00456405">
        <w:rPr>
          <w:rFonts w:ascii="Cambria" w:hAnsi="Cambria"/>
          <w:b/>
          <w:bCs/>
          <w:sz w:val="28"/>
          <w:szCs w:val="28"/>
        </w:rPr>
        <w:br/>
      </w:r>
      <w:r w:rsidR="003008A1" w:rsidRPr="00456405">
        <w:rPr>
          <w:rFonts w:ascii="Cambria" w:hAnsi="Cambria"/>
          <w:b/>
          <w:bCs/>
          <w:sz w:val="28"/>
          <w:szCs w:val="28"/>
        </w:rPr>
        <w:br/>
      </w:r>
      <w:r w:rsidR="006547B9" w:rsidRPr="00456405">
        <w:rPr>
          <w:rFonts w:ascii="Cambria" w:hAnsi="Cambria"/>
          <w:b/>
          <w:bCs/>
          <w:sz w:val="24"/>
          <w:szCs w:val="24"/>
        </w:rPr>
        <w:t>1. Political and Economic Environment</w:t>
      </w:r>
      <w:r w:rsidR="006547B9" w:rsidRPr="00456405">
        <w:rPr>
          <w:rFonts w:ascii="Cambria" w:hAnsi="Cambria"/>
          <w:b/>
          <w:bCs/>
          <w:sz w:val="24"/>
          <w:szCs w:val="24"/>
        </w:rPr>
        <w:tab/>
      </w:r>
      <w:r w:rsidR="006547B9" w:rsidRPr="00456405">
        <w:rPr>
          <w:rFonts w:ascii="Cambria" w:hAnsi="Cambria"/>
          <w:b/>
          <w:bCs/>
          <w:sz w:val="24"/>
          <w:szCs w:val="24"/>
        </w:rPr>
        <w:br/>
      </w:r>
      <w:r w:rsidR="006547B9" w:rsidRPr="00456405">
        <w:rPr>
          <w:rFonts w:ascii="Cambria" w:hAnsi="Cambria"/>
          <w:b/>
          <w:bCs/>
          <w:sz w:val="24"/>
          <w:szCs w:val="24"/>
        </w:rPr>
        <w:br/>
        <w:t>Walmart Inc.</w:t>
      </w:r>
      <w:r w:rsidR="006547B9" w:rsidRPr="00456405">
        <w:rPr>
          <w:rFonts w:ascii="Cambria" w:hAnsi="Cambria"/>
          <w:b/>
          <w:bCs/>
          <w:sz w:val="24"/>
          <w:szCs w:val="24"/>
        </w:rPr>
        <w:tab/>
      </w:r>
      <w:r w:rsidR="006547B9" w:rsidRPr="00456405">
        <w:rPr>
          <w:rFonts w:ascii="Cambria" w:hAnsi="Cambria"/>
          <w:b/>
          <w:bCs/>
          <w:sz w:val="24"/>
          <w:szCs w:val="24"/>
        </w:rPr>
        <w:br/>
      </w:r>
      <w:r w:rsidR="006547B9" w:rsidRPr="00456405">
        <w:rPr>
          <w:rFonts w:ascii="Cambria" w:hAnsi="Cambria"/>
          <w:sz w:val="24"/>
          <w:szCs w:val="24"/>
        </w:rPr>
        <w:t xml:space="preserve">Operating primarily in North America, they benefit from stable political and economic </w:t>
      </w:r>
      <w:proofErr w:type="gramStart"/>
      <w:r w:rsidR="006547B9" w:rsidRPr="00456405">
        <w:rPr>
          <w:rFonts w:ascii="Cambria" w:hAnsi="Cambria"/>
          <w:sz w:val="24"/>
          <w:szCs w:val="24"/>
        </w:rPr>
        <w:t>climate, but</w:t>
      </w:r>
      <w:proofErr w:type="gramEnd"/>
      <w:r w:rsidR="006547B9" w:rsidRPr="00456405">
        <w:rPr>
          <w:rFonts w:ascii="Cambria" w:hAnsi="Cambria"/>
          <w:sz w:val="24"/>
          <w:szCs w:val="24"/>
        </w:rPr>
        <w:t xml:space="preserve"> faces increasing regulatory pressures amidst strengthening of labour laws, renewed environmental mandates and trade policies which will impact profitability. Rising minimum </w:t>
      </w:r>
      <w:r w:rsidR="006547B9" w:rsidRPr="00456405">
        <w:rPr>
          <w:rFonts w:ascii="Cambria" w:hAnsi="Cambria"/>
          <w:sz w:val="24"/>
          <w:szCs w:val="24"/>
        </w:rPr>
        <w:lastRenderedPageBreak/>
        <w:t>wages and ongoing trade disputes of the region with China emerge as costly headwinds.</w:t>
      </w:r>
      <w:r w:rsidR="006547B9" w:rsidRPr="00456405">
        <w:rPr>
          <w:rFonts w:ascii="Cambria" w:hAnsi="Cambria"/>
          <w:sz w:val="24"/>
          <w:szCs w:val="24"/>
        </w:rPr>
        <w:tab/>
      </w:r>
      <w:r w:rsidR="006547B9" w:rsidRPr="00456405">
        <w:rPr>
          <w:rFonts w:ascii="Cambria" w:hAnsi="Cambria"/>
          <w:sz w:val="24"/>
          <w:szCs w:val="24"/>
        </w:rPr>
        <w:br/>
      </w:r>
      <w:r w:rsidR="006547B9" w:rsidRPr="00456405">
        <w:rPr>
          <w:rFonts w:ascii="Cambria" w:hAnsi="Cambria"/>
          <w:sz w:val="24"/>
          <w:szCs w:val="24"/>
        </w:rPr>
        <w:br/>
      </w:r>
      <w:r w:rsidR="006547B9" w:rsidRPr="00456405">
        <w:rPr>
          <w:rFonts w:ascii="Cambria" w:hAnsi="Cambria"/>
          <w:b/>
          <w:bCs/>
          <w:sz w:val="24"/>
          <w:szCs w:val="24"/>
        </w:rPr>
        <w:t>Costco Wholesale Corporation</w:t>
      </w:r>
      <w:r w:rsidR="006547B9" w:rsidRPr="00456405">
        <w:rPr>
          <w:rFonts w:ascii="Cambria" w:hAnsi="Cambria"/>
          <w:b/>
          <w:bCs/>
          <w:sz w:val="24"/>
          <w:szCs w:val="24"/>
        </w:rPr>
        <w:tab/>
      </w:r>
      <w:r w:rsidR="006547B9" w:rsidRPr="00456405">
        <w:rPr>
          <w:rFonts w:ascii="Cambria" w:hAnsi="Cambria"/>
          <w:b/>
          <w:bCs/>
          <w:sz w:val="24"/>
          <w:szCs w:val="24"/>
        </w:rPr>
        <w:br/>
      </w:r>
      <w:r w:rsidR="006547B9" w:rsidRPr="00456405">
        <w:rPr>
          <w:rFonts w:ascii="Cambria" w:hAnsi="Cambria"/>
          <w:sz w:val="24"/>
          <w:szCs w:val="24"/>
        </w:rPr>
        <w:t xml:space="preserve">Direct competitors to Walmart, operating in similar regions with stable political and economic climate, but remain vulnerable to protectionist trade policies, tariff fluctuations and varying labour regulations, as they expand into Asian and European markets, significantly affecting product sourcing and distribution. </w:t>
      </w:r>
      <w:r w:rsidR="003B71FB" w:rsidRPr="00456405">
        <w:rPr>
          <w:rFonts w:ascii="Cambria" w:hAnsi="Cambria"/>
          <w:sz w:val="24"/>
          <w:szCs w:val="24"/>
        </w:rPr>
        <w:tab/>
      </w:r>
      <w:r w:rsidR="003B71FB" w:rsidRPr="00456405">
        <w:rPr>
          <w:rFonts w:ascii="Cambria" w:hAnsi="Cambria"/>
          <w:sz w:val="24"/>
          <w:szCs w:val="24"/>
        </w:rPr>
        <w:br/>
      </w:r>
      <w:r w:rsidR="003B71FB" w:rsidRPr="00456405">
        <w:rPr>
          <w:rFonts w:ascii="Cambria" w:hAnsi="Cambria"/>
          <w:sz w:val="24"/>
          <w:szCs w:val="24"/>
        </w:rPr>
        <w:br/>
      </w:r>
      <w:r w:rsidR="003B71FB" w:rsidRPr="00456405">
        <w:rPr>
          <w:rFonts w:ascii="Cambria" w:hAnsi="Cambria"/>
          <w:b/>
          <w:bCs/>
          <w:sz w:val="24"/>
          <w:szCs w:val="24"/>
        </w:rPr>
        <w:t>Alibaba Group Holding Limited</w:t>
      </w:r>
      <w:r w:rsidR="003B71FB" w:rsidRPr="00456405">
        <w:rPr>
          <w:rFonts w:ascii="Cambria" w:hAnsi="Cambria"/>
          <w:b/>
          <w:bCs/>
          <w:sz w:val="24"/>
          <w:szCs w:val="24"/>
        </w:rPr>
        <w:tab/>
      </w:r>
      <w:r w:rsidR="003B71FB" w:rsidRPr="00456405">
        <w:rPr>
          <w:rFonts w:ascii="Cambria" w:hAnsi="Cambria"/>
          <w:b/>
          <w:bCs/>
          <w:sz w:val="24"/>
          <w:szCs w:val="24"/>
        </w:rPr>
        <w:br/>
      </w:r>
      <w:r w:rsidR="003B71FB" w:rsidRPr="00456405">
        <w:rPr>
          <w:rFonts w:ascii="Cambria" w:hAnsi="Cambria"/>
          <w:sz w:val="24"/>
          <w:szCs w:val="24"/>
        </w:rPr>
        <w:t xml:space="preserve">E-commerce leader in Chinese market, predominantly exposed to their regulatory landscape with increasing scrutiny over e-commerce practices, data privacy and fintech operations. Significant global exposure to European and North American markets </w:t>
      </w:r>
      <w:proofErr w:type="gramStart"/>
      <w:r w:rsidR="003B71FB" w:rsidRPr="00456405">
        <w:rPr>
          <w:rFonts w:ascii="Cambria" w:hAnsi="Cambria"/>
          <w:sz w:val="24"/>
          <w:szCs w:val="24"/>
        </w:rPr>
        <w:t>make</w:t>
      </w:r>
      <w:proofErr w:type="gramEnd"/>
      <w:r w:rsidR="003B71FB" w:rsidRPr="00456405">
        <w:rPr>
          <w:rFonts w:ascii="Cambria" w:hAnsi="Cambria"/>
          <w:sz w:val="24"/>
          <w:szCs w:val="24"/>
        </w:rPr>
        <w:t xml:space="preserve"> them vulnerable to geo-political tensions, presenting material risk to global expansion efforts. </w:t>
      </w:r>
      <w:r w:rsidR="001E2F0F" w:rsidRPr="00456405">
        <w:rPr>
          <w:rFonts w:ascii="Cambria" w:hAnsi="Cambria"/>
          <w:sz w:val="24"/>
          <w:szCs w:val="24"/>
        </w:rPr>
        <w:tab/>
      </w:r>
      <w:r w:rsidR="001E2F0F" w:rsidRPr="00456405">
        <w:rPr>
          <w:rFonts w:ascii="Cambria" w:hAnsi="Cambria"/>
          <w:sz w:val="24"/>
          <w:szCs w:val="24"/>
        </w:rPr>
        <w:br/>
      </w:r>
      <w:r w:rsidR="001E2F0F" w:rsidRPr="00456405">
        <w:rPr>
          <w:rFonts w:ascii="Cambria" w:hAnsi="Cambria"/>
          <w:sz w:val="24"/>
          <w:szCs w:val="24"/>
        </w:rPr>
        <w:br/>
      </w:r>
      <w:r w:rsidR="001E2F0F" w:rsidRPr="00456405">
        <w:rPr>
          <w:rFonts w:ascii="Cambria" w:hAnsi="Cambria"/>
          <w:b/>
          <w:bCs/>
          <w:sz w:val="24"/>
          <w:szCs w:val="24"/>
        </w:rPr>
        <w:t>Carrefour S.A.</w:t>
      </w:r>
      <w:r w:rsidR="001E2F0F" w:rsidRPr="00456405">
        <w:rPr>
          <w:rFonts w:ascii="Cambria" w:hAnsi="Cambria"/>
          <w:b/>
          <w:bCs/>
          <w:sz w:val="24"/>
          <w:szCs w:val="24"/>
        </w:rPr>
        <w:tab/>
      </w:r>
      <w:r w:rsidR="001E2F0F" w:rsidRPr="00456405">
        <w:rPr>
          <w:rFonts w:ascii="Cambria" w:hAnsi="Cambria"/>
          <w:b/>
          <w:bCs/>
          <w:sz w:val="24"/>
          <w:szCs w:val="24"/>
        </w:rPr>
        <w:br/>
      </w:r>
      <w:r w:rsidR="00A82B53" w:rsidRPr="00456405">
        <w:rPr>
          <w:rFonts w:ascii="Cambria" w:hAnsi="Cambria"/>
          <w:sz w:val="24"/>
          <w:szCs w:val="24"/>
        </w:rPr>
        <w:t xml:space="preserve">Carrefour, as a leading European retailer, has significant exposure to regulations on data privacy, sustainability and labour practices. Expansion into Latin America has also exposed them to macroeconomic volatility in the region whilst navigating complex compliance and operational risks in both regions. Emerging market exposure increases their vulnerability and susceptibility to currency fluctuations. </w:t>
      </w:r>
      <w:r w:rsidRPr="00456405">
        <w:rPr>
          <w:rFonts w:ascii="Cambria" w:hAnsi="Cambria"/>
          <w:sz w:val="24"/>
          <w:szCs w:val="24"/>
        </w:rPr>
        <w:tab/>
      </w:r>
      <w:r w:rsidR="00A82B53" w:rsidRPr="00456405">
        <w:rPr>
          <w:rFonts w:ascii="Cambria" w:hAnsi="Cambria"/>
          <w:sz w:val="24"/>
          <w:szCs w:val="24"/>
        </w:rPr>
        <w:br/>
      </w:r>
      <w:r w:rsidR="00A82B53" w:rsidRPr="00456405">
        <w:rPr>
          <w:rFonts w:ascii="Cambria" w:hAnsi="Cambria"/>
          <w:sz w:val="24"/>
          <w:szCs w:val="24"/>
        </w:rPr>
        <w:br/>
      </w:r>
      <w:r w:rsidR="00A82B53" w:rsidRPr="00456405">
        <w:rPr>
          <w:rFonts w:ascii="Cambria" w:hAnsi="Cambria"/>
          <w:b/>
          <w:bCs/>
          <w:sz w:val="24"/>
          <w:szCs w:val="24"/>
        </w:rPr>
        <w:t>Magazine Luiza</w:t>
      </w:r>
      <w:r w:rsidR="00A82B53" w:rsidRPr="00456405">
        <w:rPr>
          <w:rFonts w:ascii="Cambria" w:hAnsi="Cambria"/>
          <w:b/>
          <w:bCs/>
          <w:sz w:val="24"/>
          <w:szCs w:val="24"/>
        </w:rPr>
        <w:tab/>
      </w:r>
      <w:r w:rsidR="00A82B53" w:rsidRPr="00456405">
        <w:rPr>
          <w:rFonts w:ascii="Cambria" w:hAnsi="Cambria"/>
          <w:b/>
          <w:bCs/>
          <w:sz w:val="24"/>
          <w:szCs w:val="24"/>
        </w:rPr>
        <w:br/>
      </w:r>
      <w:r w:rsidR="00A82B53" w:rsidRPr="00456405">
        <w:rPr>
          <w:rFonts w:ascii="Cambria" w:hAnsi="Cambria"/>
          <w:sz w:val="24"/>
          <w:szCs w:val="24"/>
        </w:rPr>
        <w:t xml:space="preserve">Exclusive Brazilian retailer, highly sensitive to fiscal and political instability in the country, with suppressed performance instigated by inflationary pressures and resultant volatile consumer confidence. Macroeconomic uncertainties and regulatory unpredictability pose persistent risks. </w:t>
      </w:r>
      <w:r w:rsidR="006547B9" w:rsidRPr="00456405">
        <w:rPr>
          <w:rFonts w:ascii="Cambria" w:hAnsi="Cambria"/>
          <w:sz w:val="24"/>
          <w:szCs w:val="24"/>
        </w:rPr>
        <w:tab/>
      </w:r>
      <w:r w:rsidR="002B269A" w:rsidRPr="00456405">
        <w:rPr>
          <w:rFonts w:ascii="Cambria" w:hAnsi="Cambria"/>
          <w:b/>
          <w:bCs/>
          <w:sz w:val="24"/>
          <w:szCs w:val="24"/>
        </w:rPr>
        <w:br/>
      </w:r>
      <w:r w:rsidR="00C27353" w:rsidRPr="00456405">
        <w:rPr>
          <w:rFonts w:ascii="Cambria" w:hAnsi="Cambria"/>
          <w:b/>
          <w:bCs/>
          <w:sz w:val="24"/>
          <w:szCs w:val="24"/>
        </w:rPr>
        <w:br/>
        <w:t xml:space="preserve">2. Industry and Competitive Positioning </w:t>
      </w:r>
      <w:r w:rsidR="00C27353" w:rsidRPr="00456405">
        <w:rPr>
          <w:rFonts w:ascii="Cambria" w:hAnsi="Cambria"/>
          <w:b/>
          <w:bCs/>
          <w:sz w:val="24"/>
          <w:szCs w:val="24"/>
        </w:rPr>
        <w:tab/>
      </w:r>
      <w:r w:rsidR="00C27353" w:rsidRPr="00456405">
        <w:rPr>
          <w:rFonts w:ascii="Cambria" w:hAnsi="Cambria"/>
          <w:b/>
          <w:bCs/>
          <w:sz w:val="24"/>
          <w:szCs w:val="24"/>
        </w:rPr>
        <w:br/>
      </w:r>
      <w:r w:rsidR="00C27353" w:rsidRPr="00456405">
        <w:rPr>
          <w:rFonts w:ascii="Cambria" w:hAnsi="Cambria"/>
          <w:b/>
          <w:bCs/>
          <w:sz w:val="24"/>
          <w:szCs w:val="24"/>
        </w:rPr>
        <w:br/>
      </w:r>
      <w:r w:rsidR="00897222" w:rsidRPr="00456405">
        <w:rPr>
          <w:rFonts w:ascii="Cambria" w:hAnsi="Cambria"/>
          <w:b/>
          <w:bCs/>
          <w:sz w:val="24"/>
          <w:szCs w:val="24"/>
        </w:rPr>
        <w:t>Walmart Inc.</w:t>
      </w:r>
      <w:r w:rsidR="00897222" w:rsidRPr="00456405">
        <w:rPr>
          <w:rFonts w:ascii="Cambria" w:hAnsi="Cambria"/>
          <w:b/>
          <w:bCs/>
          <w:sz w:val="24"/>
          <w:szCs w:val="24"/>
        </w:rPr>
        <w:tab/>
      </w:r>
      <w:r w:rsidR="00897222" w:rsidRPr="00456405">
        <w:rPr>
          <w:rFonts w:ascii="Cambria" w:hAnsi="Cambria"/>
          <w:b/>
          <w:bCs/>
          <w:sz w:val="24"/>
          <w:szCs w:val="24"/>
        </w:rPr>
        <w:br/>
      </w:r>
      <w:r w:rsidR="00897222" w:rsidRPr="00456405">
        <w:rPr>
          <w:rFonts w:ascii="Cambria" w:hAnsi="Cambria"/>
          <w:sz w:val="24"/>
          <w:szCs w:val="24"/>
        </w:rPr>
        <w:t xml:space="preserve">Competes with Amazon and Costco in a saturated global retail market. Economies of scale, omnichannel presence and advanced logistics infrastructure strengthen competitive power and leadership position. </w:t>
      </w:r>
      <w:r w:rsidR="00E50656" w:rsidRPr="00456405">
        <w:rPr>
          <w:rFonts w:ascii="Cambria" w:hAnsi="Cambria"/>
          <w:sz w:val="24"/>
          <w:szCs w:val="24"/>
        </w:rPr>
        <w:t>Strategic focus on expanding e-commerce, AI-driven logistics and sustainability initiatives. Risks include cybersecurity threats, operational disruptions and evolving consumer preferences.</w:t>
      </w:r>
      <w:r w:rsidR="00051393" w:rsidRPr="00456405">
        <w:rPr>
          <w:rFonts w:ascii="Cambria" w:hAnsi="Cambria"/>
          <w:sz w:val="24"/>
          <w:szCs w:val="24"/>
        </w:rPr>
        <w:tab/>
      </w:r>
      <w:r w:rsidR="00E50656" w:rsidRPr="00456405">
        <w:rPr>
          <w:rFonts w:ascii="Cambria" w:hAnsi="Cambria"/>
          <w:sz w:val="24"/>
          <w:szCs w:val="24"/>
        </w:rPr>
        <w:t xml:space="preserve"> </w:t>
      </w:r>
      <w:r w:rsidR="00051393" w:rsidRPr="00456405">
        <w:rPr>
          <w:rFonts w:ascii="Cambria" w:hAnsi="Cambria"/>
          <w:sz w:val="24"/>
          <w:szCs w:val="24"/>
        </w:rPr>
        <w:br/>
      </w:r>
      <w:r w:rsidR="00C1630F" w:rsidRPr="00456405">
        <w:rPr>
          <w:rFonts w:ascii="Cambria" w:hAnsi="Cambria"/>
          <w:sz w:val="24"/>
          <w:szCs w:val="24"/>
        </w:rPr>
        <w:tab/>
      </w:r>
      <w:r w:rsidR="00051393" w:rsidRPr="00456405">
        <w:rPr>
          <w:rFonts w:ascii="Cambria" w:hAnsi="Cambria"/>
          <w:sz w:val="24"/>
          <w:szCs w:val="24"/>
        </w:rPr>
        <w:tab/>
      </w:r>
      <w:r w:rsidR="00C1630F" w:rsidRPr="00456405">
        <w:rPr>
          <w:rFonts w:ascii="Cambria" w:hAnsi="Cambria"/>
          <w:sz w:val="24"/>
          <w:szCs w:val="24"/>
        </w:rPr>
        <w:br/>
      </w:r>
      <w:r w:rsidR="00C1630F" w:rsidRPr="00456405">
        <w:rPr>
          <w:rFonts w:ascii="Cambria" w:hAnsi="Cambria"/>
          <w:b/>
          <w:bCs/>
          <w:sz w:val="24"/>
          <w:szCs w:val="24"/>
        </w:rPr>
        <w:t>Costco Wholesale Corporation</w:t>
      </w:r>
      <w:r w:rsidR="00C1630F" w:rsidRPr="00456405">
        <w:rPr>
          <w:rFonts w:ascii="Cambria" w:hAnsi="Cambria"/>
          <w:b/>
          <w:bCs/>
          <w:sz w:val="24"/>
          <w:szCs w:val="24"/>
        </w:rPr>
        <w:tab/>
      </w:r>
      <w:r w:rsidR="00C1630F" w:rsidRPr="00456405">
        <w:rPr>
          <w:rFonts w:ascii="Cambria" w:hAnsi="Cambria"/>
          <w:b/>
          <w:bCs/>
          <w:sz w:val="24"/>
          <w:szCs w:val="24"/>
        </w:rPr>
        <w:br/>
      </w:r>
      <w:r w:rsidR="00C1630F" w:rsidRPr="00456405">
        <w:rPr>
          <w:rFonts w:ascii="Cambria" w:hAnsi="Cambria"/>
          <w:sz w:val="24"/>
          <w:szCs w:val="24"/>
        </w:rPr>
        <w:t>Their wholesale membership model and focus on bulk sales are primary drivers, providing a strong moat against competition</w:t>
      </w:r>
      <w:r w:rsidR="00850959" w:rsidRPr="00456405">
        <w:rPr>
          <w:rFonts w:ascii="Cambria" w:hAnsi="Cambria"/>
          <w:sz w:val="24"/>
          <w:szCs w:val="24"/>
        </w:rPr>
        <w:t xml:space="preserve"> like Walmart and BJ’s </w:t>
      </w:r>
      <w:r w:rsidR="00F076B4" w:rsidRPr="00456405">
        <w:rPr>
          <w:rFonts w:ascii="Cambria" w:hAnsi="Cambria"/>
          <w:sz w:val="24"/>
          <w:szCs w:val="24"/>
        </w:rPr>
        <w:t>Wholesale</w:t>
      </w:r>
      <w:r w:rsidR="00C1630F" w:rsidRPr="00456405">
        <w:rPr>
          <w:rFonts w:ascii="Cambria" w:hAnsi="Cambria"/>
          <w:sz w:val="24"/>
          <w:szCs w:val="24"/>
        </w:rPr>
        <w:t xml:space="preserve">. High customer retention and operational efficiencies allow for exceptional competitive positioning. </w:t>
      </w:r>
      <w:r w:rsidR="00051393" w:rsidRPr="00456405">
        <w:rPr>
          <w:rFonts w:ascii="Cambria" w:hAnsi="Cambria"/>
          <w:sz w:val="24"/>
          <w:szCs w:val="24"/>
        </w:rPr>
        <w:t xml:space="preserve">Targeted interventions around calibrated international expansion and membership retention </w:t>
      </w:r>
      <w:r w:rsidR="00AA55F5" w:rsidRPr="00456405">
        <w:rPr>
          <w:rFonts w:ascii="Cambria" w:hAnsi="Cambria"/>
          <w:sz w:val="24"/>
          <w:szCs w:val="24"/>
        </w:rPr>
        <w:t xml:space="preserve">are key strategic goals. However, price sensitivity, economic downturns and reliance on supplier relationships remain key challenges. </w:t>
      </w:r>
      <w:r w:rsidR="00445FB2" w:rsidRPr="00456405">
        <w:rPr>
          <w:rFonts w:ascii="Cambria" w:hAnsi="Cambria"/>
          <w:sz w:val="24"/>
          <w:szCs w:val="24"/>
        </w:rPr>
        <w:tab/>
      </w:r>
      <w:r w:rsidR="00445FB2" w:rsidRPr="00456405">
        <w:rPr>
          <w:rFonts w:ascii="Cambria" w:hAnsi="Cambria"/>
          <w:sz w:val="24"/>
          <w:szCs w:val="24"/>
        </w:rPr>
        <w:br/>
      </w:r>
      <w:r w:rsidR="00445FB2" w:rsidRPr="00456405">
        <w:rPr>
          <w:rFonts w:ascii="Cambria" w:hAnsi="Cambria"/>
          <w:sz w:val="24"/>
          <w:szCs w:val="24"/>
        </w:rPr>
        <w:br/>
      </w:r>
      <w:r w:rsidR="00445FB2" w:rsidRPr="00456405">
        <w:rPr>
          <w:rFonts w:ascii="Cambria" w:hAnsi="Cambria"/>
          <w:b/>
          <w:bCs/>
          <w:sz w:val="24"/>
          <w:szCs w:val="24"/>
        </w:rPr>
        <w:t>Alibaba Group Holding Limited</w:t>
      </w:r>
      <w:r w:rsidR="00445FB2" w:rsidRPr="00456405">
        <w:rPr>
          <w:rFonts w:ascii="Cambria" w:hAnsi="Cambria"/>
          <w:b/>
          <w:bCs/>
          <w:sz w:val="24"/>
          <w:szCs w:val="24"/>
        </w:rPr>
        <w:tab/>
      </w:r>
      <w:r w:rsidR="00445FB2" w:rsidRPr="00456405">
        <w:rPr>
          <w:rFonts w:ascii="Cambria" w:hAnsi="Cambria"/>
          <w:b/>
          <w:bCs/>
          <w:sz w:val="24"/>
          <w:szCs w:val="24"/>
        </w:rPr>
        <w:br/>
      </w:r>
      <w:r w:rsidR="00445FB2" w:rsidRPr="00456405">
        <w:rPr>
          <w:rFonts w:ascii="Cambria" w:hAnsi="Cambria"/>
          <w:sz w:val="24"/>
          <w:szCs w:val="24"/>
        </w:rPr>
        <w:t>Dominating the Chinese retail landscape, pioneered industry</w:t>
      </w:r>
      <w:r w:rsidR="00850959" w:rsidRPr="00456405">
        <w:rPr>
          <w:rFonts w:ascii="Cambria" w:hAnsi="Cambria"/>
          <w:sz w:val="24"/>
          <w:szCs w:val="24"/>
        </w:rPr>
        <w:t xml:space="preserve">-changing innovation. Faces stiff competition from JD.com and </w:t>
      </w:r>
      <w:proofErr w:type="spellStart"/>
      <w:r w:rsidR="00850959" w:rsidRPr="00456405">
        <w:rPr>
          <w:rFonts w:ascii="Cambria" w:hAnsi="Cambria"/>
          <w:sz w:val="24"/>
          <w:szCs w:val="24"/>
        </w:rPr>
        <w:t>Pinduoduo</w:t>
      </w:r>
      <w:proofErr w:type="spellEnd"/>
      <w:r w:rsidR="00850959" w:rsidRPr="00456405">
        <w:rPr>
          <w:rFonts w:ascii="Cambria" w:hAnsi="Cambria"/>
          <w:sz w:val="24"/>
          <w:szCs w:val="24"/>
        </w:rPr>
        <w:t xml:space="preserve">. Their ecosystem is built around digital innovation, e-commerce and significant investments in fintech backed by cloud computing, allowing for a diversified revenue base. </w:t>
      </w:r>
      <w:r w:rsidR="000C656F" w:rsidRPr="00456405">
        <w:rPr>
          <w:rFonts w:ascii="Cambria" w:hAnsi="Cambria"/>
          <w:sz w:val="24"/>
          <w:szCs w:val="24"/>
        </w:rPr>
        <w:t xml:space="preserve">Continuing to expand into international markets and diversify via cloud </w:t>
      </w:r>
      <w:r w:rsidR="000C656F" w:rsidRPr="00456405">
        <w:rPr>
          <w:rFonts w:ascii="Cambria" w:hAnsi="Cambria"/>
          <w:sz w:val="24"/>
          <w:szCs w:val="24"/>
        </w:rPr>
        <w:lastRenderedPageBreak/>
        <w:t>computing remain a primary objective. However, regulatory intervention and anti-trust scrutiny coupled with heightened domestic and global competition impedes long-term outlook.</w:t>
      </w:r>
      <w:r w:rsidR="00452F1D" w:rsidRPr="00456405">
        <w:rPr>
          <w:rFonts w:ascii="Cambria" w:hAnsi="Cambria"/>
          <w:sz w:val="24"/>
          <w:szCs w:val="24"/>
        </w:rPr>
        <w:tab/>
      </w:r>
      <w:r w:rsidR="004F4848" w:rsidRPr="00456405">
        <w:rPr>
          <w:rFonts w:ascii="Cambria" w:hAnsi="Cambria"/>
          <w:sz w:val="24"/>
          <w:szCs w:val="24"/>
        </w:rPr>
        <w:br/>
      </w:r>
      <w:r w:rsidR="004F4848" w:rsidRPr="00456405">
        <w:rPr>
          <w:rFonts w:ascii="Cambria" w:hAnsi="Cambria"/>
          <w:sz w:val="24"/>
          <w:szCs w:val="24"/>
        </w:rPr>
        <w:br/>
      </w:r>
      <w:r w:rsidR="00F017F4" w:rsidRPr="00456405">
        <w:rPr>
          <w:rFonts w:ascii="Cambria" w:hAnsi="Cambria"/>
          <w:b/>
          <w:bCs/>
          <w:sz w:val="24"/>
          <w:szCs w:val="24"/>
        </w:rPr>
        <w:t>Carrefour S.A.</w:t>
      </w:r>
      <w:r w:rsidR="00F017F4" w:rsidRPr="00456405">
        <w:rPr>
          <w:rFonts w:ascii="Cambria" w:hAnsi="Cambria"/>
          <w:b/>
          <w:bCs/>
          <w:sz w:val="24"/>
          <w:szCs w:val="24"/>
        </w:rPr>
        <w:tab/>
      </w:r>
      <w:r w:rsidR="00F017F4" w:rsidRPr="00456405">
        <w:rPr>
          <w:rFonts w:ascii="Cambria" w:hAnsi="Cambria"/>
          <w:b/>
          <w:bCs/>
          <w:sz w:val="24"/>
          <w:szCs w:val="24"/>
        </w:rPr>
        <w:br/>
      </w:r>
      <w:r w:rsidR="00F017F4" w:rsidRPr="00456405">
        <w:rPr>
          <w:rFonts w:ascii="Cambria" w:hAnsi="Cambria"/>
          <w:sz w:val="24"/>
          <w:szCs w:val="24"/>
        </w:rPr>
        <w:t xml:space="preserve">Competes with aggressive discount retailers and e-commerce giants with stiff price sensitive competition. </w:t>
      </w:r>
      <w:r w:rsidR="00943B61" w:rsidRPr="00456405">
        <w:rPr>
          <w:rFonts w:ascii="Cambria" w:hAnsi="Cambria"/>
          <w:sz w:val="24"/>
          <w:szCs w:val="24"/>
        </w:rPr>
        <w:t xml:space="preserve">Key drivers are market penetration across Europe and Latin America though disruptive digital innovation and aggressive pricing strategies from competitors create challenges. </w:t>
      </w:r>
      <w:r w:rsidR="00452F1D" w:rsidRPr="00456405">
        <w:rPr>
          <w:rFonts w:ascii="Cambria" w:hAnsi="Cambria"/>
          <w:sz w:val="24"/>
          <w:szCs w:val="24"/>
        </w:rPr>
        <w:t xml:space="preserve">As a result, strategic priorities include digital transformation and supply chain efficiency while expanding organic and private-label offerings. </w:t>
      </w:r>
      <w:r w:rsidR="00525927" w:rsidRPr="00456405">
        <w:rPr>
          <w:rFonts w:ascii="Cambria" w:hAnsi="Cambria"/>
          <w:sz w:val="24"/>
          <w:szCs w:val="24"/>
        </w:rPr>
        <w:tab/>
      </w:r>
      <w:r w:rsidR="00525927" w:rsidRPr="00456405">
        <w:rPr>
          <w:rFonts w:ascii="Cambria" w:hAnsi="Cambria"/>
          <w:sz w:val="24"/>
          <w:szCs w:val="24"/>
        </w:rPr>
        <w:br/>
      </w:r>
      <w:r w:rsidR="00525927" w:rsidRPr="00456405">
        <w:rPr>
          <w:rFonts w:ascii="Cambria" w:hAnsi="Cambria"/>
          <w:sz w:val="24"/>
          <w:szCs w:val="24"/>
        </w:rPr>
        <w:br/>
      </w:r>
      <w:r w:rsidR="00525927" w:rsidRPr="00456405">
        <w:rPr>
          <w:rFonts w:ascii="Cambria" w:hAnsi="Cambria"/>
          <w:b/>
          <w:bCs/>
          <w:sz w:val="24"/>
          <w:szCs w:val="24"/>
        </w:rPr>
        <w:t>Magazine Luiza</w:t>
      </w:r>
      <w:r w:rsidR="00525927" w:rsidRPr="00456405">
        <w:rPr>
          <w:rFonts w:ascii="Cambria" w:hAnsi="Cambria"/>
          <w:b/>
          <w:bCs/>
          <w:sz w:val="24"/>
          <w:szCs w:val="24"/>
        </w:rPr>
        <w:tab/>
      </w:r>
      <w:r w:rsidR="00525927" w:rsidRPr="00456405">
        <w:rPr>
          <w:rFonts w:ascii="Cambria" w:hAnsi="Cambria"/>
          <w:b/>
          <w:bCs/>
          <w:sz w:val="24"/>
          <w:szCs w:val="24"/>
        </w:rPr>
        <w:br/>
      </w:r>
      <w:r w:rsidR="00525927" w:rsidRPr="00456405">
        <w:rPr>
          <w:rFonts w:ascii="Cambria" w:hAnsi="Cambria"/>
          <w:sz w:val="24"/>
          <w:szCs w:val="24"/>
        </w:rPr>
        <w:t>Facing stiff competition from both local and international entrants like Amazon Brazil, prompted digital transformation initiatives and national outreach programmes, although maintaining market share</w:t>
      </w:r>
      <w:r w:rsidR="001E1176" w:rsidRPr="00456405">
        <w:rPr>
          <w:rFonts w:ascii="Cambria" w:hAnsi="Cambria"/>
          <w:sz w:val="24"/>
          <w:szCs w:val="24"/>
        </w:rPr>
        <w:t>,</w:t>
      </w:r>
      <w:r w:rsidR="00525927" w:rsidRPr="00456405">
        <w:rPr>
          <w:rFonts w:ascii="Cambria" w:hAnsi="Cambria"/>
          <w:sz w:val="24"/>
          <w:szCs w:val="24"/>
        </w:rPr>
        <w:t xml:space="preserve"> through continuous investment in technology and logistics, proving difficult in volatile regulatory and macroeconomic environment. </w:t>
      </w:r>
    </w:p>
    <w:p w14:paraId="4C529D54" w14:textId="77777777" w:rsidR="00A52549" w:rsidRPr="00456405" w:rsidRDefault="00A52549" w:rsidP="00A52549">
      <w:pPr>
        <w:pStyle w:val="ListParagraph"/>
        <w:spacing w:beforeLines="20" w:before="48" w:afterLines="40" w:after="96" w:line="240" w:lineRule="auto"/>
        <w:ind w:left="360"/>
        <w:jc w:val="both"/>
        <w:rPr>
          <w:rFonts w:ascii="Cambria" w:hAnsi="Cambria"/>
          <w:b/>
          <w:bCs/>
        </w:rPr>
      </w:pPr>
    </w:p>
    <w:p w14:paraId="4077333C" w14:textId="3E59226E" w:rsidR="006547B9" w:rsidRPr="00456405" w:rsidRDefault="008F2124">
      <w:pPr>
        <w:rPr>
          <w:rFonts w:ascii="Cambria" w:hAnsi="Cambria"/>
          <w:b/>
          <w:bCs/>
          <w:sz w:val="28"/>
          <w:szCs w:val="28"/>
        </w:rPr>
      </w:pPr>
      <w:r w:rsidRPr="00456405">
        <w:rPr>
          <w:rFonts w:ascii="Cambria" w:hAnsi="Cambria"/>
          <w:b/>
          <w:bCs/>
          <w:noProof/>
          <w:sz w:val="28"/>
          <w:szCs w:val="28"/>
        </w:rPr>
        <mc:AlternateContent>
          <mc:Choice Requires="wps">
            <w:drawing>
              <wp:anchor distT="45720" distB="45720" distL="114300" distR="114300" simplePos="0" relativeHeight="251675648" behindDoc="0" locked="0" layoutInCell="1" allowOverlap="1" wp14:anchorId="7C8AA382" wp14:editId="56C7871C">
                <wp:simplePos x="0" y="0"/>
                <wp:positionH relativeFrom="margin">
                  <wp:posOffset>-137160</wp:posOffset>
                </wp:positionH>
                <wp:positionV relativeFrom="paragraph">
                  <wp:posOffset>303530</wp:posOffset>
                </wp:positionV>
                <wp:extent cx="6751320" cy="4114800"/>
                <wp:effectExtent l="0" t="0" r="0" b="0"/>
                <wp:wrapSquare wrapText="bothSides"/>
                <wp:docPr id="2143748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320" cy="4114800"/>
                        </a:xfrm>
                        <a:prstGeom prst="rect">
                          <a:avLst/>
                        </a:prstGeom>
                        <a:noFill/>
                        <a:ln w="9525">
                          <a:noFill/>
                          <a:miter lim="800000"/>
                          <a:headEnd/>
                          <a:tailEnd/>
                        </a:ln>
                      </wps:spPr>
                      <wps:txbx>
                        <w:txbxContent>
                          <w:tbl>
                            <w:tblPr>
                              <w:tblStyle w:val="TableGrid"/>
                              <w:tblW w:w="9867" w:type="dxa"/>
                              <w:tblInd w:w="-5" w:type="dxa"/>
                              <w:tblLook w:val="04A0" w:firstRow="1" w:lastRow="0" w:firstColumn="1" w:lastColumn="0" w:noHBand="0" w:noVBand="1"/>
                            </w:tblPr>
                            <w:tblGrid>
                              <w:gridCol w:w="2466"/>
                              <w:gridCol w:w="2466"/>
                              <w:gridCol w:w="2466"/>
                              <w:gridCol w:w="2469"/>
                            </w:tblGrid>
                            <w:tr w:rsidR="008F2124" w14:paraId="08BC58B1" w14:textId="77777777" w:rsidTr="00172F7D">
                              <w:trPr>
                                <w:trHeight w:val="678"/>
                              </w:trPr>
                              <w:tc>
                                <w:tcPr>
                                  <w:tcW w:w="2466" w:type="dxa"/>
                                </w:tcPr>
                                <w:p w14:paraId="668FAC4A" w14:textId="3E3D930D" w:rsidR="008F2124" w:rsidRPr="00172F7D" w:rsidRDefault="008F2124">
                                  <w:pPr>
                                    <w:rPr>
                                      <w:b/>
                                      <w:bCs/>
                                    </w:rPr>
                                  </w:pPr>
                                  <w:r w:rsidRPr="00172F7D">
                                    <w:rPr>
                                      <w:b/>
                                      <w:bCs/>
                                    </w:rPr>
                                    <w:t>Company</w:t>
                                  </w:r>
                                </w:p>
                              </w:tc>
                              <w:tc>
                                <w:tcPr>
                                  <w:tcW w:w="2466" w:type="dxa"/>
                                </w:tcPr>
                                <w:p w14:paraId="30D16EBF" w14:textId="3B9A6202" w:rsidR="008F2124" w:rsidRPr="00172F7D" w:rsidRDefault="008F2124">
                                  <w:pPr>
                                    <w:rPr>
                                      <w:b/>
                                      <w:bCs/>
                                    </w:rPr>
                                  </w:pPr>
                                  <w:r w:rsidRPr="00172F7D">
                                    <w:rPr>
                                      <w:b/>
                                      <w:bCs/>
                                    </w:rPr>
                                    <w:t>Ownership Structure</w:t>
                                  </w:r>
                                </w:p>
                              </w:tc>
                              <w:tc>
                                <w:tcPr>
                                  <w:tcW w:w="2466" w:type="dxa"/>
                                </w:tcPr>
                                <w:p w14:paraId="6D926362" w14:textId="61B1E3EE" w:rsidR="008F2124" w:rsidRPr="00172F7D" w:rsidRDefault="008F2124">
                                  <w:pPr>
                                    <w:rPr>
                                      <w:b/>
                                      <w:bCs/>
                                    </w:rPr>
                                  </w:pPr>
                                  <w:r w:rsidRPr="00172F7D">
                                    <w:rPr>
                                      <w:b/>
                                      <w:bCs/>
                                    </w:rPr>
                                    <w:t>CEO</w:t>
                                  </w:r>
                                </w:p>
                              </w:tc>
                              <w:tc>
                                <w:tcPr>
                                  <w:tcW w:w="2469" w:type="dxa"/>
                                </w:tcPr>
                                <w:p w14:paraId="23FBAA2D" w14:textId="2C77CF5E" w:rsidR="008F2124" w:rsidRPr="00172F7D" w:rsidRDefault="008F2124">
                                  <w:pPr>
                                    <w:rPr>
                                      <w:b/>
                                      <w:bCs/>
                                    </w:rPr>
                                  </w:pPr>
                                  <w:r w:rsidRPr="00172F7D">
                                    <w:rPr>
                                      <w:b/>
                                      <w:bCs/>
                                    </w:rPr>
                                    <w:t>Corporate Governance Framework</w:t>
                                  </w:r>
                                </w:p>
                              </w:tc>
                            </w:tr>
                            <w:tr w:rsidR="008F2124" w14:paraId="1A997964" w14:textId="77777777" w:rsidTr="00172F7D">
                              <w:trPr>
                                <w:trHeight w:val="648"/>
                              </w:trPr>
                              <w:tc>
                                <w:tcPr>
                                  <w:tcW w:w="2466" w:type="dxa"/>
                                </w:tcPr>
                                <w:p w14:paraId="3CA337B2" w14:textId="7A60AF54" w:rsidR="008F2124" w:rsidRPr="00172F7D" w:rsidRDefault="008F2124">
                                  <w:pPr>
                                    <w:rPr>
                                      <w:b/>
                                      <w:bCs/>
                                    </w:rPr>
                                  </w:pPr>
                                  <w:r w:rsidRPr="00172F7D">
                                    <w:rPr>
                                      <w:b/>
                                      <w:bCs/>
                                    </w:rPr>
                                    <w:t>Walmart Inc.</w:t>
                                  </w:r>
                                </w:p>
                              </w:tc>
                              <w:tc>
                                <w:tcPr>
                                  <w:tcW w:w="2466" w:type="dxa"/>
                                </w:tcPr>
                                <w:p w14:paraId="5C9C86BF" w14:textId="69F89D76" w:rsidR="008F2124" w:rsidRDefault="008F2124">
                                  <w:r w:rsidRPr="008F2124">
                                    <w:t>Walton family holds 46%</w:t>
                                  </w:r>
                                </w:p>
                              </w:tc>
                              <w:tc>
                                <w:tcPr>
                                  <w:tcW w:w="2466" w:type="dxa"/>
                                </w:tcPr>
                                <w:p w14:paraId="7BEA3A7B" w14:textId="4414A6F4" w:rsidR="008F2124" w:rsidRDefault="008F2124">
                                  <w:r w:rsidRPr="008F2124">
                                    <w:t>Doug McMillon</w:t>
                                  </w:r>
                                </w:p>
                              </w:tc>
                              <w:tc>
                                <w:tcPr>
                                  <w:tcW w:w="2469" w:type="dxa"/>
                                </w:tcPr>
                                <w:p w14:paraId="63D26C81" w14:textId="61C5431E" w:rsidR="008F2124" w:rsidRDefault="008F2124">
                                  <w:r w:rsidRPr="008F2124">
                                    <w:t>Strong governance, independent board with ESG focus.</w:t>
                                  </w:r>
                                </w:p>
                              </w:tc>
                            </w:tr>
                            <w:tr w:rsidR="008F2124" w14:paraId="5063274F" w14:textId="77777777" w:rsidTr="00172F7D">
                              <w:trPr>
                                <w:trHeight w:val="648"/>
                              </w:trPr>
                              <w:tc>
                                <w:tcPr>
                                  <w:tcW w:w="2466" w:type="dxa"/>
                                </w:tcPr>
                                <w:p w14:paraId="0CD2B3B8" w14:textId="6EE9EF3C" w:rsidR="008F2124" w:rsidRPr="00172F7D" w:rsidRDefault="008F2124">
                                  <w:pPr>
                                    <w:rPr>
                                      <w:b/>
                                      <w:bCs/>
                                    </w:rPr>
                                  </w:pPr>
                                  <w:r w:rsidRPr="00172F7D">
                                    <w:rPr>
                                      <w:b/>
                                      <w:bCs/>
                                    </w:rPr>
                                    <w:t>Costco</w:t>
                                  </w:r>
                                </w:p>
                              </w:tc>
                              <w:tc>
                                <w:tcPr>
                                  <w:tcW w:w="2466" w:type="dxa"/>
                                </w:tcPr>
                                <w:p w14:paraId="0A454AC7" w14:textId="30102C87" w:rsidR="008F2124" w:rsidRDefault="008F2124">
                                  <w:r w:rsidRPr="008F2124">
                                    <w:t>Publicly traded</w:t>
                                  </w:r>
                                </w:p>
                              </w:tc>
                              <w:tc>
                                <w:tcPr>
                                  <w:tcW w:w="2466" w:type="dxa"/>
                                </w:tcPr>
                                <w:p w14:paraId="1F5258DC" w14:textId="493B8583" w:rsidR="008F2124" w:rsidRDefault="008F2124">
                                  <w:r w:rsidRPr="008F2124">
                                    <w:t>Craig Jelinek</w:t>
                                  </w:r>
                                </w:p>
                              </w:tc>
                              <w:tc>
                                <w:tcPr>
                                  <w:tcW w:w="2469" w:type="dxa"/>
                                </w:tcPr>
                                <w:p w14:paraId="3527BBFA" w14:textId="39A29B2F" w:rsidR="008F2124" w:rsidRDefault="008F2124">
                                  <w:r w:rsidRPr="008F2124">
                                    <w:t>Transparent governance, majority independent directors.</w:t>
                                  </w:r>
                                </w:p>
                              </w:tc>
                            </w:tr>
                            <w:tr w:rsidR="008F2124" w14:paraId="70090FDE" w14:textId="77777777" w:rsidTr="00172F7D">
                              <w:trPr>
                                <w:trHeight w:val="648"/>
                              </w:trPr>
                              <w:tc>
                                <w:tcPr>
                                  <w:tcW w:w="2466" w:type="dxa"/>
                                </w:tcPr>
                                <w:p w14:paraId="06E7D21A" w14:textId="4AE13744" w:rsidR="008F2124" w:rsidRPr="00172F7D" w:rsidRDefault="008F2124">
                                  <w:pPr>
                                    <w:rPr>
                                      <w:b/>
                                      <w:bCs/>
                                    </w:rPr>
                                  </w:pPr>
                                  <w:r w:rsidRPr="00172F7D">
                                    <w:rPr>
                                      <w:b/>
                                      <w:bCs/>
                                    </w:rPr>
                                    <w:t>Alibaba</w:t>
                                  </w:r>
                                </w:p>
                              </w:tc>
                              <w:tc>
                                <w:tcPr>
                                  <w:tcW w:w="2466" w:type="dxa"/>
                                </w:tcPr>
                                <w:p w14:paraId="0673DF1B" w14:textId="567E729A" w:rsidR="008F2124" w:rsidRDefault="008F2124">
                                  <w:r w:rsidRPr="008F2124">
                                    <w:t>Partnership model, major institutional investors</w:t>
                                  </w:r>
                                </w:p>
                              </w:tc>
                              <w:tc>
                                <w:tcPr>
                                  <w:tcW w:w="2466" w:type="dxa"/>
                                </w:tcPr>
                                <w:p w14:paraId="2642B001" w14:textId="5AF881BB" w:rsidR="008F2124" w:rsidRDefault="008F2124">
                                  <w:r w:rsidRPr="008F2124">
                                    <w:t>Daniel Zhang</w:t>
                                  </w:r>
                                </w:p>
                              </w:tc>
                              <w:tc>
                                <w:tcPr>
                                  <w:tcW w:w="2469" w:type="dxa"/>
                                </w:tcPr>
                                <w:p w14:paraId="6766DBBF" w14:textId="46A1677B" w:rsidR="008F2124" w:rsidRDefault="008F2124">
                                  <w:r w:rsidRPr="008F2124">
                                    <w:t>Complex governance structure; regulatory scrutiny concerns.</w:t>
                                  </w:r>
                                </w:p>
                              </w:tc>
                            </w:tr>
                            <w:tr w:rsidR="008F2124" w14:paraId="61EDD328" w14:textId="77777777" w:rsidTr="00172F7D">
                              <w:trPr>
                                <w:trHeight w:val="678"/>
                              </w:trPr>
                              <w:tc>
                                <w:tcPr>
                                  <w:tcW w:w="2466" w:type="dxa"/>
                                </w:tcPr>
                                <w:p w14:paraId="26B29D8E" w14:textId="66ED9BCB" w:rsidR="008F2124" w:rsidRPr="00172F7D" w:rsidRDefault="008F2124">
                                  <w:pPr>
                                    <w:rPr>
                                      <w:b/>
                                      <w:bCs/>
                                    </w:rPr>
                                  </w:pPr>
                                  <w:r w:rsidRPr="00172F7D">
                                    <w:rPr>
                                      <w:b/>
                                      <w:bCs/>
                                    </w:rPr>
                                    <w:t>Carrefour</w:t>
                                  </w:r>
                                </w:p>
                              </w:tc>
                              <w:tc>
                                <w:tcPr>
                                  <w:tcW w:w="2466" w:type="dxa"/>
                                </w:tcPr>
                                <w:p w14:paraId="2D530543" w14:textId="22A690DF" w:rsidR="008F2124" w:rsidRDefault="008F2124">
                                  <w:r w:rsidRPr="008F2124">
                                    <w:t>Publicly traded, diverse institutional shareholders</w:t>
                                  </w:r>
                                </w:p>
                              </w:tc>
                              <w:tc>
                                <w:tcPr>
                                  <w:tcW w:w="2466" w:type="dxa"/>
                                </w:tcPr>
                                <w:p w14:paraId="64FDA96A" w14:textId="4A74217F" w:rsidR="008F2124" w:rsidRDefault="008F2124">
                                  <w:r w:rsidRPr="008F2124">
                                    <w:t>Alexandre Bompard</w:t>
                                  </w:r>
                                </w:p>
                              </w:tc>
                              <w:tc>
                                <w:tcPr>
                                  <w:tcW w:w="2469" w:type="dxa"/>
                                </w:tcPr>
                                <w:p w14:paraId="72592BAF" w14:textId="0466690F" w:rsidR="008F2124" w:rsidRDefault="008F2124">
                                  <w:r w:rsidRPr="008F2124">
                                    <w:t>Committed to cost-cutting, digital transformation oversight.</w:t>
                                  </w:r>
                                </w:p>
                              </w:tc>
                            </w:tr>
                            <w:tr w:rsidR="008F2124" w14:paraId="36990309" w14:textId="77777777" w:rsidTr="00172F7D">
                              <w:trPr>
                                <w:trHeight w:val="648"/>
                              </w:trPr>
                              <w:tc>
                                <w:tcPr>
                                  <w:tcW w:w="2466" w:type="dxa"/>
                                </w:tcPr>
                                <w:p w14:paraId="7BCA85A9" w14:textId="6B4DBC18" w:rsidR="008F2124" w:rsidRPr="00172F7D" w:rsidRDefault="008F2124">
                                  <w:pPr>
                                    <w:rPr>
                                      <w:b/>
                                      <w:bCs/>
                                    </w:rPr>
                                  </w:pPr>
                                  <w:r w:rsidRPr="00172F7D">
                                    <w:rPr>
                                      <w:b/>
                                      <w:bCs/>
                                    </w:rPr>
                                    <w:t>Magazine Luiza</w:t>
                                  </w:r>
                                </w:p>
                              </w:tc>
                              <w:tc>
                                <w:tcPr>
                                  <w:tcW w:w="2466" w:type="dxa"/>
                                </w:tcPr>
                                <w:p w14:paraId="2376A653" w14:textId="7D2523E2" w:rsidR="008F2124" w:rsidRDefault="008F2124">
                                  <w:r w:rsidRPr="008F2124">
                                    <w:t>Publicly listed, Trajano family influence</w:t>
                                  </w:r>
                                </w:p>
                              </w:tc>
                              <w:tc>
                                <w:tcPr>
                                  <w:tcW w:w="2466" w:type="dxa"/>
                                </w:tcPr>
                                <w:p w14:paraId="19D7706F" w14:textId="48A204DC" w:rsidR="008F2124" w:rsidRDefault="008F2124">
                                  <w:r w:rsidRPr="008F2124">
                                    <w:t>Frederico Trajano</w:t>
                                  </w:r>
                                </w:p>
                              </w:tc>
                              <w:tc>
                                <w:tcPr>
                                  <w:tcW w:w="2469" w:type="dxa"/>
                                </w:tcPr>
                                <w:p w14:paraId="7901013A" w14:textId="3210A3B9" w:rsidR="008F2124" w:rsidRDefault="008F2124">
                                  <w:r w:rsidRPr="008F2124">
                                    <w:t>Strong governance; strategic digital leadership.</w:t>
                                  </w:r>
                                </w:p>
                              </w:tc>
                            </w:tr>
                          </w:tbl>
                          <w:p w14:paraId="57759EF5" w14:textId="62380809" w:rsidR="008F2124" w:rsidRPr="00241CBE" w:rsidRDefault="00046B0C">
                            <w:pPr>
                              <w:rPr>
                                <w:rFonts w:ascii="Cambria" w:hAnsi="Cambria"/>
                                <w:i/>
                                <w:iCs/>
                                <w:sz w:val="20"/>
                                <w:szCs w:val="20"/>
                              </w:rPr>
                            </w:pPr>
                            <w:r>
                              <w:br/>
                            </w:r>
                            <w:r w:rsidRPr="00241CBE">
                              <w:rPr>
                                <w:rFonts w:ascii="Cambria" w:hAnsi="Cambria"/>
                                <w:b/>
                                <w:bCs/>
                                <w:i/>
                                <w:iCs/>
                                <w:sz w:val="20"/>
                                <w:szCs w:val="20"/>
                              </w:rPr>
                              <w:t>Table 1</w:t>
                            </w:r>
                            <w:r w:rsidRPr="00241CBE">
                              <w:rPr>
                                <w:rFonts w:ascii="Cambria" w:hAnsi="Cambria"/>
                                <w:i/>
                                <w:iCs/>
                                <w:sz w:val="20"/>
                                <w:szCs w:val="20"/>
                              </w:rPr>
                              <w:t xml:space="preserve">: </w:t>
                            </w:r>
                            <w:r w:rsidR="005A3ABF">
                              <w:rPr>
                                <w:rFonts w:ascii="Cambria" w:hAnsi="Cambria"/>
                                <w:i/>
                                <w:iCs/>
                                <w:sz w:val="20"/>
                                <w:szCs w:val="20"/>
                              </w:rPr>
                              <w:t xml:space="preserve">Ownership and </w:t>
                            </w:r>
                            <w:r w:rsidRPr="00241CBE">
                              <w:rPr>
                                <w:rFonts w:ascii="Cambria" w:hAnsi="Cambria"/>
                                <w:i/>
                                <w:iCs/>
                                <w:sz w:val="20"/>
                                <w:szCs w:val="20"/>
                              </w:rPr>
                              <w:t>Corporate Governance Overview – This table summarizes the ownership structure, CEO, and corporate governance framework of five major retailers, highlighting governance transparency, regulatory concerns, and strategic oversight.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AA382" id="_x0000_t202" coordsize="21600,21600" o:spt="202" path="m,l,21600r21600,l21600,xe">
                <v:stroke joinstyle="miter"/>
                <v:path gradientshapeok="t" o:connecttype="rect"/>
              </v:shapetype>
              <v:shape id="_x0000_s1026" type="#_x0000_t202" style="position:absolute;margin-left:-10.8pt;margin-top:23.9pt;width:531.6pt;height:32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" filled="f" stroked="f">
                <v:textbox>
                  <w:txbxContent>
                    <w:tbl>
                      <w:tblPr>
                        <w:tblStyle w:val="TableGrid"/>
                        <w:tblW w:w="9867" w:type="dxa"/>
                        <w:tblInd w:w="-5" w:type="dxa"/>
                        <w:tblLook w:val="04A0" w:firstRow="1" w:lastRow="0" w:firstColumn="1" w:lastColumn="0" w:noHBand="0" w:noVBand="1"/>
                      </w:tblPr>
                      <w:tblGrid>
                        <w:gridCol w:w="2466"/>
                        <w:gridCol w:w="2466"/>
                        <w:gridCol w:w="2466"/>
                        <w:gridCol w:w="2469"/>
                      </w:tblGrid>
                      <w:tr w:rsidR="008F2124" w14:paraId="08BC58B1" w14:textId="77777777" w:rsidTr="00172F7D">
                        <w:trPr>
                          <w:trHeight w:val="678"/>
                        </w:trPr>
                        <w:tc>
                          <w:tcPr>
                            <w:tcW w:w="2466" w:type="dxa"/>
                          </w:tcPr>
                          <w:p w14:paraId="668FAC4A" w14:textId="3E3D930D" w:rsidR="008F2124" w:rsidRPr="00172F7D" w:rsidRDefault="008F2124">
                            <w:pPr>
                              <w:rPr>
                                <w:b/>
                                <w:bCs/>
                              </w:rPr>
                            </w:pPr>
                            <w:r w:rsidRPr="00172F7D">
                              <w:rPr>
                                <w:b/>
                                <w:bCs/>
                              </w:rPr>
                              <w:t>Company</w:t>
                            </w:r>
                          </w:p>
                        </w:tc>
                        <w:tc>
                          <w:tcPr>
                            <w:tcW w:w="2466" w:type="dxa"/>
                          </w:tcPr>
                          <w:p w14:paraId="30D16EBF" w14:textId="3B9A6202" w:rsidR="008F2124" w:rsidRPr="00172F7D" w:rsidRDefault="008F2124">
                            <w:pPr>
                              <w:rPr>
                                <w:b/>
                                <w:bCs/>
                              </w:rPr>
                            </w:pPr>
                            <w:r w:rsidRPr="00172F7D">
                              <w:rPr>
                                <w:b/>
                                <w:bCs/>
                              </w:rPr>
                              <w:t>Ownership Structure</w:t>
                            </w:r>
                          </w:p>
                        </w:tc>
                        <w:tc>
                          <w:tcPr>
                            <w:tcW w:w="2466" w:type="dxa"/>
                          </w:tcPr>
                          <w:p w14:paraId="6D926362" w14:textId="61B1E3EE" w:rsidR="008F2124" w:rsidRPr="00172F7D" w:rsidRDefault="008F2124">
                            <w:pPr>
                              <w:rPr>
                                <w:b/>
                                <w:bCs/>
                              </w:rPr>
                            </w:pPr>
                            <w:r w:rsidRPr="00172F7D">
                              <w:rPr>
                                <w:b/>
                                <w:bCs/>
                              </w:rPr>
                              <w:t>CEO</w:t>
                            </w:r>
                          </w:p>
                        </w:tc>
                        <w:tc>
                          <w:tcPr>
                            <w:tcW w:w="2469" w:type="dxa"/>
                          </w:tcPr>
                          <w:p w14:paraId="23FBAA2D" w14:textId="2C77CF5E" w:rsidR="008F2124" w:rsidRPr="00172F7D" w:rsidRDefault="008F2124">
                            <w:pPr>
                              <w:rPr>
                                <w:b/>
                                <w:bCs/>
                              </w:rPr>
                            </w:pPr>
                            <w:r w:rsidRPr="00172F7D">
                              <w:rPr>
                                <w:b/>
                                <w:bCs/>
                              </w:rPr>
                              <w:t>Corporate Governance Framework</w:t>
                            </w:r>
                          </w:p>
                        </w:tc>
                      </w:tr>
                      <w:tr w:rsidR="008F2124" w14:paraId="1A997964" w14:textId="77777777" w:rsidTr="00172F7D">
                        <w:trPr>
                          <w:trHeight w:val="648"/>
                        </w:trPr>
                        <w:tc>
                          <w:tcPr>
                            <w:tcW w:w="2466" w:type="dxa"/>
                          </w:tcPr>
                          <w:p w14:paraId="3CA337B2" w14:textId="7A60AF54" w:rsidR="008F2124" w:rsidRPr="00172F7D" w:rsidRDefault="008F2124">
                            <w:pPr>
                              <w:rPr>
                                <w:b/>
                                <w:bCs/>
                              </w:rPr>
                            </w:pPr>
                            <w:r w:rsidRPr="00172F7D">
                              <w:rPr>
                                <w:b/>
                                <w:bCs/>
                              </w:rPr>
                              <w:t>Walmart Inc.</w:t>
                            </w:r>
                          </w:p>
                        </w:tc>
                        <w:tc>
                          <w:tcPr>
                            <w:tcW w:w="2466" w:type="dxa"/>
                          </w:tcPr>
                          <w:p w14:paraId="5C9C86BF" w14:textId="69F89D76" w:rsidR="008F2124" w:rsidRDefault="008F2124">
                            <w:r w:rsidRPr="008F2124">
                              <w:t>Walton family holds 46%</w:t>
                            </w:r>
                          </w:p>
                        </w:tc>
                        <w:tc>
                          <w:tcPr>
                            <w:tcW w:w="2466" w:type="dxa"/>
                          </w:tcPr>
                          <w:p w14:paraId="7BEA3A7B" w14:textId="4414A6F4" w:rsidR="008F2124" w:rsidRDefault="008F2124">
                            <w:r w:rsidRPr="008F2124">
                              <w:t>Doug McMillon</w:t>
                            </w:r>
                          </w:p>
                        </w:tc>
                        <w:tc>
                          <w:tcPr>
                            <w:tcW w:w="2469" w:type="dxa"/>
                          </w:tcPr>
                          <w:p w14:paraId="63D26C81" w14:textId="61C5431E" w:rsidR="008F2124" w:rsidRDefault="008F2124">
                            <w:r w:rsidRPr="008F2124">
                              <w:t>Strong governance, independent board with ESG focus.</w:t>
                            </w:r>
                          </w:p>
                        </w:tc>
                      </w:tr>
                      <w:tr w:rsidR="008F2124" w14:paraId="5063274F" w14:textId="77777777" w:rsidTr="00172F7D">
                        <w:trPr>
                          <w:trHeight w:val="648"/>
                        </w:trPr>
                        <w:tc>
                          <w:tcPr>
                            <w:tcW w:w="2466" w:type="dxa"/>
                          </w:tcPr>
                          <w:p w14:paraId="0CD2B3B8" w14:textId="6EE9EF3C" w:rsidR="008F2124" w:rsidRPr="00172F7D" w:rsidRDefault="008F2124">
                            <w:pPr>
                              <w:rPr>
                                <w:b/>
                                <w:bCs/>
                              </w:rPr>
                            </w:pPr>
                            <w:r w:rsidRPr="00172F7D">
                              <w:rPr>
                                <w:b/>
                                <w:bCs/>
                              </w:rPr>
                              <w:t>Costco</w:t>
                            </w:r>
                          </w:p>
                        </w:tc>
                        <w:tc>
                          <w:tcPr>
                            <w:tcW w:w="2466" w:type="dxa"/>
                          </w:tcPr>
                          <w:p w14:paraId="0A454AC7" w14:textId="30102C87" w:rsidR="008F2124" w:rsidRDefault="008F2124">
                            <w:r w:rsidRPr="008F2124">
                              <w:t>Publicly traded</w:t>
                            </w:r>
                          </w:p>
                        </w:tc>
                        <w:tc>
                          <w:tcPr>
                            <w:tcW w:w="2466" w:type="dxa"/>
                          </w:tcPr>
                          <w:p w14:paraId="1F5258DC" w14:textId="493B8583" w:rsidR="008F2124" w:rsidRDefault="008F2124">
                            <w:r w:rsidRPr="008F2124">
                              <w:t>Craig Jelinek</w:t>
                            </w:r>
                          </w:p>
                        </w:tc>
                        <w:tc>
                          <w:tcPr>
                            <w:tcW w:w="2469" w:type="dxa"/>
                          </w:tcPr>
                          <w:p w14:paraId="3527BBFA" w14:textId="39A29B2F" w:rsidR="008F2124" w:rsidRDefault="008F2124">
                            <w:r w:rsidRPr="008F2124">
                              <w:t>Transparent governance, majority independent directors.</w:t>
                            </w:r>
                          </w:p>
                        </w:tc>
                      </w:tr>
                      <w:tr w:rsidR="008F2124" w14:paraId="70090FDE" w14:textId="77777777" w:rsidTr="00172F7D">
                        <w:trPr>
                          <w:trHeight w:val="648"/>
                        </w:trPr>
                        <w:tc>
                          <w:tcPr>
                            <w:tcW w:w="2466" w:type="dxa"/>
                          </w:tcPr>
                          <w:p w14:paraId="06E7D21A" w14:textId="4AE13744" w:rsidR="008F2124" w:rsidRPr="00172F7D" w:rsidRDefault="008F2124">
                            <w:pPr>
                              <w:rPr>
                                <w:b/>
                                <w:bCs/>
                              </w:rPr>
                            </w:pPr>
                            <w:r w:rsidRPr="00172F7D">
                              <w:rPr>
                                <w:b/>
                                <w:bCs/>
                              </w:rPr>
                              <w:t>Alibaba</w:t>
                            </w:r>
                          </w:p>
                        </w:tc>
                        <w:tc>
                          <w:tcPr>
                            <w:tcW w:w="2466" w:type="dxa"/>
                          </w:tcPr>
                          <w:p w14:paraId="0673DF1B" w14:textId="567E729A" w:rsidR="008F2124" w:rsidRDefault="008F2124">
                            <w:r w:rsidRPr="008F2124">
                              <w:t>Partnership model, major institutional investors</w:t>
                            </w:r>
                          </w:p>
                        </w:tc>
                        <w:tc>
                          <w:tcPr>
                            <w:tcW w:w="2466" w:type="dxa"/>
                          </w:tcPr>
                          <w:p w14:paraId="2642B001" w14:textId="5AF881BB" w:rsidR="008F2124" w:rsidRDefault="008F2124">
                            <w:r w:rsidRPr="008F2124">
                              <w:t>Daniel Zhang</w:t>
                            </w:r>
                          </w:p>
                        </w:tc>
                        <w:tc>
                          <w:tcPr>
                            <w:tcW w:w="2469" w:type="dxa"/>
                          </w:tcPr>
                          <w:p w14:paraId="6766DBBF" w14:textId="46A1677B" w:rsidR="008F2124" w:rsidRDefault="008F2124">
                            <w:r w:rsidRPr="008F2124">
                              <w:t>Complex governance structure; regulatory scrutiny concerns.</w:t>
                            </w:r>
                          </w:p>
                        </w:tc>
                      </w:tr>
                      <w:tr w:rsidR="008F2124" w14:paraId="61EDD328" w14:textId="77777777" w:rsidTr="00172F7D">
                        <w:trPr>
                          <w:trHeight w:val="678"/>
                        </w:trPr>
                        <w:tc>
                          <w:tcPr>
                            <w:tcW w:w="2466" w:type="dxa"/>
                          </w:tcPr>
                          <w:p w14:paraId="26B29D8E" w14:textId="66ED9BCB" w:rsidR="008F2124" w:rsidRPr="00172F7D" w:rsidRDefault="008F2124">
                            <w:pPr>
                              <w:rPr>
                                <w:b/>
                                <w:bCs/>
                              </w:rPr>
                            </w:pPr>
                            <w:r w:rsidRPr="00172F7D">
                              <w:rPr>
                                <w:b/>
                                <w:bCs/>
                              </w:rPr>
                              <w:t>Carrefour</w:t>
                            </w:r>
                          </w:p>
                        </w:tc>
                        <w:tc>
                          <w:tcPr>
                            <w:tcW w:w="2466" w:type="dxa"/>
                          </w:tcPr>
                          <w:p w14:paraId="2D530543" w14:textId="22A690DF" w:rsidR="008F2124" w:rsidRDefault="008F2124">
                            <w:r w:rsidRPr="008F2124">
                              <w:t>Publicly traded, diverse institutional shareholders</w:t>
                            </w:r>
                          </w:p>
                        </w:tc>
                        <w:tc>
                          <w:tcPr>
                            <w:tcW w:w="2466" w:type="dxa"/>
                          </w:tcPr>
                          <w:p w14:paraId="64FDA96A" w14:textId="4A74217F" w:rsidR="008F2124" w:rsidRDefault="008F2124">
                            <w:r w:rsidRPr="008F2124">
                              <w:t>Alexandre Bompard</w:t>
                            </w:r>
                          </w:p>
                        </w:tc>
                        <w:tc>
                          <w:tcPr>
                            <w:tcW w:w="2469" w:type="dxa"/>
                          </w:tcPr>
                          <w:p w14:paraId="72592BAF" w14:textId="0466690F" w:rsidR="008F2124" w:rsidRDefault="008F2124">
                            <w:r w:rsidRPr="008F2124">
                              <w:t>Committed to cost-cutting, digital transformation oversight.</w:t>
                            </w:r>
                          </w:p>
                        </w:tc>
                      </w:tr>
                      <w:tr w:rsidR="008F2124" w14:paraId="36990309" w14:textId="77777777" w:rsidTr="00172F7D">
                        <w:trPr>
                          <w:trHeight w:val="648"/>
                        </w:trPr>
                        <w:tc>
                          <w:tcPr>
                            <w:tcW w:w="2466" w:type="dxa"/>
                          </w:tcPr>
                          <w:p w14:paraId="7BCA85A9" w14:textId="6B4DBC18" w:rsidR="008F2124" w:rsidRPr="00172F7D" w:rsidRDefault="008F2124">
                            <w:pPr>
                              <w:rPr>
                                <w:b/>
                                <w:bCs/>
                              </w:rPr>
                            </w:pPr>
                            <w:r w:rsidRPr="00172F7D">
                              <w:rPr>
                                <w:b/>
                                <w:bCs/>
                              </w:rPr>
                              <w:t>Magazine Luiza</w:t>
                            </w:r>
                          </w:p>
                        </w:tc>
                        <w:tc>
                          <w:tcPr>
                            <w:tcW w:w="2466" w:type="dxa"/>
                          </w:tcPr>
                          <w:p w14:paraId="2376A653" w14:textId="7D2523E2" w:rsidR="008F2124" w:rsidRDefault="008F2124">
                            <w:r w:rsidRPr="008F2124">
                              <w:t>Publicly listed, Trajano family influence</w:t>
                            </w:r>
                          </w:p>
                        </w:tc>
                        <w:tc>
                          <w:tcPr>
                            <w:tcW w:w="2466" w:type="dxa"/>
                          </w:tcPr>
                          <w:p w14:paraId="19D7706F" w14:textId="48A204DC" w:rsidR="008F2124" w:rsidRDefault="008F2124">
                            <w:r w:rsidRPr="008F2124">
                              <w:t>Frederico Trajano</w:t>
                            </w:r>
                          </w:p>
                        </w:tc>
                        <w:tc>
                          <w:tcPr>
                            <w:tcW w:w="2469" w:type="dxa"/>
                          </w:tcPr>
                          <w:p w14:paraId="7901013A" w14:textId="3210A3B9" w:rsidR="008F2124" w:rsidRDefault="008F2124">
                            <w:r w:rsidRPr="008F2124">
                              <w:t>Strong governance; strategic digital leadership.</w:t>
                            </w:r>
                          </w:p>
                        </w:tc>
                      </w:tr>
                    </w:tbl>
                    <w:p w14:paraId="57759EF5" w14:textId="62380809" w:rsidR="008F2124" w:rsidRPr="00241CBE" w:rsidRDefault="00046B0C">
                      <w:pPr>
                        <w:rPr>
                          <w:rFonts w:ascii="Cambria" w:hAnsi="Cambria"/>
                          <w:i/>
                          <w:iCs/>
                          <w:sz w:val="20"/>
                          <w:szCs w:val="20"/>
                        </w:rPr>
                      </w:pPr>
                      <w:r>
                        <w:br/>
                      </w:r>
                      <w:r w:rsidRPr="00241CBE">
                        <w:rPr>
                          <w:rFonts w:ascii="Cambria" w:hAnsi="Cambria"/>
                          <w:b/>
                          <w:bCs/>
                          <w:i/>
                          <w:iCs/>
                          <w:sz w:val="20"/>
                          <w:szCs w:val="20"/>
                        </w:rPr>
                        <w:t>Table 1</w:t>
                      </w:r>
                      <w:r w:rsidRPr="00241CBE">
                        <w:rPr>
                          <w:rFonts w:ascii="Cambria" w:hAnsi="Cambria"/>
                          <w:i/>
                          <w:iCs/>
                          <w:sz w:val="20"/>
                          <w:szCs w:val="20"/>
                        </w:rPr>
                        <w:t xml:space="preserve">: </w:t>
                      </w:r>
                      <w:r w:rsidR="005A3ABF">
                        <w:rPr>
                          <w:rFonts w:ascii="Cambria" w:hAnsi="Cambria"/>
                          <w:i/>
                          <w:iCs/>
                          <w:sz w:val="20"/>
                          <w:szCs w:val="20"/>
                        </w:rPr>
                        <w:t xml:space="preserve">Ownership and </w:t>
                      </w:r>
                      <w:r w:rsidRPr="00241CBE">
                        <w:rPr>
                          <w:rFonts w:ascii="Cambria" w:hAnsi="Cambria"/>
                          <w:i/>
                          <w:iCs/>
                          <w:sz w:val="20"/>
                          <w:szCs w:val="20"/>
                        </w:rPr>
                        <w:t>Corporate Governance Overview – This table summarizes the ownership structure, CEO, and corporate governance framework of five major retailers, highlighting governance transparency, regulatory concerns, and strategic oversight.</w:t>
                      </w:r>
                    </w:p>
                  </w:txbxContent>
                </v:textbox>
                <w10:wrap type="square" anchorx="margin"/>
              </v:shape>
            </w:pict>
          </mc:Fallback>
        </mc:AlternateContent>
      </w:r>
      <w:r w:rsidR="006F5DE4" w:rsidRPr="00456405">
        <w:rPr>
          <w:rFonts w:ascii="Cambria" w:hAnsi="Cambria"/>
          <w:b/>
          <w:bCs/>
          <w:sz w:val="28"/>
          <w:szCs w:val="28"/>
        </w:rPr>
        <w:t>3. Ownership and Governance</w:t>
      </w:r>
      <w:r w:rsidRPr="00456405">
        <w:rPr>
          <w:rFonts w:ascii="Cambria" w:hAnsi="Cambria"/>
          <w:b/>
          <w:bCs/>
          <w:sz w:val="28"/>
          <w:szCs w:val="28"/>
        </w:rPr>
        <w:br/>
      </w:r>
      <w:r w:rsidRPr="00456405">
        <w:rPr>
          <w:rFonts w:ascii="Cambria" w:hAnsi="Cambria"/>
          <w:b/>
          <w:bCs/>
          <w:sz w:val="28"/>
          <w:szCs w:val="28"/>
        </w:rPr>
        <w:br/>
      </w:r>
      <w:r w:rsidR="006547B9" w:rsidRPr="00456405">
        <w:rPr>
          <w:rFonts w:ascii="Cambria" w:hAnsi="Cambria"/>
          <w:b/>
          <w:bCs/>
          <w:sz w:val="28"/>
          <w:szCs w:val="28"/>
        </w:rPr>
        <w:br w:type="page"/>
      </w:r>
    </w:p>
    <w:p w14:paraId="3D1CBDB8" w14:textId="32FC6B62" w:rsidR="00281006" w:rsidRPr="00456405" w:rsidRDefault="007B7010" w:rsidP="0017108A">
      <w:pPr>
        <w:spacing w:beforeLines="20" w:before="48" w:afterLines="40" w:after="96" w:line="240" w:lineRule="auto"/>
        <w:jc w:val="both"/>
        <w:rPr>
          <w:rFonts w:ascii="Cambria" w:hAnsi="Cambria"/>
          <w:b/>
          <w:bCs/>
          <w:sz w:val="24"/>
          <w:szCs w:val="24"/>
        </w:rPr>
      </w:pPr>
      <w:r w:rsidRPr="00456405">
        <w:rPr>
          <w:rFonts w:ascii="Cambria" w:hAnsi="Cambria"/>
          <w:b/>
          <w:bCs/>
          <w:noProof/>
          <w:sz w:val="28"/>
          <w:szCs w:val="28"/>
        </w:rPr>
        <w:lastRenderedPageBreak/>
        <mc:AlternateContent>
          <mc:Choice Requires="wps">
            <w:drawing>
              <wp:anchor distT="45720" distB="45720" distL="114300" distR="114300" simplePos="0" relativeHeight="251692032" behindDoc="0" locked="0" layoutInCell="1" allowOverlap="1" wp14:anchorId="38B8165E" wp14:editId="308567C8">
                <wp:simplePos x="0" y="0"/>
                <wp:positionH relativeFrom="margin">
                  <wp:posOffset>-106680</wp:posOffset>
                </wp:positionH>
                <wp:positionV relativeFrom="paragraph">
                  <wp:posOffset>1066800</wp:posOffset>
                </wp:positionV>
                <wp:extent cx="6362700" cy="2903220"/>
                <wp:effectExtent l="0" t="0" r="0" b="0"/>
                <wp:wrapSquare wrapText="bothSides"/>
                <wp:docPr id="71569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0322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395"/>
                              <w:gridCol w:w="1387"/>
                              <w:gridCol w:w="1386"/>
                              <w:gridCol w:w="1398"/>
                              <w:gridCol w:w="1384"/>
                              <w:gridCol w:w="1380"/>
                              <w:gridCol w:w="1375"/>
                            </w:tblGrid>
                            <w:tr w:rsidR="007B7010" w14:paraId="2DEDFDDF" w14:textId="77777777" w:rsidTr="007B7010">
                              <w:trPr>
                                <w:trHeight w:val="718"/>
                              </w:trPr>
                              <w:tc>
                                <w:tcPr>
                                  <w:tcW w:w="1395" w:type="dxa"/>
                                  <w:vAlign w:val="center"/>
                                </w:tcPr>
                                <w:p w14:paraId="154FA67A" w14:textId="77777777" w:rsidR="007B7010" w:rsidRDefault="007B7010" w:rsidP="007B7010">
                                  <w:pPr>
                                    <w:spacing w:beforeLines="20" w:before="48" w:afterLines="40" w:after="96"/>
                                    <w:jc w:val="both"/>
                                    <w:rPr>
                                      <w:rFonts w:ascii="Cambria" w:hAnsi="Cambria"/>
                                      <w:b/>
                                      <w:bCs/>
                                      <w:sz w:val="24"/>
                                      <w:szCs w:val="24"/>
                                    </w:rPr>
                                  </w:pPr>
                                  <w:r>
                                    <w:rPr>
                                      <w:rStyle w:val="Strong"/>
                                    </w:rPr>
                                    <w:t>Company</w:t>
                                  </w:r>
                                </w:p>
                              </w:tc>
                              <w:tc>
                                <w:tcPr>
                                  <w:tcW w:w="1387" w:type="dxa"/>
                                  <w:vAlign w:val="center"/>
                                </w:tcPr>
                                <w:p w14:paraId="2BB26153" w14:textId="77777777" w:rsidR="007B7010" w:rsidRDefault="007B7010" w:rsidP="007B7010">
                                  <w:pPr>
                                    <w:spacing w:beforeLines="20" w:before="48" w:afterLines="40" w:after="96"/>
                                    <w:jc w:val="both"/>
                                    <w:rPr>
                                      <w:rFonts w:ascii="Cambria" w:hAnsi="Cambria"/>
                                      <w:b/>
                                      <w:bCs/>
                                      <w:sz w:val="24"/>
                                      <w:szCs w:val="24"/>
                                    </w:rPr>
                                  </w:pPr>
                                  <w:r>
                                    <w:rPr>
                                      <w:rStyle w:val="Strong"/>
                                    </w:rPr>
                                    <w:t>Net Income Margin (%)</w:t>
                                  </w:r>
                                </w:p>
                              </w:tc>
                              <w:tc>
                                <w:tcPr>
                                  <w:tcW w:w="1386" w:type="dxa"/>
                                  <w:vAlign w:val="center"/>
                                </w:tcPr>
                                <w:p w14:paraId="754C802C" w14:textId="77777777" w:rsidR="007B7010" w:rsidRDefault="007B7010" w:rsidP="007B7010">
                                  <w:pPr>
                                    <w:spacing w:beforeLines="20" w:before="48" w:afterLines="40" w:after="96"/>
                                    <w:jc w:val="both"/>
                                    <w:rPr>
                                      <w:rFonts w:ascii="Cambria" w:hAnsi="Cambria"/>
                                      <w:b/>
                                      <w:bCs/>
                                      <w:sz w:val="24"/>
                                      <w:szCs w:val="24"/>
                                    </w:rPr>
                                  </w:pPr>
                                  <w:r>
                                    <w:rPr>
                                      <w:rStyle w:val="Strong"/>
                                    </w:rPr>
                                    <w:t>EBITDA Margin (%)</w:t>
                                  </w:r>
                                </w:p>
                              </w:tc>
                              <w:tc>
                                <w:tcPr>
                                  <w:tcW w:w="1398" w:type="dxa"/>
                                  <w:vAlign w:val="center"/>
                                </w:tcPr>
                                <w:p w14:paraId="12DDFBB8" w14:textId="77777777" w:rsidR="007B7010" w:rsidRDefault="007B7010" w:rsidP="007B7010">
                                  <w:pPr>
                                    <w:spacing w:beforeLines="20" w:before="48" w:afterLines="40" w:after="96"/>
                                    <w:jc w:val="both"/>
                                    <w:rPr>
                                      <w:rFonts w:ascii="Cambria" w:hAnsi="Cambria"/>
                                      <w:b/>
                                      <w:bCs/>
                                      <w:sz w:val="24"/>
                                      <w:szCs w:val="24"/>
                                    </w:rPr>
                                  </w:pPr>
                                  <w:r>
                                    <w:rPr>
                                      <w:rStyle w:val="Strong"/>
                                    </w:rPr>
                                    <w:t>Operating Margin (%)</w:t>
                                  </w:r>
                                </w:p>
                              </w:tc>
                              <w:tc>
                                <w:tcPr>
                                  <w:tcW w:w="1384" w:type="dxa"/>
                                  <w:vAlign w:val="center"/>
                                </w:tcPr>
                                <w:p w14:paraId="690E6C53" w14:textId="77777777" w:rsidR="007B7010" w:rsidRDefault="007B7010" w:rsidP="007B7010">
                                  <w:pPr>
                                    <w:spacing w:beforeLines="20" w:before="48" w:afterLines="40" w:after="96"/>
                                    <w:jc w:val="both"/>
                                    <w:rPr>
                                      <w:rFonts w:ascii="Cambria" w:hAnsi="Cambria"/>
                                      <w:b/>
                                      <w:bCs/>
                                      <w:sz w:val="24"/>
                                      <w:szCs w:val="24"/>
                                    </w:rPr>
                                  </w:pPr>
                                  <w:r>
                                    <w:rPr>
                                      <w:rStyle w:val="Strong"/>
                                    </w:rPr>
                                    <w:t>Gross Margin (%)</w:t>
                                  </w:r>
                                </w:p>
                              </w:tc>
                              <w:tc>
                                <w:tcPr>
                                  <w:tcW w:w="1380" w:type="dxa"/>
                                  <w:vAlign w:val="center"/>
                                </w:tcPr>
                                <w:p w14:paraId="695EABFA" w14:textId="77777777" w:rsidR="007B7010" w:rsidRDefault="007B7010" w:rsidP="007B7010">
                                  <w:pPr>
                                    <w:spacing w:beforeLines="20" w:before="48" w:afterLines="40" w:after="96"/>
                                    <w:jc w:val="both"/>
                                    <w:rPr>
                                      <w:rFonts w:ascii="Cambria" w:hAnsi="Cambria"/>
                                      <w:b/>
                                      <w:bCs/>
                                      <w:sz w:val="24"/>
                                      <w:szCs w:val="24"/>
                                    </w:rPr>
                                  </w:pPr>
                                  <w:r>
                                    <w:rPr>
                                      <w:rStyle w:val="Strong"/>
                                    </w:rPr>
                                    <w:t>ROE (%)</w:t>
                                  </w:r>
                                </w:p>
                              </w:tc>
                              <w:tc>
                                <w:tcPr>
                                  <w:tcW w:w="1375" w:type="dxa"/>
                                  <w:vAlign w:val="center"/>
                                </w:tcPr>
                                <w:p w14:paraId="6FF89160" w14:textId="77777777" w:rsidR="007B7010" w:rsidRDefault="007B7010" w:rsidP="007B7010">
                                  <w:pPr>
                                    <w:spacing w:beforeLines="20" w:before="48" w:afterLines="40" w:after="96"/>
                                    <w:jc w:val="both"/>
                                    <w:rPr>
                                      <w:rFonts w:ascii="Cambria" w:hAnsi="Cambria"/>
                                      <w:b/>
                                      <w:bCs/>
                                      <w:sz w:val="24"/>
                                      <w:szCs w:val="24"/>
                                    </w:rPr>
                                  </w:pPr>
                                  <w:r>
                                    <w:rPr>
                                      <w:rStyle w:val="Strong"/>
                                    </w:rPr>
                                    <w:t>ROA (%)</w:t>
                                  </w:r>
                                </w:p>
                              </w:tc>
                            </w:tr>
                            <w:tr w:rsidR="007B7010" w14:paraId="111F5FE0" w14:textId="77777777" w:rsidTr="007B7010">
                              <w:trPr>
                                <w:trHeight w:val="428"/>
                              </w:trPr>
                              <w:tc>
                                <w:tcPr>
                                  <w:tcW w:w="1395" w:type="dxa"/>
                                  <w:vAlign w:val="center"/>
                                </w:tcPr>
                                <w:p w14:paraId="1E31205E" w14:textId="77777777" w:rsidR="007B7010" w:rsidRDefault="007B7010" w:rsidP="007B7010">
                                  <w:pPr>
                                    <w:spacing w:beforeLines="20" w:before="48" w:afterLines="40" w:after="96"/>
                                    <w:jc w:val="both"/>
                                    <w:rPr>
                                      <w:rFonts w:ascii="Cambria" w:hAnsi="Cambria"/>
                                      <w:b/>
                                      <w:bCs/>
                                      <w:sz w:val="24"/>
                                      <w:szCs w:val="24"/>
                                    </w:rPr>
                                  </w:pPr>
                                  <w:r>
                                    <w:rPr>
                                      <w:rStyle w:val="Strong"/>
                                    </w:rPr>
                                    <w:t>Alibaba</w:t>
                                  </w:r>
                                </w:p>
                              </w:tc>
                              <w:tc>
                                <w:tcPr>
                                  <w:tcW w:w="1387" w:type="dxa"/>
                                  <w:vAlign w:val="center"/>
                                </w:tcPr>
                                <w:p w14:paraId="5DB36D25" w14:textId="77777777" w:rsidR="007B7010" w:rsidRDefault="007B7010" w:rsidP="007B7010">
                                  <w:pPr>
                                    <w:spacing w:beforeLines="20" w:before="48" w:afterLines="40" w:after="96"/>
                                    <w:jc w:val="both"/>
                                    <w:rPr>
                                      <w:rFonts w:ascii="Cambria" w:hAnsi="Cambria"/>
                                      <w:b/>
                                      <w:bCs/>
                                      <w:sz w:val="24"/>
                                      <w:szCs w:val="24"/>
                                    </w:rPr>
                                  </w:pPr>
                                  <w:r>
                                    <w:t>13.6%</w:t>
                                  </w:r>
                                </w:p>
                              </w:tc>
                              <w:tc>
                                <w:tcPr>
                                  <w:tcW w:w="1386" w:type="dxa"/>
                                  <w:vAlign w:val="center"/>
                                </w:tcPr>
                                <w:p w14:paraId="476F0AB8" w14:textId="77777777" w:rsidR="007B7010" w:rsidRDefault="007B7010" w:rsidP="007B7010">
                                  <w:pPr>
                                    <w:spacing w:beforeLines="20" w:before="48" w:afterLines="40" w:after="96"/>
                                    <w:jc w:val="both"/>
                                    <w:rPr>
                                      <w:rFonts w:ascii="Cambria" w:hAnsi="Cambria"/>
                                      <w:b/>
                                      <w:bCs/>
                                      <w:sz w:val="24"/>
                                      <w:szCs w:val="24"/>
                                    </w:rPr>
                                  </w:pPr>
                                  <w:r>
                                    <w:t>19.5%</w:t>
                                  </w:r>
                                </w:p>
                              </w:tc>
                              <w:tc>
                                <w:tcPr>
                                  <w:tcW w:w="1398" w:type="dxa"/>
                                  <w:vAlign w:val="center"/>
                                </w:tcPr>
                                <w:p w14:paraId="09FB0C5D" w14:textId="77777777" w:rsidR="007B7010" w:rsidRDefault="007B7010" w:rsidP="007B7010">
                                  <w:pPr>
                                    <w:spacing w:beforeLines="20" w:before="48" w:afterLines="40" w:after="96"/>
                                    <w:jc w:val="both"/>
                                    <w:rPr>
                                      <w:rFonts w:ascii="Cambria" w:hAnsi="Cambria"/>
                                      <w:b/>
                                      <w:bCs/>
                                      <w:sz w:val="24"/>
                                      <w:szCs w:val="24"/>
                                    </w:rPr>
                                  </w:pPr>
                                  <w:r>
                                    <w:t>16.2%</w:t>
                                  </w:r>
                                </w:p>
                              </w:tc>
                              <w:tc>
                                <w:tcPr>
                                  <w:tcW w:w="1384" w:type="dxa"/>
                                  <w:vAlign w:val="center"/>
                                </w:tcPr>
                                <w:p w14:paraId="7F160540" w14:textId="77777777" w:rsidR="007B7010" w:rsidRDefault="007B7010" w:rsidP="007B7010">
                                  <w:pPr>
                                    <w:spacing w:beforeLines="20" w:before="48" w:afterLines="40" w:after="96"/>
                                    <w:jc w:val="both"/>
                                    <w:rPr>
                                      <w:rFonts w:ascii="Cambria" w:hAnsi="Cambria"/>
                                      <w:b/>
                                      <w:bCs/>
                                      <w:sz w:val="24"/>
                                      <w:szCs w:val="24"/>
                                    </w:rPr>
                                  </w:pPr>
                                  <w:r>
                                    <w:t>37.7%</w:t>
                                  </w:r>
                                </w:p>
                              </w:tc>
                              <w:tc>
                                <w:tcPr>
                                  <w:tcW w:w="1380" w:type="dxa"/>
                                  <w:vAlign w:val="center"/>
                                </w:tcPr>
                                <w:p w14:paraId="0AD474AB" w14:textId="77777777" w:rsidR="007B7010" w:rsidRDefault="007B7010" w:rsidP="007B7010">
                                  <w:pPr>
                                    <w:spacing w:beforeLines="20" w:before="48" w:afterLines="40" w:after="96"/>
                                    <w:jc w:val="both"/>
                                    <w:rPr>
                                      <w:rFonts w:ascii="Cambria" w:hAnsi="Cambria"/>
                                      <w:b/>
                                      <w:bCs/>
                                      <w:sz w:val="24"/>
                                      <w:szCs w:val="24"/>
                                    </w:rPr>
                                  </w:pPr>
                                  <w:r>
                                    <w:t>12.8%</w:t>
                                  </w:r>
                                </w:p>
                              </w:tc>
                              <w:tc>
                                <w:tcPr>
                                  <w:tcW w:w="1375" w:type="dxa"/>
                                  <w:vAlign w:val="center"/>
                                </w:tcPr>
                                <w:p w14:paraId="138C86E3" w14:textId="77777777" w:rsidR="007B7010" w:rsidRDefault="007B7010" w:rsidP="007B7010">
                                  <w:pPr>
                                    <w:spacing w:beforeLines="20" w:before="48" w:afterLines="40" w:after="96"/>
                                    <w:jc w:val="both"/>
                                    <w:rPr>
                                      <w:rFonts w:ascii="Cambria" w:hAnsi="Cambria"/>
                                      <w:b/>
                                      <w:bCs/>
                                      <w:sz w:val="24"/>
                                      <w:szCs w:val="24"/>
                                    </w:rPr>
                                  </w:pPr>
                                  <w:r>
                                    <w:t>6.4%</w:t>
                                  </w:r>
                                </w:p>
                              </w:tc>
                            </w:tr>
                            <w:tr w:rsidR="007B7010" w14:paraId="10108DD1" w14:textId="77777777" w:rsidTr="007B7010">
                              <w:trPr>
                                <w:trHeight w:val="428"/>
                              </w:trPr>
                              <w:tc>
                                <w:tcPr>
                                  <w:tcW w:w="1395" w:type="dxa"/>
                                  <w:vAlign w:val="center"/>
                                </w:tcPr>
                                <w:p w14:paraId="7BADCAB2" w14:textId="77777777" w:rsidR="007B7010" w:rsidRDefault="007B7010" w:rsidP="007B7010">
                                  <w:pPr>
                                    <w:spacing w:beforeLines="20" w:before="48" w:afterLines="40" w:after="96"/>
                                    <w:jc w:val="both"/>
                                    <w:rPr>
                                      <w:rFonts w:ascii="Cambria" w:hAnsi="Cambria"/>
                                      <w:b/>
                                      <w:bCs/>
                                      <w:sz w:val="24"/>
                                      <w:szCs w:val="24"/>
                                    </w:rPr>
                                  </w:pPr>
                                  <w:r>
                                    <w:rPr>
                                      <w:rStyle w:val="Strong"/>
                                    </w:rPr>
                                    <w:t>Walmart</w:t>
                                  </w:r>
                                </w:p>
                              </w:tc>
                              <w:tc>
                                <w:tcPr>
                                  <w:tcW w:w="1387" w:type="dxa"/>
                                  <w:vAlign w:val="center"/>
                                </w:tcPr>
                                <w:p w14:paraId="554602F4" w14:textId="77777777" w:rsidR="007B7010" w:rsidRDefault="007B7010" w:rsidP="007B7010">
                                  <w:pPr>
                                    <w:spacing w:beforeLines="20" w:before="48" w:afterLines="40" w:after="96"/>
                                    <w:jc w:val="both"/>
                                    <w:rPr>
                                      <w:rFonts w:ascii="Cambria" w:hAnsi="Cambria"/>
                                      <w:b/>
                                      <w:bCs/>
                                      <w:sz w:val="24"/>
                                      <w:szCs w:val="24"/>
                                    </w:rPr>
                                  </w:pPr>
                                  <w:r>
                                    <w:t>2.4%</w:t>
                                  </w:r>
                                </w:p>
                              </w:tc>
                              <w:tc>
                                <w:tcPr>
                                  <w:tcW w:w="1386" w:type="dxa"/>
                                  <w:vAlign w:val="center"/>
                                </w:tcPr>
                                <w:p w14:paraId="79EC20E1" w14:textId="77777777" w:rsidR="007B7010" w:rsidRDefault="007B7010" w:rsidP="007B7010">
                                  <w:pPr>
                                    <w:spacing w:beforeLines="20" w:before="48" w:afterLines="40" w:after="96"/>
                                    <w:jc w:val="both"/>
                                    <w:rPr>
                                      <w:rFonts w:ascii="Cambria" w:hAnsi="Cambria"/>
                                      <w:b/>
                                      <w:bCs/>
                                      <w:sz w:val="24"/>
                                      <w:szCs w:val="24"/>
                                    </w:rPr>
                                  </w:pPr>
                                  <w:r>
                                    <w:t>7.1%</w:t>
                                  </w:r>
                                </w:p>
                              </w:tc>
                              <w:tc>
                                <w:tcPr>
                                  <w:tcW w:w="1398" w:type="dxa"/>
                                  <w:vAlign w:val="center"/>
                                </w:tcPr>
                                <w:p w14:paraId="72B65A8F" w14:textId="77777777" w:rsidR="007B7010" w:rsidRDefault="007B7010" w:rsidP="007B7010">
                                  <w:pPr>
                                    <w:spacing w:beforeLines="20" w:before="48" w:afterLines="40" w:after="96"/>
                                    <w:jc w:val="both"/>
                                    <w:rPr>
                                      <w:rFonts w:ascii="Cambria" w:hAnsi="Cambria"/>
                                      <w:b/>
                                      <w:bCs/>
                                      <w:sz w:val="24"/>
                                      <w:szCs w:val="24"/>
                                    </w:rPr>
                                  </w:pPr>
                                  <w:r>
                                    <w:t>5.6%</w:t>
                                  </w:r>
                                </w:p>
                              </w:tc>
                              <w:tc>
                                <w:tcPr>
                                  <w:tcW w:w="1384" w:type="dxa"/>
                                  <w:vAlign w:val="center"/>
                                </w:tcPr>
                                <w:p w14:paraId="58BD25D8" w14:textId="77777777" w:rsidR="007B7010" w:rsidRDefault="007B7010" w:rsidP="007B7010">
                                  <w:pPr>
                                    <w:spacing w:beforeLines="20" w:before="48" w:afterLines="40" w:after="96"/>
                                    <w:jc w:val="both"/>
                                    <w:rPr>
                                      <w:rFonts w:ascii="Cambria" w:hAnsi="Cambria"/>
                                      <w:b/>
                                      <w:bCs/>
                                      <w:sz w:val="24"/>
                                      <w:szCs w:val="24"/>
                                    </w:rPr>
                                  </w:pPr>
                                  <w:r>
                                    <w:t>24.5%</w:t>
                                  </w:r>
                                </w:p>
                              </w:tc>
                              <w:tc>
                                <w:tcPr>
                                  <w:tcW w:w="1380" w:type="dxa"/>
                                  <w:vAlign w:val="center"/>
                                </w:tcPr>
                                <w:p w14:paraId="6B61C015" w14:textId="77777777" w:rsidR="007B7010" w:rsidRDefault="007B7010" w:rsidP="007B7010">
                                  <w:pPr>
                                    <w:spacing w:beforeLines="20" w:before="48" w:afterLines="40" w:after="96"/>
                                    <w:jc w:val="both"/>
                                    <w:rPr>
                                      <w:rFonts w:ascii="Cambria" w:hAnsi="Cambria"/>
                                      <w:b/>
                                      <w:bCs/>
                                      <w:sz w:val="24"/>
                                      <w:szCs w:val="24"/>
                                    </w:rPr>
                                  </w:pPr>
                                  <w:r>
                                    <w:t>17.2%</w:t>
                                  </w:r>
                                </w:p>
                              </w:tc>
                              <w:tc>
                                <w:tcPr>
                                  <w:tcW w:w="1375" w:type="dxa"/>
                                  <w:vAlign w:val="center"/>
                                </w:tcPr>
                                <w:p w14:paraId="2012E60F" w14:textId="77777777" w:rsidR="007B7010" w:rsidRDefault="007B7010" w:rsidP="007B7010">
                                  <w:pPr>
                                    <w:spacing w:beforeLines="20" w:before="48" w:afterLines="40" w:after="96"/>
                                    <w:jc w:val="both"/>
                                    <w:rPr>
                                      <w:rFonts w:ascii="Cambria" w:hAnsi="Cambria"/>
                                      <w:b/>
                                      <w:bCs/>
                                      <w:sz w:val="24"/>
                                      <w:szCs w:val="24"/>
                                    </w:rPr>
                                  </w:pPr>
                                  <w:r>
                                    <w:t>5.8%</w:t>
                                  </w:r>
                                </w:p>
                              </w:tc>
                            </w:tr>
                            <w:tr w:rsidR="007B7010" w14:paraId="590336B3" w14:textId="77777777" w:rsidTr="007B7010">
                              <w:trPr>
                                <w:trHeight w:val="428"/>
                              </w:trPr>
                              <w:tc>
                                <w:tcPr>
                                  <w:tcW w:w="1395" w:type="dxa"/>
                                  <w:vAlign w:val="center"/>
                                </w:tcPr>
                                <w:p w14:paraId="661D3F86" w14:textId="77777777" w:rsidR="007B7010" w:rsidRDefault="007B7010" w:rsidP="007B7010">
                                  <w:pPr>
                                    <w:spacing w:beforeLines="20" w:before="48" w:afterLines="40" w:after="96"/>
                                    <w:jc w:val="both"/>
                                    <w:rPr>
                                      <w:rFonts w:ascii="Cambria" w:hAnsi="Cambria"/>
                                      <w:b/>
                                      <w:bCs/>
                                      <w:sz w:val="24"/>
                                      <w:szCs w:val="24"/>
                                    </w:rPr>
                                  </w:pPr>
                                  <w:r>
                                    <w:rPr>
                                      <w:rStyle w:val="Strong"/>
                                    </w:rPr>
                                    <w:t>Costco</w:t>
                                  </w:r>
                                </w:p>
                              </w:tc>
                              <w:tc>
                                <w:tcPr>
                                  <w:tcW w:w="1387" w:type="dxa"/>
                                  <w:vAlign w:val="center"/>
                                </w:tcPr>
                                <w:p w14:paraId="0B1AE527" w14:textId="77777777" w:rsidR="007B7010" w:rsidRDefault="007B7010" w:rsidP="007B7010">
                                  <w:pPr>
                                    <w:spacing w:beforeLines="20" w:before="48" w:afterLines="40" w:after="96"/>
                                    <w:jc w:val="both"/>
                                    <w:rPr>
                                      <w:rFonts w:ascii="Cambria" w:hAnsi="Cambria"/>
                                      <w:b/>
                                      <w:bCs/>
                                      <w:sz w:val="24"/>
                                      <w:szCs w:val="24"/>
                                    </w:rPr>
                                  </w:pPr>
                                  <w:r>
                                    <w:t>2.5%</w:t>
                                  </w:r>
                                </w:p>
                              </w:tc>
                              <w:tc>
                                <w:tcPr>
                                  <w:tcW w:w="1386" w:type="dxa"/>
                                  <w:vAlign w:val="center"/>
                                </w:tcPr>
                                <w:p w14:paraId="21D5CB1B" w14:textId="77777777" w:rsidR="007B7010" w:rsidRDefault="007B7010" w:rsidP="007B7010">
                                  <w:pPr>
                                    <w:spacing w:beforeLines="20" w:before="48" w:afterLines="40" w:after="96"/>
                                    <w:jc w:val="both"/>
                                    <w:rPr>
                                      <w:rFonts w:ascii="Cambria" w:hAnsi="Cambria"/>
                                      <w:b/>
                                      <w:bCs/>
                                      <w:sz w:val="24"/>
                                      <w:szCs w:val="24"/>
                                    </w:rPr>
                                  </w:pPr>
                                  <w:r>
                                    <w:t>8.6%</w:t>
                                  </w:r>
                                </w:p>
                              </w:tc>
                              <w:tc>
                                <w:tcPr>
                                  <w:tcW w:w="1398" w:type="dxa"/>
                                  <w:vAlign w:val="center"/>
                                </w:tcPr>
                                <w:p w14:paraId="21DD9EA8" w14:textId="77777777" w:rsidR="007B7010" w:rsidRDefault="007B7010" w:rsidP="007B7010">
                                  <w:pPr>
                                    <w:spacing w:beforeLines="20" w:before="48" w:afterLines="40" w:after="96"/>
                                    <w:jc w:val="both"/>
                                    <w:rPr>
                                      <w:rFonts w:ascii="Cambria" w:hAnsi="Cambria"/>
                                      <w:b/>
                                      <w:bCs/>
                                      <w:sz w:val="24"/>
                                      <w:szCs w:val="24"/>
                                    </w:rPr>
                                  </w:pPr>
                                  <w:r>
                                    <w:t>6.3%</w:t>
                                  </w:r>
                                </w:p>
                              </w:tc>
                              <w:tc>
                                <w:tcPr>
                                  <w:tcW w:w="1384" w:type="dxa"/>
                                  <w:vAlign w:val="center"/>
                                </w:tcPr>
                                <w:p w14:paraId="4E1C5052" w14:textId="77777777" w:rsidR="007B7010" w:rsidRDefault="007B7010" w:rsidP="007B7010">
                                  <w:pPr>
                                    <w:spacing w:beforeLines="20" w:before="48" w:afterLines="40" w:after="96"/>
                                    <w:jc w:val="both"/>
                                    <w:rPr>
                                      <w:rFonts w:ascii="Cambria" w:hAnsi="Cambria"/>
                                      <w:b/>
                                      <w:bCs/>
                                      <w:sz w:val="24"/>
                                      <w:szCs w:val="24"/>
                                    </w:rPr>
                                  </w:pPr>
                                  <w:r>
                                    <w:t>11.2%</w:t>
                                  </w:r>
                                </w:p>
                              </w:tc>
                              <w:tc>
                                <w:tcPr>
                                  <w:tcW w:w="1380" w:type="dxa"/>
                                  <w:vAlign w:val="center"/>
                                </w:tcPr>
                                <w:p w14:paraId="2F4249F5" w14:textId="77777777" w:rsidR="007B7010" w:rsidRDefault="007B7010" w:rsidP="007B7010">
                                  <w:pPr>
                                    <w:spacing w:beforeLines="20" w:before="48" w:afterLines="40" w:after="96"/>
                                    <w:jc w:val="both"/>
                                    <w:rPr>
                                      <w:rFonts w:ascii="Cambria" w:hAnsi="Cambria"/>
                                      <w:b/>
                                      <w:bCs/>
                                      <w:sz w:val="24"/>
                                      <w:szCs w:val="24"/>
                                    </w:rPr>
                                  </w:pPr>
                                  <w:r>
                                    <w:t>26.4%</w:t>
                                  </w:r>
                                </w:p>
                              </w:tc>
                              <w:tc>
                                <w:tcPr>
                                  <w:tcW w:w="1375" w:type="dxa"/>
                                  <w:vAlign w:val="center"/>
                                </w:tcPr>
                                <w:p w14:paraId="1D1C12A0" w14:textId="77777777" w:rsidR="007B7010" w:rsidRDefault="007B7010" w:rsidP="007B7010">
                                  <w:pPr>
                                    <w:spacing w:beforeLines="20" w:before="48" w:afterLines="40" w:after="96"/>
                                    <w:jc w:val="both"/>
                                    <w:rPr>
                                      <w:rFonts w:ascii="Cambria" w:hAnsi="Cambria"/>
                                      <w:b/>
                                      <w:bCs/>
                                      <w:sz w:val="24"/>
                                      <w:szCs w:val="24"/>
                                    </w:rPr>
                                  </w:pPr>
                                  <w:r>
                                    <w:t>9.2%</w:t>
                                  </w:r>
                                </w:p>
                              </w:tc>
                            </w:tr>
                            <w:tr w:rsidR="007B7010" w14:paraId="36C3BB12" w14:textId="77777777" w:rsidTr="007B7010">
                              <w:trPr>
                                <w:trHeight w:val="428"/>
                              </w:trPr>
                              <w:tc>
                                <w:tcPr>
                                  <w:tcW w:w="1395" w:type="dxa"/>
                                  <w:vAlign w:val="center"/>
                                </w:tcPr>
                                <w:p w14:paraId="6B56622B" w14:textId="77777777" w:rsidR="007B7010" w:rsidRDefault="007B7010" w:rsidP="007B7010">
                                  <w:pPr>
                                    <w:spacing w:beforeLines="20" w:before="48" w:afterLines="40" w:after="96"/>
                                    <w:jc w:val="both"/>
                                    <w:rPr>
                                      <w:rFonts w:ascii="Cambria" w:hAnsi="Cambria"/>
                                      <w:b/>
                                      <w:bCs/>
                                      <w:sz w:val="24"/>
                                      <w:szCs w:val="24"/>
                                    </w:rPr>
                                  </w:pPr>
                                  <w:r>
                                    <w:rPr>
                                      <w:rStyle w:val="Strong"/>
                                    </w:rPr>
                                    <w:t>Carrefour</w:t>
                                  </w:r>
                                </w:p>
                              </w:tc>
                              <w:tc>
                                <w:tcPr>
                                  <w:tcW w:w="1387" w:type="dxa"/>
                                  <w:vAlign w:val="center"/>
                                </w:tcPr>
                                <w:p w14:paraId="6C00F019" w14:textId="77777777" w:rsidR="007B7010" w:rsidRDefault="007B7010" w:rsidP="007B7010">
                                  <w:pPr>
                                    <w:spacing w:beforeLines="20" w:before="48" w:afterLines="40" w:after="96"/>
                                    <w:jc w:val="both"/>
                                    <w:rPr>
                                      <w:rFonts w:ascii="Cambria" w:hAnsi="Cambria"/>
                                      <w:b/>
                                      <w:bCs/>
                                      <w:sz w:val="24"/>
                                      <w:szCs w:val="24"/>
                                    </w:rPr>
                                  </w:pPr>
                                  <w:r>
                                    <w:t>1.2%</w:t>
                                  </w:r>
                                </w:p>
                              </w:tc>
                              <w:tc>
                                <w:tcPr>
                                  <w:tcW w:w="1386" w:type="dxa"/>
                                  <w:vAlign w:val="center"/>
                                </w:tcPr>
                                <w:p w14:paraId="7B07DF3F" w14:textId="77777777" w:rsidR="007B7010" w:rsidRDefault="007B7010" w:rsidP="007B7010">
                                  <w:pPr>
                                    <w:spacing w:beforeLines="20" w:before="48" w:afterLines="40" w:after="96"/>
                                    <w:jc w:val="both"/>
                                    <w:rPr>
                                      <w:rFonts w:ascii="Cambria" w:hAnsi="Cambria"/>
                                      <w:b/>
                                      <w:bCs/>
                                      <w:sz w:val="24"/>
                                      <w:szCs w:val="24"/>
                                    </w:rPr>
                                  </w:pPr>
                                  <w:r>
                                    <w:t>4.2%</w:t>
                                  </w:r>
                                </w:p>
                              </w:tc>
                              <w:tc>
                                <w:tcPr>
                                  <w:tcW w:w="1398" w:type="dxa"/>
                                  <w:vAlign w:val="center"/>
                                </w:tcPr>
                                <w:p w14:paraId="780C70F0" w14:textId="77777777" w:rsidR="007B7010" w:rsidRDefault="007B7010" w:rsidP="007B7010">
                                  <w:pPr>
                                    <w:spacing w:beforeLines="20" w:before="48" w:afterLines="40" w:after="96"/>
                                    <w:jc w:val="both"/>
                                    <w:rPr>
                                      <w:rFonts w:ascii="Cambria" w:hAnsi="Cambria"/>
                                      <w:b/>
                                      <w:bCs/>
                                      <w:sz w:val="24"/>
                                      <w:szCs w:val="24"/>
                                    </w:rPr>
                                  </w:pPr>
                                  <w:r>
                                    <w:t>2.9%</w:t>
                                  </w:r>
                                </w:p>
                              </w:tc>
                              <w:tc>
                                <w:tcPr>
                                  <w:tcW w:w="1384" w:type="dxa"/>
                                  <w:vAlign w:val="center"/>
                                </w:tcPr>
                                <w:p w14:paraId="1055AD8A" w14:textId="77777777" w:rsidR="007B7010" w:rsidRDefault="007B7010" w:rsidP="007B7010">
                                  <w:pPr>
                                    <w:spacing w:beforeLines="20" w:before="48" w:afterLines="40" w:after="96"/>
                                    <w:jc w:val="both"/>
                                    <w:rPr>
                                      <w:rFonts w:ascii="Cambria" w:hAnsi="Cambria"/>
                                      <w:b/>
                                      <w:bCs/>
                                      <w:sz w:val="24"/>
                                      <w:szCs w:val="24"/>
                                    </w:rPr>
                                  </w:pPr>
                                  <w:r>
                                    <w:t>18.3%</w:t>
                                  </w:r>
                                </w:p>
                              </w:tc>
                              <w:tc>
                                <w:tcPr>
                                  <w:tcW w:w="1380" w:type="dxa"/>
                                  <w:vAlign w:val="center"/>
                                </w:tcPr>
                                <w:p w14:paraId="41EF2E78" w14:textId="77777777" w:rsidR="007B7010" w:rsidRDefault="007B7010" w:rsidP="007B7010">
                                  <w:pPr>
                                    <w:spacing w:beforeLines="20" w:before="48" w:afterLines="40" w:after="96"/>
                                    <w:jc w:val="both"/>
                                    <w:rPr>
                                      <w:rFonts w:ascii="Cambria" w:hAnsi="Cambria"/>
                                      <w:b/>
                                      <w:bCs/>
                                      <w:sz w:val="24"/>
                                      <w:szCs w:val="24"/>
                                    </w:rPr>
                                  </w:pPr>
                                  <w:r>
                                    <w:t>9.5%</w:t>
                                  </w:r>
                                </w:p>
                              </w:tc>
                              <w:tc>
                                <w:tcPr>
                                  <w:tcW w:w="1375" w:type="dxa"/>
                                  <w:vAlign w:val="center"/>
                                </w:tcPr>
                                <w:p w14:paraId="0FD6994C" w14:textId="77777777" w:rsidR="007B7010" w:rsidRDefault="007B7010" w:rsidP="007B7010">
                                  <w:pPr>
                                    <w:spacing w:beforeLines="20" w:before="48" w:afterLines="40" w:after="96"/>
                                    <w:jc w:val="both"/>
                                    <w:rPr>
                                      <w:rFonts w:ascii="Cambria" w:hAnsi="Cambria"/>
                                      <w:b/>
                                      <w:bCs/>
                                      <w:sz w:val="24"/>
                                      <w:szCs w:val="24"/>
                                    </w:rPr>
                                  </w:pPr>
                                  <w:r>
                                    <w:t>3.7%</w:t>
                                  </w:r>
                                </w:p>
                              </w:tc>
                            </w:tr>
                            <w:tr w:rsidR="007B7010" w14:paraId="7E8615D3" w14:textId="77777777" w:rsidTr="007B7010">
                              <w:trPr>
                                <w:trHeight w:val="718"/>
                              </w:trPr>
                              <w:tc>
                                <w:tcPr>
                                  <w:tcW w:w="1395" w:type="dxa"/>
                                  <w:vAlign w:val="center"/>
                                </w:tcPr>
                                <w:p w14:paraId="0DEC7FCD" w14:textId="77777777" w:rsidR="007B7010" w:rsidRDefault="007B7010" w:rsidP="007B7010">
                                  <w:pPr>
                                    <w:spacing w:beforeLines="20" w:before="48" w:afterLines="40" w:after="96"/>
                                    <w:jc w:val="both"/>
                                    <w:rPr>
                                      <w:rFonts w:ascii="Cambria" w:hAnsi="Cambria"/>
                                      <w:b/>
                                      <w:bCs/>
                                      <w:sz w:val="24"/>
                                      <w:szCs w:val="24"/>
                                    </w:rPr>
                                  </w:pPr>
                                  <w:r>
                                    <w:rPr>
                                      <w:rStyle w:val="Strong"/>
                                    </w:rPr>
                                    <w:t>Magazine Luiza</w:t>
                                  </w:r>
                                </w:p>
                              </w:tc>
                              <w:tc>
                                <w:tcPr>
                                  <w:tcW w:w="1387" w:type="dxa"/>
                                  <w:vAlign w:val="center"/>
                                </w:tcPr>
                                <w:p w14:paraId="44EFA248" w14:textId="77777777" w:rsidR="007B7010" w:rsidRDefault="007B7010" w:rsidP="007B7010">
                                  <w:pPr>
                                    <w:spacing w:beforeLines="20" w:before="48" w:afterLines="40" w:after="96"/>
                                    <w:jc w:val="both"/>
                                    <w:rPr>
                                      <w:rFonts w:ascii="Cambria" w:hAnsi="Cambria"/>
                                      <w:b/>
                                      <w:bCs/>
                                      <w:sz w:val="24"/>
                                      <w:szCs w:val="24"/>
                                    </w:rPr>
                                  </w:pPr>
                                  <w:r>
                                    <w:t>0.6%</w:t>
                                  </w:r>
                                </w:p>
                              </w:tc>
                              <w:tc>
                                <w:tcPr>
                                  <w:tcW w:w="1386" w:type="dxa"/>
                                  <w:vAlign w:val="center"/>
                                </w:tcPr>
                                <w:p w14:paraId="38317095" w14:textId="77777777" w:rsidR="007B7010" w:rsidRDefault="007B7010" w:rsidP="007B7010">
                                  <w:pPr>
                                    <w:spacing w:beforeLines="20" w:before="48" w:afterLines="40" w:after="96"/>
                                    <w:jc w:val="both"/>
                                    <w:rPr>
                                      <w:rFonts w:ascii="Cambria" w:hAnsi="Cambria"/>
                                      <w:b/>
                                      <w:bCs/>
                                      <w:sz w:val="24"/>
                                      <w:szCs w:val="24"/>
                                    </w:rPr>
                                  </w:pPr>
                                  <w:r>
                                    <w:t>4.7%</w:t>
                                  </w:r>
                                </w:p>
                              </w:tc>
                              <w:tc>
                                <w:tcPr>
                                  <w:tcW w:w="1398" w:type="dxa"/>
                                  <w:vAlign w:val="center"/>
                                </w:tcPr>
                                <w:p w14:paraId="5BB8E875" w14:textId="77777777" w:rsidR="007B7010" w:rsidRDefault="007B7010" w:rsidP="007B7010">
                                  <w:pPr>
                                    <w:spacing w:beforeLines="20" w:before="48" w:afterLines="40" w:after="96"/>
                                    <w:jc w:val="both"/>
                                    <w:rPr>
                                      <w:rFonts w:ascii="Cambria" w:hAnsi="Cambria"/>
                                      <w:b/>
                                      <w:bCs/>
                                      <w:sz w:val="24"/>
                                      <w:szCs w:val="24"/>
                                    </w:rPr>
                                  </w:pPr>
                                  <w:r>
                                    <w:t>2.4%</w:t>
                                  </w:r>
                                </w:p>
                              </w:tc>
                              <w:tc>
                                <w:tcPr>
                                  <w:tcW w:w="1384" w:type="dxa"/>
                                  <w:vAlign w:val="center"/>
                                </w:tcPr>
                                <w:p w14:paraId="5FBAB2A9" w14:textId="77777777" w:rsidR="007B7010" w:rsidRDefault="007B7010" w:rsidP="007B7010">
                                  <w:pPr>
                                    <w:spacing w:beforeLines="20" w:before="48" w:afterLines="40" w:after="96"/>
                                    <w:jc w:val="both"/>
                                    <w:rPr>
                                      <w:rFonts w:ascii="Cambria" w:hAnsi="Cambria"/>
                                      <w:b/>
                                      <w:bCs/>
                                      <w:sz w:val="24"/>
                                      <w:szCs w:val="24"/>
                                    </w:rPr>
                                  </w:pPr>
                                  <w:r>
                                    <w:t>30.6%</w:t>
                                  </w:r>
                                </w:p>
                              </w:tc>
                              <w:tc>
                                <w:tcPr>
                                  <w:tcW w:w="1380" w:type="dxa"/>
                                  <w:vAlign w:val="center"/>
                                </w:tcPr>
                                <w:p w14:paraId="1864D54A" w14:textId="77777777" w:rsidR="007B7010" w:rsidRDefault="007B7010" w:rsidP="007B7010">
                                  <w:pPr>
                                    <w:spacing w:beforeLines="20" w:before="48" w:afterLines="40" w:after="96"/>
                                    <w:jc w:val="both"/>
                                    <w:rPr>
                                      <w:rFonts w:ascii="Cambria" w:hAnsi="Cambria"/>
                                      <w:b/>
                                      <w:bCs/>
                                      <w:sz w:val="24"/>
                                      <w:szCs w:val="24"/>
                                    </w:rPr>
                                  </w:pPr>
                                  <w:r>
                                    <w:t>3.8%</w:t>
                                  </w:r>
                                </w:p>
                              </w:tc>
                              <w:tc>
                                <w:tcPr>
                                  <w:tcW w:w="1375" w:type="dxa"/>
                                  <w:vAlign w:val="center"/>
                                </w:tcPr>
                                <w:p w14:paraId="6F572DD4" w14:textId="77777777" w:rsidR="007B7010" w:rsidRDefault="007B7010" w:rsidP="007B7010">
                                  <w:pPr>
                                    <w:spacing w:beforeLines="20" w:before="48" w:afterLines="40" w:after="96"/>
                                    <w:jc w:val="both"/>
                                    <w:rPr>
                                      <w:rFonts w:ascii="Cambria" w:hAnsi="Cambria"/>
                                      <w:b/>
                                      <w:bCs/>
                                      <w:sz w:val="24"/>
                                      <w:szCs w:val="24"/>
                                    </w:rPr>
                                  </w:pPr>
                                  <w:r>
                                    <w:t>1.9</w:t>
                                  </w:r>
                                </w:p>
                              </w:tc>
                            </w:tr>
                          </w:tbl>
                          <w:p w14:paraId="54E91E77" w14:textId="727EFCFC" w:rsidR="007B7010" w:rsidRPr="00241CBE" w:rsidRDefault="00046B0C">
                            <w:pPr>
                              <w:rPr>
                                <w:rFonts w:ascii="Cambria" w:hAnsi="Cambria"/>
                                <w:i/>
                                <w:iCs/>
                                <w:sz w:val="20"/>
                                <w:szCs w:val="20"/>
                              </w:rPr>
                            </w:pPr>
                            <w:r>
                              <w:br/>
                            </w:r>
                            <w:r w:rsidRPr="00241CBE">
                              <w:rPr>
                                <w:rFonts w:ascii="Cambria" w:hAnsi="Cambria"/>
                                <w:b/>
                                <w:bCs/>
                                <w:i/>
                                <w:iCs/>
                                <w:sz w:val="20"/>
                                <w:szCs w:val="20"/>
                              </w:rPr>
                              <w:t>Table 2</w:t>
                            </w:r>
                            <w:r w:rsidRPr="00241CBE">
                              <w:rPr>
                                <w:rFonts w:ascii="Cambria" w:hAnsi="Cambria"/>
                                <w:i/>
                                <w:iCs/>
                                <w:sz w:val="20"/>
                                <w:szCs w:val="20"/>
                              </w:rPr>
                              <w:t>: Profitability Metrics Comparison – This table presents key profitability indicators, including net income margin, EBITDA margin, operating margin, gross margin, return on equity (ROE), and return on assets (ROA) for five major retailers, highlighting their relative financial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8165E" id="_x0000_s1027" type="#_x0000_t202" style="position:absolute;left:0;text-align:left;margin-left:-8.4pt;margin-top:84pt;width:501pt;height:228.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" filled="f" stroked="f">
                <v:textbox>
                  <w:txbxContent>
                    <w:tbl>
                      <w:tblPr>
                        <w:tblStyle w:val="TableGrid"/>
                        <w:tblW w:w="0" w:type="auto"/>
                        <w:tblLook w:val="04A0" w:firstRow="1" w:lastRow="0" w:firstColumn="1" w:lastColumn="0" w:noHBand="0" w:noVBand="1"/>
                      </w:tblPr>
                      <w:tblGrid>
                        <w:gridCol w:w="1395"/>
                        <w:gridCol w:w="1387"/>
                        <w:gridCol w:w="1386"/>
                        <w:gridCol w:w="1398"/>
                        <w:gridCol w:w="1384"/>
                        <w:gridCol w:w="1380"/>
                        <w:gridCol w:w="1375"/>
                      </w:tblGrid>
                      <w:tr w:rsidR="007B7010" w14:paraId="2DEDFDDF" w14:textId="77777777" w:rsidTr="007B7010">
                        <w:trPr>
                          <w:trHeight w:val="718"/>
                        </w:trPr>
                        <w:tc>
                          <w:tcPr>
                            <w:tcW w:w="1395" w:type="dxa"/>
                            <w:vAlign w:val="center"/>
                          </w:tcPr>
                          <w:p w14:paraId="154FA67A" w14:textId="77777777" w:rsidR="007B7010" w:rsidRDefault="007B7010" w:rsidP="007B7010">
                            <w:pPr>
                              <w:spacing w:beforeLines="20" w:before="48" w:afterLines="40" w:after="96"/>
                              <w:jc w:val="both"/>
                              <w:rPr>
                                <w:rFonts w:ascii="Cambria" w:hAnsi="Cambria"/>
                                <w:b/>
                                <w:bCs/>
                                <w:sz w:val="24"/>
                                <w:szCs w:val="24"/>
                              </w:rPr>
                            </w:pPr>
                            <w:r>
                              <w:rPr>
                                <w:rStyle w:val="Strong"/>
                              </w:rPr>
                              <w:t>Company</w:t>
                            </w:r>
                          </w:p>
                        </w:tc>
                        <w:tc>
                          <w:tcPr>
                            <w:tcW w:w="1387" w:type="dxa"/>
                            <w:vAlign w:val="center"/>
                          </w:tcPr>
                          <w:p w14:paraId="2BB26153" w14:textId="77777777" w:rsidR="007B7010" w:rsidRDefault="007B7010" w:rsidP="007B7010">
                            <w:pPr>
                              <w:spacing w:beforeLines="20" w:before="48" w:afterLines="40" w:after="96"/>
                              <w:jc w:val="both"/>
                              <w:rPr>
                                <w:rFonts w:ascii="Cambria" w:hAnsi="Cambria"/>
                                <w:b/>
                                <w:bCs/>
                                <w:sz w:val="24"/>
                                <w:szCs w:val="24"/>
                              </w:rPr>
                            </w:pPr>
                            <w:r>
                              <w:rPr>
                                <w:rStyle w:val="Strong"/>
                              </w:rPr>
                              <w:t>Net Income Margin (%)</w:t>
                            </w:r>
                          </w:p>
                        </w:tc>
                        <w:tc>
                          <w:tcPr>
                            <w:tcW w:w="1386" w:type="dxa"/>
                            <w:vAlign w:val="center"/>
                          </w:tcPr>
                          <w:p w14:paraId="754C802C" w14:textId="77777777" w:rsidR="007B7010" w:rsidRDefault="007B7010" w:rsidP="007B7010">
                            <w:pPr>
                              <w:spacing w:beforeLines="20" w:before="48" w:afterLines="40" w:after="96"/>
                              <w:jc w:val="both"/>
                              <w:rPr>
                                <w:rFonts w:ascii="Cambria" w:hAnsi="Cambria"/>
                                <w:b/>
                                <w:bCs/>
                                <w:sz w:val="24"/>
                                <w:szCs w:val="24"/>
                              </w:rPr>
                            </w:pPr>
                            <w:r>
                              <w:rPr>
                                <w:rStyle w:val="Strong"/>
                              </w:rPr>
                              <w:t>EBITDA Margin (%)</w:t>
                            </w:r>
                          </w:p>
                        </w:tc>
                        <w:tc>
                          <w:tcPr>
                            <w:tcW w:w="1398" w:type="dxa"/>
                            <w:vAlign w:val="center"/>
                          </w:tcPr>
                          <w:p w14:paraId="12DDFBB8" w14:textId="77777777" w:rsidR="007B7010" w:rsidRDefault="007B7010" w:rsidP="007B7010">
                            <w:pPr>
                              <w:spacing w:beforeLines="20" w:before="48" w:afterLines="40" w:after="96"/>
                              <w:jc w:val="both"/>
                              <w:rPr>
                                <w:rFonts w:ascii="Cambria" w:hAnsi="Cambria"/>
                                <w:b/>
                                <w:bCs/>
                                <w:sz w:val="24"/>
                                <w:szCs w:val="24"/>
                              </w:rPr>
                            </w:pPr>
                            <w:r>
                              <w:rPr>
                                <w:rStyle w:val="Strong"/>
                              </w:rPr>
                              <w:t>Operating Margin (%)</w:t>
                            </w:r>
                          </w:p>
                        </w:tc>
                        <w:tc>
                          <w:tcPr>
                            <w:tcW w:w="1384" w:type="dxa"/>
                            <w:vAlign w:val="center"/>
                          </w:tcPr>
                          <w:p w14:paraId="690E6C53" w14:textId="77777777" w:rsidR="007B7010" w:rsidRDefault="007B7010" w:rsidP="007B7010">
                            <w:pPr>
                              <w:spacing w:beforeLines="20" w:before="48" w:afterLines="40" w:after="96"/>
                              <w:jc w:val="both"/>
                              <w:rPr>
                                <w:rFonts w:ascii="Cambria" w:hAnsi="Cambria"/>
                                <w:b/>
                                <w:bCs/>
                                <w:sz w:val="24"/>
                                <w:szCs w:val="24"/>
                              </w:rPr>
                            </w:pPr>
                            <w:r>
                              <w:rPr>
                                <w:rStyle w:val="Strong"/>
                              </w:rPr>
                              <w:t>Gross Margin (%)</w:t>
                            </w:r>
                          </w:p>
                        </w:tc>
                        <w:tc>
                          <w:tcPr>
                            <w:tcW w:w="1380" w:type="dxa"/>
                            <w:vAlign w:val="center"/>
                          </w:tcPr>
                          <w:p w14:paraId="695EABFA" w14:textId="77777777" w:rsidR="007B7010" w:rsidRDefault="007B7010" w:rsidP="007B7010">
                            <w:pPr>
                              <w:spacing w:beforeLines="20" w:before="48" w:afterLines="40" w:after="96"/>
                              <w:jc w:val="both"/>
                              <w:rPr>
                                <w:rFonts w:ascii="Cambria" w:hAnsi="Cambria"/>
                                <w:b/>
                                <w:bCs/>
                                <w:sz w:val="24"/>
                                <w:szCs w:val="24"/>
                              </w:rPr>
                            </w:pPr>
                            <w:r>
                              <w:rPr>
                                <w:rStyle w:val="Strong"/>
                              </w:rPr>
                              <w:t>ROE (%)</w:t>
                            </w:r>
                          </w:p>
                        </w:tc>
                        <w:tc>
                          <w:tcPr>
                            <w:tcW w:w="1375" w:type="dxa"/>
                            <w:vAlign w:val="center"/>
                          </w:tcPr>
                          <w:p w14:paraId="6FF89160" w14:textId="77777777" w:rsidR="007B7010" w:rsidRDefault="007B7010" w:rsidP="007B7010">
                            <w:pPr>
                              <w:spacing w:beforeLines="20" w:before="48" w:afterLines="40" w:after="96"/>
                              <w:jc w:val="both"/>
                              <w:rPr>
                                <w:rFonts w:ascii="Cambria" w:hAnsi="Cambria"/>
                                <w:b/>
                                <w:bCs/>
                                <w:sz w:val="24"/>
                                <w:szCs w:val="24"/>
                              </w:rPr>
                            </w:pPr>
                            <w:r>
                              <w:rPr>
                                <w:rStyle w:val="Strong"/>
                              </w:rPr>
                              <w:t>ROA (%)</w:t>
                            </w:r>
                          </w:p>
                        </w:tc>
                      </w:tr>
                      <w:tr w:rsidR="007B7010" w14:paraId="111F5FE0" w14:textId="77777777" w:rsidTr="007B7010">
                        <w:trPr>
                          <w:trHeight w:val="428"/>
                        </w:trPr>
                        <w:tc>
                          <w:tcPr>
                            <w:tcW w:w="1395" w:type="dxa"/>
                            <w:vAlign w:val="center"/>
                          </w:tcPr>
                          <w:p w14:paraId="1E31205E" w14:textId="77777777" w:rsidR="007B7010" w:rsidRDefault="007B7010" w:rsidP="007B7010">
                            <w:pPr>
                              <w:spacing w:beforeLines="20" w:before="48" w:afterLines="40" w:after="96"/>
                              <w:jc w:val="both"/>
                              <w:rPr>
                                <w:rFonts w:ascii="Cambria" w:hAnsi="Cambria"/>
                                <w:b/>
                                <w:bCs/>
                                <w:sz w:val="24"/>
                                <w:szCs w:val="24"/>
                              </w:rPr>
                            </w:pPr>
                            <w:r>
                              <w:rPr>
                                <w:rStyle w:val="Strong"/>
                              </w:rPr>
                              <w:t>Alibaba</w:t>
                            </w:r>
                          </w:p>
                        </w:tc>
                        <w:tc>
                          <w:tcPr>
                            <w:tcW w:w="1387" w:type="dxa"/>
                            <w:vAlign w:val="center"/>
                          </w:tcPr>
                          <w:p w14:paraId="5DB36D25" w14:textId="77777777" w:rsidR="007B7010" w:rsidRDefault="007B7010" w:rsidP="007B7010">
                            <w:pPr>
                              <w:spacing w:beforeLines="20" w:before="48" w:afterLines="40" w:after="96"/>
                              <w:jc w:val="both"/>
                              <w:rPr>
                                <w:rFonts w:ascii="Cambria" w:hAnsi="Cambria"/>
                                <w:b/>
                                <w:bCs/>
                                <w:sz w:val="24"/>
                                <w:szCs w:val="24"/>
                              </w:rPr>
                            </w:pPr>
                            <w:r>
                              <w:t>13.6%</w:t>
                            </w:r>
                          </w:p>
                        </w:tc>
                        <w:tc>
                          <w:tcPr>
                            <w:tcW w:w="1386" w:type="dxa"/>
                            <w:vAlign w:val="center"/>
                          </w:tcPr>
                          <w:p w14:paraId="476F0AB8" w14:textId="77777777" w:rsidR="007B7010" w:rsidRDefault="007B7010" w:rsidP="007B7010">
                            <w:pPr>
                              <w:spacing w:beforeLines="20" w:before="48" w:afterLines="40" w:after="96"/>
                              <w:jc w:val="both"/>
                              <w:rPr>
                                <w:rFonts w:ascii="Cambria" w:hAnsi="Cambria"/>
                                <w:b/>
                                <w:bCs/>
                                <w:sz w:val="24"/>
                                <w:szCs w:val="24"/>
                              </w:rPr>
                            </w:pPr>
                            <w:r>
                              <w:t>19.5%</w:t>
                            </w:r>
                          </w:p>
                        </w:tc>
                        <w:tc>
                          <w:tcPr>
                            <w:tcW w:w="1398" w:type="dxa"/>
                            <w:vAlign w:val="center"/>
                          </w:tcPr>
                          <w:p w14:paraId="09FB0C5D" w14:textId="77777777" w:rsidR="007B7010" w:rsidRDefault="007B7010" w:rsidP="007B7010">
                            <w:pPr>
                              <w:spacing w:beforeLines="20" w:before="48" w:afterLines="40" w:after="96"/>
                              <w:jc w:val="both"/>
                              <w:rPr>
                                <w:rFonts w:ascii="Cambria" w:hAnsi="Cambria"/>
                                <w:b/>
                                <w:bCs/>
                                <w:sz w:val="24"/>
                                <w:szCs w:val="24"/>
                              </w:rPr>
                            </w:pPr>
                            <w:r>
                              <w:t>16.2%</w:t>
                            </w:r>
                          </w:p>
                        </w:tc>
                        <w:tc>
                          <w:tcPr>
                            <w:tcW w:w="1384" w:type="dxa"/>
                            <w:vAlign w:val="center"/>
                          </w:tcPr>
                          <w:p w14:paraId="7F160540" w14:textId="77777777" w:rsidR="007B7010" w:rsidRDefault="007B7010" w:rsidP="007B7010">
                            <w:pPr>
                              <w:spacing w:beforeLines="20" w:before="48" w:afterLines="40" w:after="96"/>
                              <w:jc w:val="both"/>
                              <w:rPr>
                                <w:rFonts w:ascii="Cambria" w:hAnsi="Cambria"/>
                                <w:b/>
                                <w:bCs/>
                                <w:sz w:val="24"/>
                                <w:szCs w:val="24"/>
                              </w:rPr>
                            </w:pPr>
                            <w:r>
                              <w:t>37.7%</w:t>
                            </w:r>
                          </w:p>
                        </w:tc>
                        <w:tc>
                          <w:tcPr>
                            <w:tcW w:w="1380" w:type="dxa"/>
                            <w:vAlign w:val="center"/>
                          </w:tcPr>
                          <w:p w14:paraId="0AD474AB" w14:textId="77777777" w:rsidR="007B7010" w:rsidRDefault="007B7010" w:rsidP="007B7010">
                            <w:pPr>
                              <w:spacing w:beforeLines="20" w:before="48" w:afterLines="40" w:after="96"/>
                              <w:jc w:val="both"/>
                              <w:rPr>
                                <w:rFonts w:ascii="Cambria" w:hAnsi="Cambria"/>
                                <w:b/>
                                <w:bCs/>
                                <w:sz w:val="24"/>
                                <w:szCs w:val="24"/>
                              </w:rPr>
                            </w:pPr>
                            <w:r>
                              <w:t>12.8%</w:t>
                            </w:r>
                          </w:p>
                        </w:tc>
                        <w:tc>
                          <w:tcPr>
                            <w:tcW w:w="1375" w:type="dxa"/>
                            <w:vAlign w:val="center"/>
                          </w:tcPr>
                          <w:p w14:paraId="138C86E3" w14:textId="77777777" w:rsidR="007B7010" w:rsidRDefault="007B7010" w:rsidP="007B7010">
                            <w:pPr>
                              <w:spacing w:beforeLines="20" w:before="48" w:afterLines="40" w:after="96"/>
                              <w:jc w:val="both"/>
                              <w:rPr>
                                <w:rFonts w:ascii="Cambria" w:hAnsi="Cambria"/>
                                <w:b/>
                                <w:bCs/>
                                <w:sz w:val="24"/>
                                <w:szCs w:val="24"/>
                              </w:rPr>
                            </w:pPr>
                            <w:r>
                              <w:t>6.4%</w:t>
                            </w:r>
                          </w:p>
                        </w:tc>
                      </w:tr>
                      <w:tr w:rsidR="007B7010" w14:paraId="10108DD1" w14:textId="77777777" w:rsidTr="007B7010">
                        <w:trPr>
                          <w:trHeight w:val="428"/>
                        </w:trPr>
                        <w:tc>
                          <w:tcPr>
                            <w:tcW w:w="1395" w:type="dxa"/>
                            <w:vAlign w:val="center"/>
                          </w:tcPr>
                          <w:p w14:paraId="7BADCAB2" w14:textId="77777777" w:rsidR="007B7010" w:rsidRDefault="007B7010" w:rsidP="007B7010">
                            <w:pPr>
                              <w:spacing w:beforeLines="20" w:before="48" w:afterLines="40" w:after="96"/>
                              <w:jc w:val="both"/>
                              <w:rPr>
                                <w:rFonts w:ascii="Cambria" w:hAnsi="Cambria"/>
                                <w:b/>
                                <w:bCs/>
                                <w:sz w:val="24"/>
                                <w:szCs w:val="24"/>
                              </w:rPr>
                            </w:pPr>
                            <w:r>
                              <w:rPr>
                                <w:rStyle w:val="Strong"/>
                              </w:rPr>
                              <w:t>Walmart</w:t>
                            </w:r>
                          </w:p>
                        </w:tc>
                        <w:tc>
                          <w:tcPr>
                            <w:tcW w:w="1387" w:type="dxa"/>
                            <w:vAlign w:val="center"/>
                          </w:tcPr>
                          <w:p w14:paraId="554602F4" w14:textId="77777777" w:rsidR="007B7010" w:rsidRDefault="007B7010" w:rsidP="007B7010">
                            <w:pPr>
                              <w:spacing w:beforeLines="20" w:before="48" w:afterLines="40" w:after="96"/>
                              <w:jc w:val="both"/>
                              <w:rPr>
                                <w:rFonts w:ascii="Cambria" w:hAnsi="Cambria"/>
                                <w:b/>
                                <w:bCs/>
                                <w:sz w:val="24"/>
                                <w:szCs w:val="24"/>
                              </w:rPr>
                            </w:pPr>
                            <w:r>
                              <w:t>2.4%</w:t>
                            </w:r>
                          </w:p>
                        </w:tc>
                        <w:tc>
                          <w:tcPr>
                            <w:tcW w:w="1386" w:type="dxa"/>
                            <w:vAlign w:val="center"/>
                          </w:tcPr>
                          <w:p w14:paraId="79EC20E1" w14:textId="77777777" w:rsidR="007B7010" w:rsidRDefault="007B7010" w:rsidP="007B7010">
                            <w:pPr>
                              <w:spacing w:beforeLines="20" w:before="48" w:afterLines="40" w:after="96"/>
                              <w:jc w:val="both"/>
                              <w:rPr>
                                <w:rFonts w:ascii="Cambria" w:hAnsi="Cambria"/>
                                <w:b/>
                                <w:bCs/>
                                <w:sz w:val="24"/>
                                <w:szCs w:val="24"/>
                              </w:rPr>
                            </w:pPr>
                            <w:r>
                              <w:t>7.1%</w:t>
                            </w:r>
                          </w:p>
                        </w:tc>
                        <w:tc>
                          <w:tcPr>
                            <w:tcW w:w="1398" w:type="dxa"/>
                            <w:vAlign w:val="center"/>
                          </w:tcPr>
                          <w:p w14:paraId="72B65A8F" w14:textId="77777777" w:rsidR="007B7010" w:rsidRDefault="007B7010" w:rsidP="007B7010">
                            <w:pPr>
                              <w:spacing w:beforeLines="20" w:before="48" w:afterLines="40" w:after="96"/>
                              <w:jc w:val="both"/>
                              <w:rPr>
                                <w:rFonts w:ascii="Cambria" w:hAnsi="Cambria"/>
                                <w:b/>
                                <w:bCs/>
                                <w:sz w:val="24"/>
                                <w:szCs w:val="24"/>
                              </w:rPr>
                            </w:pPr>
                            <w:r>
                              <w:t>5.6%</w:t>
                            </w:r>
                          </w:p>
                        </w:tc>
                        <w:tc>
                          <w:tcPr>
                            <w:tcW w:w="1384" w:type="dxa"/>
                            <w:vAlign w:val="center"/>
                          </w:tcPr>
                          <w:p w14:paraId="58BD25D8" w14:textId="77777777" w:rsidR="007B7010" w:rsidRDefault="007B7010" w:rsidP="007B7010">
                            <w:pPr>
                              <w:spacing w:beforeLines="20" w:before="48" w:afterLines="40" w:after="96"/>
                              <w:jc w:val="both"/>
                              <w:rPr>
                                <w:rFonts w:ascii="Cambria" w:hAnsi="Cambria"/>
                                <w:b/>
                                <w:bCs/>
                                <w:sz w:val="24"/>
                                <w:szCs w:val="24"/>
                              </w:rPr>
                            </w:pPr>
                            <w:r>
                              <w:t>24.5%</w:t>
                            </w:r>
                          </w:p>
                        </w:tc>
                        <w:tc>
                          <w:tcPr>
                            <w:tcW w:w="1380" w:type="dxa"/>
                            <w:vAlign w:val="center"/>
                          </w:tcPr>
                          <w:p w14:paraId="6B61C015" w14:textId="77777777" w:rsidR="007B7010" w:rsidRDefault="007B7010" w:rsidP="007B7010">
                            <w:pPr>
                              <w:spacing w:beforeLines="20" w:before="48" w:afterLines="40" w:after="96"/>
                              <w:jc w:val="both"/>
                              <w:rPr>
                                <w:rFonts w:ascii="Cambria" w:hAnsi="Cambria"/>
                                <w:b/>
                                <w:bCs/>
                                <w:sz w:val="24"/>
                                <w:szCs w:val="24"/>
                              </w:rPr>
                            </w:pPr>
                            <w:r>
                              <w:t>17.2%</w:t>
                            </w:r>
                          </w:p>
                        </w:tc>
                        <w:tc>
                          <w:tcPr>
                            <w:tcW w:w="1375" w:type="dxa"/>
                            <w:vAlign w:val="center"/>
                          </w:tcPr>
                          <w:p w14:paraId="2012E60F" w14:textId="77777777" w:rsidR="007B7010" w:rsidRDefault="007B7010" w:rsidP="007B7010">
                            <w:pPr>
                              <w:spacing w:beforeLines="20" w:before="48" w:afterLines="40" w:after="96"/>
                              <w:jc w:val="both"/>
                              <w:rPr>
                                <w:rFonts w:ascii="Cambria" w:hAnsi="Cambria"/>
                                <w:b/>
                                <w:bCs/>
                                <w:sz w:val="24"/>
                                <w:szCs w:val="24"/>
                              </w:rPr>
                            </w:pPr>
                            <w:r>
                              <w:t>5.8%</w:t>
                            </w:r>
                          </w:p>
                        </w:tc>
                      </w:tr>
                      <w:tr w:rsidR="007B7010" w14:paraId="590336B3" w14:textId="77777777" w:rsidTr="007B7010">
                        <w:trPr>
                          <w:trHeight w:val="428"/>
                        </w:trPr>
                        <w:tc>
                          <w:tcPr>
                            <w:tcW w:w="1395" w:type="dxa"/>
                            <w:vAlign w:val="center"/>
                          </w:tcPr>
                          <w:p w14:paraId="661D3F86" w14:textId="77777777" w:rsidR="007B7010" w:rsidRDefault="007B7010" w:rsidP="007B7010">
                            <w:pPr>
                              <w:spacing w:beforeLines="20" w:before="48" w:afterLines="40" w:after="96"/>
                              <w:jc w:val="both"/>
                              <w:rPr>
                                <w:rFonts w:ascii="Cambria" w:hAnsi="Cambria"/>
                                <w:b/>
                                <w:bCs/>
                                <w:sz w:val="24"/>
                                <w:szCs w:val="24"/>
                              </w:rPr>
                            </w:pPr>
                            <w:r>
                              <w:rPr>
                                <w:rStyle w:val="Strong"/>
                              </w:rPr>
                              <w:t>Costco</w:t>
                            </w:r>
                          </w:p>
                        </w:tc>
                        <w:tc>
                          <w:tcPr>
                            <w:tcW w:w="1387" w:type="dxa"/>
                            <w:vAlign w:val="center"/>
                          </w:tcPr>
                          <w:p w14:paraId="0B1AE527" w14:textId="77777777" w:rsidR="007B7010" w:rsidRDefault="007B7010" w:rsidP="007B7010">
                            <w:pPr>
                              <w:spacing w:beforeLines="20" w:before="48" w:afterLines="40" w:after="96"/>
                              <w:jc w:val="both"/>
                              <w:rPr>
                                <w:rFonts w:ascii="Cambria" w:hAnsi="Cambria"/>
                                <w:b/>
                                <w:bCs/>
                                <w:sz w:val="24"/>
                                <w:szCs w:val="24"/>
                              </w:rPr>
                            </w:pPr>
                            <w:r>
                              <w:t>2.5%</w:t>
                            </w:r>
                          </w:p>
                        </w:tc>
                        <w:tc>
                          <w:tcPr>
                            <w:tcW w:w="1386" w:type="dxa"/>
                            <w:vAlign w:val="center"/>
                          </w:tcPr>
                          <w:p w14:paraId="21D5CB1B" w14:textId="77777777" w:rsidR="007B7010" w:rsidRDefault="007B7010" w:rsidP="007B7010">
                            <w:pPr>
                              <w:spacing w:beforeLines="20" w:before="48" w:afterLines="40" w:after="96"/>
                              <w:jc w:val="both"/>
                              <w:rPr>
                                <w:rFonts w:ascii="Cambria" w:hAnsi="Cambria"/>
                                <w:b/>
                                <w:bCs/>
                                <w:sz w:val="24"/>
                                <w:szCs w:val="24"/>
                              </w:rPr>
                            </w:pPr>
                            <w:r>
                              <w:t>8.6%</w:t>
                            </w:r>
                          </w:p>
                        </w:tc>
                        <w:tc>
                          <w:tcPr>
                            <w:tcW w:w="1398" w:type="dxa"/>
                            <w:vAlign w:val="center"/>
                          </w:tcPr>
                          <w:p w14:paraId="21DD9EA8" w14:textId="77777777" w:rsidR="007B7010" w:rsidRDefault="007B7010" w:rsidP="007B7010">
                            <w:pPr>
                              <w:spacing w:beforeLines="20" w:before="48" w:afterLines="40" w:after="96"/>
                              <w:jc w:val="both"/>
                              <w:rPr>
                                <w:rFonts w:ascii="Cambria" w:hAnsi="Cambria"/>
                                <w:b/>
                                <w:bCs/>
                                <w:sz w:val="24"/>
                                <w:szCs w:val="24"/>
                              </w:rPr>
                            </w:pPr>
                            <w:r>
                              <w:t>6.3%</w:t>
                            </w:r>
                          </w:p>
                        </w:tc>
                        <w:tc>
                          <w:tcPr>
                            <w:tcW w:w="1384" w:type="dxa"/>
                            <w:vAlign w:val="center"/>
                          </w:tcPr>
                          <w:p w14:paraId="4E1C5052" w14:textId="77777777" w:rsidR="007B7010" w:rsidRDefault="007B7010" w:rsidP="007B7010">
                            <w:pPr>
                              <w:spacing w:beforeLines="20" w:before="48" w:afterLines="40" w:after="96"/>
                              <w:jc w:val="both"/>
                              <w:rPr>
                                <w:rFonts w:ascii="Cambria" w:hAnsi="Cambria"/>
                                <w:b/>
                                <w:bCs/>
                                <w:sz w:val="24"/>
                                <w:szCs w:val="24"/>
                              </w:rPr>
                            </w:pPr>
                            <w:r>
                              <w:t>11.2%</w:t>
                            </w:r>
                          </w:p>
                        </w:tc>
                        <w:tc>
                          <w:tcPr>
                            <w:tcW w:w="1380" w:type="dxa"/>
                            <w:vAlign w:val="center"/>
                          </w:tcPr>
                          <w:p w14:paraId="2F4249F5" w14:textId="77777777" w:rsidR="007B7010" w:rsidRDefault="007B7010" w:rsidP="007B7010">
                            <w:pPr>
                              <w:spacing w:beforeLines="20" w:before="48" w:afterLines="40" w:after="96"/>
                              <w:jc w:val="both"/>
                              <w:rPr>
                                <w:rFonts w:ascii="Cambria" w:hAnsi="Cambria"/>
                                <w:b/>
                                <w:bCs/>
                                <w:sz w:val="24"/>
                                <w:szCs w:val="24"/>
                              </w:rPr>
                            </w:pPr>
                            <w:r>
                              <w:t>26.4%</w:t>
                            </w:r>
                          </w:p>
                        </w:tc>
                        <w:tc>
                          <w:tcPr>
                            <w:tcW w:w="1375" w:type="dxa"/>
                            <w:vAlign w:val="center"/>
                          </w:tcPr>
                          <w:p w14:paraId="1D1C12A0" w14:textId="77777777" w:rsidR="007B7010" w:rsidRDefault="007B7010" w:rsidP="007B7010">
                            <w:pPr>
                              <w:spacing w:beforeLines="20" w:before="48" w:afterLines="40" w:after="96"/>
                              <w:jc w:val="both"/>
                              <w:rPr>
                                <w:rFonts w:ascii="Cambria" w:hAnsi="Cambria"/>
                                <w:b/>
                                <w:bCs/>
                                <w:sz w:val="24"/>
                                <w:szCs w:val="24"/>
                              </w:rPr>
                            </w:pPr>
                            <w:r>
                              <w:t>9.2%</w:t>
                            </w:r>
                          </w:p>
                        </w:tc>
                      </w:tr>
                      <w:tr w:rsidR="007B7010" w14:paraId="36C3BB12" w14:textId="77777777" w:rsidTr="007B7010">
                        <w:trPr>
                          <w:trHeight w:val="428"/>
                        </w:trPr>
                        <w:tc>
                          <w:tcPr>
                            <w:tcW w:w="1395" w:type="dxa"/>
                            <w:vAlign w:val="center"/>
                          </w:tcPr>
                          <w:p w14:paraId="6B56622B" w14:textId="77777777" w:rsidR="007B7010" w:rsidRDefault="007B7010" w:rsidP="007B7010">
                            <w:pPr>
                              <w:spacing w:beforeLines="20" w:before="48" w:afterLines="40" w:after="96"/>
                              <w:jc w:val="both"/>
                              <w:rPr>
                                <w:rFonts w:ascii="Cambria" w:hAnsi="Cambria"/>
                                <w:b/>
                                <w:bCs/>
                                <w:sz w:val="24"/>
                                <w:szCs w:val="24"/>
                              </w:rPr>
                            </w:pPr>
                            <w:r>
                              <w:rPr>
                                <w:rStyle w:val="Strong"/>
                              </w:rPr>
                              <w:t>Carrefour</w:t>
                            </w:r>
                          </w:p>
                        </w:tc>
                        <w:tc>
                          <w:tcPr>
                            <w:tcW w:w="1387" w:type="dxa"/>
                            <w:vAlign w:val="center"/>
                          </w:tcPr>
                          <w:p w14:paraId="6C00F019" w14:textId="77777777" w:rsidR="007B7010" w:rsidRDefault="007B7010" w:rsidP="007B7010">
                            <w:pPr>
                              <w:spacing w:beforeLines="20" w:before="48" w:afterLines="40" w:after="96"/>
                              <w:jc w:val="both"/>
                              <w:rPr>
                                <w:rFonts w:ascii="Cambria" w:hAnsi="Cambria"/>
                                <w:b/>
                                <w:bCs/>
                                <w:sz w:val="24"/>
                                <w:szCs w:val="24"/>
                              </w:rPr>
                            </w:pPr>
                            <w:r>
                              <w:t>1.2%</w:t>
                            </w:r>
                          </w:p>
                        </w:tc>
                        <w:tc>
                          <w:tcPr>
                            <w:tcW w:w="1386" w:type="dxa"/>
                            <w:vAlign w:val="center"/>
                          </w:tcPr>
                          <w:p w14:paraId="7B07DF3F" w14:textId="77777777" w:rsidR="007B7010" w:rsidRDefault="007B7010" w:rsidP="007B7010">
                            <w:pPr>
                              <w:spacing w:beforeLines="20" w:before="48" w:afterLines="40" w:after="96"/>
                              <w:jc w:val="both"/>
                              <w:rPr>
                                <w:rFonts w:ascii="Cambria" w:hAnsi="Cambria"/>
                                <w:b/>
                                <w:bCs/>
                                <w:sz w:val="24"/>
                                <w:szCs w:val="24"/>
                              </w:rPr>
                            </w:pPr>
                            <w:r>
                              <w:t>4.2%</w:t>
                            </w:r>
                          </w:p>
                        </w:tc>
                        <w:tc>
                          <w:tcPr>
                            <w:tcW w:w="1398" w:type="dxa"/>
                            <w:vAlign w:val="center"/>
                          </w:tcPr>
                          <w:p w14:paraId="780C70F0" w14:textId="77777777" w:rsidR="007B7010" w:rsidRDefault="007B7010" w:rsidP="007B7010">
                            <w:pPr>
                              <w:spacing w:beforeLines="20" w:before="48" w:afterLines="40" w:after="96"/>
                              <w:jc w:val="both"/>
                              <w:rPr>
                                <w:rFonts w:ascii="Cambria" w:hAnsi="Cambria"/>
                                <w:b/>
                                <w:bCs/>
                                <w:sz w:val="24"/>
                                <w:szCs w:val="24"/>
                              </w:rPr>
                            </w:pPr>
                            <w:r>
                              <w:t>2.9%</w:t>
                            </w:r>
                          </w:p>
                        </w:tc>
                        <w:tc>
                          <w:tcPr>
                            <w:tcW w:w="1384" w:type="dxa"/>
                            <w:vAlign w:val="center"/>
                          </w:tcPr>
                          <w:p w14:paraId="1055AD8A" w14:textId="77777777" w:rsidR="007B7010" w:rsidRDefault="007B7010" w:rsidP="007B7010">
                            <w:pPr>
                              <w:spacing w:beforeLines="20" w:before="48" w:afterLines="40" w:after="96"/>
                              <w:jc w:val="both"/>
                              <w:rPr>
                                <w:rFonts w:ascii="Cambria" w:hAnsi="Cambria"/>
                                <w:b/>
                                <w:bCs/>
                                <w:sz w:val="24"/>
                                <w:szCs w:val="24"/>
                              </w:rPr>
                            </w:pPr>
                            <w:r>
                              <w:t>18.3%</w:t>
                            </w:r>
                          </w:p>
                        </w:tc>
                        <w:tc>
                          <w:tcPr>
                            <w:tcW w:w="1380" w:type="dxa"/>
                            <w:vAlign w:val="center"/>
                          </w:tcPr>
                          <w:p w14:paraId="41EF2E78" w14:textId="77777777" w:rsidR="007B7010" w:rsidRDefault="007B7010" w:rsidP="007B7010">
                            <w:pPr>
                              <w:spacing w:beforeLines="20" w:before="48" w:afterLines="40" w:after="96"/>
                              <w:jc w:val="both"/>
                              <w:rPr>
                                <w:rFonts w:ascii="Cambria" w:hAnsi="Cambria"/>
                                <w:b/>
                                <w:bCs/>
                                <w:sz w:val="24"/>
                                <w:szCs w:val="24"/>
                              </w:rPr>
                            </w:pPr>
                            <w:r>
                              <w:t>9.5%</w:t>
                            </w:r>
                          </w:p>
                        </w:tc>
                        <w:tc>
                          <w:tcPr>
                            <w:tcW w:w="1375" w:type="dxa"/>
                            <w:vAlign w:val="center"/>
                          </w:tcPr>
                          <w:p w14:paraId="0FD6994C" w14:textId="77777777" w:rsidR="007B7010" w:rsidRDefault="007B7010" w:rsidP="007B7010">
                            <w:pPr>
                              <w:spacing w:beforeLines="20" w:before="48" w:afterLines="40" w:after="96"/>
                              <w:jc w:val="both"/>
                              <w:rPr>
                                <w:rFonts w:ascii="Cambria" w:hAnsi="Cambria"/>
                                <w:b/>
                                <w:bCs/>
                                <w:sz w:val="24"/>
                                <w:szCs w:val="24"/>
                              </w:rPr>
                            </w:pPr>
                            <w:r>
                              <w:t>3.7%</w:t>
                            </w:r>
                          </w:p>
                        </w:tc>
                      </w:tr>
                      <w:tr w:rsidR="007B7010" w14:paraId="7E8615D3" w14:textId="77777777" w:rsidTr="007B7010">
                        <w:trPr>
                          <w:trHeight w:val="718"/>
                        </w:trPr>
                        <w:tc>
                          <w:tcPr>
                            <w:tcW w:w="1395" w:type="dxa"/>
                            <w:vAlign w:val="center"/>
                          </w:tcPr>
                          <w:p w14:paraId="0DEC7FCD" w14:textId="77777777" w:rsidR="007B7010" w:rsidRDefault="007B7010" w:rsidP="007B7010">
                            <w:pPr>
                              <w:spacing w:beforeLines="20" w:before="48" w:afterLines="40" w:after="96"/>
                              <w:jc w:val="both"/>
                              <w:rPr>
                                <w:rFonts w:ascii="Cambria" w:hAnsi="Cambria"/>
                                <w:b/>
                                <w:bCs/>
                                <w:sz w:val="24"/>
                                <w:szCs w:val="24"/>
                              </w:rPr>
                            </w:pPr>
                            <w:r>
                              <w:rPr>
                                <w:rStyle w:val="Strong"/>
                              </w:rPr>
                              <w:t>Magazine Luiza</w:t>
                            </w:r>
                          </w:p>
                        </w:tc>
                        <w:tc>
                          <w:tcPr>
                            <w:tcW w:w="1387" w:type="dxa"/>
                            <w:vAlign w:val="center"/>
                          </w:tcPr>
                          <w:p w14:paraId="44EFA248" w14:textId="77777777" w:rsidR="007B7010" w:rsidRDefault="007B7010" w:rsidP="007B7010">
                            <w:pPr>
                              <w:spacing w:beforeLines="20" w:before="48" w:afterLines="40" w:after="96"/>
                              <w:jc w:val="both"/>
                              <w:rPr>
                                <w:rFonts w:ascii="Cambria" w:hAnsi="Cambria"/>
                                <w:b/>
                                <w:bCs/>
                                <w:sz w:val="24"/>
                                <w:szCs w:val="24"/>
                              </w:rPr>
                            </w:pPr>
                            <w:r>
                              <w:t>0.6%</w:t>
                            </w:r>
                          </w:p>
                        </w:tc>
                        <w:tc>
                          <w:tcPr>
                            <w:tcW w:w="1386" w:type="dxa"/>
                            <w:vAlign w:val="center"/>
                          </w:tcPr>
                          <w:p w14:paraId="38317095" w14:textId="77777777" w:rsidR="007B7010" w:rsidRDefault="007B7010" w:rsidP="007B7010">
                            <w:pPr>
                              <w:spacing w:beforeLines="20" w:before="48" w:afterLines="40" w:after="96"/>
                              <w:jc w:val="both"/>
                              <w:rPr>
                                <w:rFonts w:ascii="Cambria" w:hAnsi="Cambria"/>
                                <w:b/>
                                <w:bCs/>
                                <w:sz w:val="24"/>
                                <w:szCs w:val="24"/>
                              </w:rPr>
                            </w:pPr>
                            <w:r>
                              <w:t>4.7%</w:t>
                            </w:r>
                          </w:p>
                        </w:tc>
                        <w:tc>
                          <w:tcPr>
                            <w:tcW w:w="1398" w:type="dxa"/>
                            <w:vAlign w:val="center"/>
                          </w:tcPr>
                          <w:p w14:paraId="5BB8E875" w14:textId="77777777" w:rsidR="007B7010" w:rsidRDefault="007B7010" w:rsidP="007B7010">
                            <w:pPr>
                              <w:spacing w:beforeLines="20" w:before="48" w:afterLines="40" w:after="96"/>
                              <w:jc w:val="both"/>
                              <w:rPr>
                                <w:rFonts w:ascii="Cambria" w:hAnsi="Cambria"/>
                                <w:b/>
                                <w:bCs/>
                                <w:sz w:val="24"/>
                                <w:szCs w:val="24"/>
                              </w:rPr>
                            </w:pPr>
                            <w:r>
                              <w:t>2.4%</w:t>
                            </w:r>
                          </w:p>
                        </w:tc>
                        <w:tc>
                          <w:tcPr>
                            <w:tcW w:w="1384" w:type="dxa"/>
                            <w:vAlign w:val="center"/>
                          </w:tcPr>
                          <w:p w14:paraId="5FBAB2A9" w14:textId="77777777" w:rsidR="007B7010" w:rsidRDefault="007B7010" w:rsidP="007B7010">
                            <w:pPr>
                              <w:spacing w:beforeLines="20" w:before="48" w:afterLines="40" w:after="96"/>
                              <w:jc w:val="both"/>
                              <w:rPr>
                                <w:rFonts w:ascii="Cambria" w:hAnsi="Cambria"/>
                                <w:b/>
                                <w:bCs/>
                                <w:sz w:val="24"/>
                                <w:szCs w:val="24"/>
                              </w:rPr>
                            </w:pPr>
                            <w:r>
                              <w:t>30.6%</w:t>
                            </w:r>
                          </w:p>
                        </w:tc>
                        <w:tc>
                          <w:tcPr>
                            <w:tcW w:w="1380" w:type="dxa"/>
                            <w:vAlign w:val="center"/>
                          </w:tcPr>
                          <w:p w14:paraId="1864D54A" w14:textId="77777777" w:rsidR="007B7010" w:rsidRDefault="007B7010" w:rsidP="007B7010">
                            <w:pPr>
                              <w:spacing w:beforeLines="20" w:before="48" w:afterLines="40" w:after="96"/>
                              <w:jc w:val="both"/>
                              <w:rPr>
                                <w:rFonts w:ascii="Cambria" w:hAnsi="Cambria"/>
                                <w:b/>
                                <w:bCs/>
                                <w:sz w:val="24"/>
                                <w:szCs w:val="24"/>
                              </w:rPr>
                            </w:pPr>
                            <w:r>
                              <w:t>3.8%</w:t>
                            </w:r>
                          </w:p>
                        </w:tc>
                        <w:tc>
                          <w:tcPr>
                            <w:tcW w:w="1375" w:type="dxa"/>
                            <w:vAlign w:val="center"/>
                          </w:tcPr>
                          <w:p w14:paraId="6F572DD4" w14:textId="77777777" w:rsidR="007B7010" w:rsidRDefault="007B7010" w:rsidP="007B7010">
                            <w:pPr>
                              <w:spacing w:beforeLines="20" w:before="48" w:afterLines="40" w:after="96"/>
                              <w:jc w:val="both"/>
                              <w:rPr>
                                <w:rFonts w:ascii="Cambria" w:hAnsi="Cambria"/>
                                <w:b/>
                                <w:bCs/>
                                <w:sz w:val="24"/>
                                <w:szCs w:val="24"/>
                              </w:rPr>
                            </w:pPr>
                            <w:r>
                              <w:t>1.9</w:t>
                            </w:r>
                          </w:p>
                        </w:tc>
                      </w:tr>
                    </w:tbl>
                    <w:p w14:paraId="54E91E77" w14:textId="727EFCFC" w:rsidR="007B7010" w:rsidRPr="00241CBE" w:rsidRDefault="00046B0C">
                      <w:pPr>
                        <w:rPr>
                          <w:rFonts w:ascii="Cambria" w:hAnsi="Cambria"/>
                          <w:i/>
                          <w:iCs/>
                          <w:sz w:val="20"/>
                          <w:szCs w:val="20"/>
                        </w:rPr>
                      </w:pPr>
                      <w:r>
                        <w:br/>
                      </w:r>
                      <w:r w:rsidRPr="00241CBE">
                        <w:rPr>
                          <w:rFonts w:ascii="Cambria" w:hAnsi="Cambria"/>
                          <w:b/>
                          <w:bCs/>
                          <w:i/>
                          <w:iCs/>
                          <w:sz w:val="20"/>
                          <w:szCs w:val="20"/>
                        </w:rPr>
                        <w:t>Table 2</w:t>
                      </w:r>
                      <w:r w:rsidRPr="00241CBE">
                        <w:rPr>
                          <w:rFonts w:ascii="Cambria" w:hAnsi="Cambria"/>
                          <w:i/>
                          <w:iCs/>
                          <w:sz w:val="20"/>
                          <w:szCs w:val="20"/>
                        </w:rPr>
                        <w:t>: Profitability Metrics Comparison – This table presents key profitability indicators, including net income margin, EBITDA margin, operating margin, gross margin, return on equity (ROE), and return on assets (ROA) for five major retailers, highlighting their relative financial performance.</w:t>
                      </w:r>
                    </w:p>
                  </w:txbxContent>
                </v:textbox>
                <w10:wrap type="square" anchorx="margin"/>
              </v:shape>
            </w:pict>
          </mc:Fallback>
        </mc:AlternateContent>
      </w:r>
      <w:r w:rsidR="00B00FC4" w:rsidRPr="00456405">
        <w:rPr>
          <w:rFonts w:ascii="Cambria" w:hAnsi="Cambria"/>
          <w:b/>
          <w:bCs/>
          <w:sz w:val="28"/>
          <w:szCs w:val="28"/>
        </w:rPr>
        <w:t xml:space="preserve">Quantitative Assessment </w:t>
      </w:r>
      <w:r w:rsidR="00FB265C" w:rsidRPr="00456405">
        <w:rPr>
          <w:rStyle w:val="FootnoteReference"/>
          <w:rFonts w:ascii="Cambria" w:hAnsi="Cambria"/>
          <w:b/>
          <w:bCs/>
          <w:sz w:val="28"/>
          <w:szCs w:val="28"/>
        </w:rPr>
        <w:footnoteReference w:id="1"/>
      </w:r>
      <w:r w:rsidR="00B00FC4" w:rsidRPr="00456405">
        <w:rPr>
          <w:rFonts w:ascii="Cambria" w:hAnsi="Cambria"/>
          <w:b/>
          <w:bCs/>
          <w:sz w:val="28"/>
          <w:szCs w:val="28"/>
        </w:rPr>
        <w:tab/>
      </w:r>
      <w:r w:rsidR="00DC1DD6" w:rsidRPr="00456405">
        <w:rPr>
          <w:rFonts w:ascii="Cambria" w:hAnsi="Cambria"/>
          <w:b/>
          <w:bCs/>
          <w:sz w:val="28"/>
          <w:szCs w:val="28"/>
        </w:rPr>
        <w:br/>
      </w:r>
      <w:r w:rsidR="00B00FC4" w:rsidRPr="00456405">
        <w:rPr>
          <w:rFonts w:ascii="Cambria" w:hAnsi="Cambria"/>
          <w:b/>
          <w:bCs/>
          <w:sz w:val="28"/>
          <w:szCs w:val="28"/>
        </w:rPr>
        <w:br/>
      </w:r>
      <w:r w:rsidR="00B00FC4" w:rsidRPr="00456405">
        <w:rPr>
          <w:rFonts w:ascii="Cambria" w:hAnsi="Cambria"/>
          <w:b/>
          <w:bCs/>
          <w:sz w:val="24"/>
          <w:szCs w:val="24"/>
        </w:rPr>
        <w:t xml:space="preserve">Financial Statement Analysis </w:t>
      </w:r>
      <w:r w:rsidR="00B00FC4" w:rsidRPr="00456405">
        <w:rPr>
          <w:rFonts w:ascii="Cambria" w:hAnsi="Cambria"/>
          <w:b/>
          <w:bCs/>
          <w:sz w:val="24"/>
          <w:szCs w:val="24"/>
        </w:rPr>
        <w:tab/>
      </w:r>
      <w:r w:rsidR="00EC2084" w:rsidRPr="00456405">
        <w:rPr>
          <w:rFonts w:ascii="Cambria" w:hAnsi="Cambria"/>
          <w:b/>
          <w:bCs/>
          <w:sz w:val="24"/>
          <w:szCs w:val="24"/>
        </w:rPr>
        <w:br/>
      </w:r>
      <w:r w:rsidR="00EC2084" w:rsidRPr="00456405">
        <w:rPr>
          <w:rFonts w:ascii="Cambria" w:hAnsi="Cambria"/>
          <w:b/>
          <w:bCs/>
          <w:sz w:val="24"/>
          <w:szCs w:val="24"/>
        </w:rPr>
        <w:br/>
        <w:t>1. Profitability</w:t>
      </w:r>
      <w:r w:rsidR="00EC2084" w:rsidRPr="00456405">
        <w:rPr>
          <w:rFonts w:ascii="Cambria" w:hAnsi="Cambria"/>
          <w:b/>
          <w:bCs/>
          <w:sz w:val="24"/>
          <w:szCs w:val="24"/>
        </w:rPr>
        <w:tab/>
      </w:r>
      <w:r w:rsidR="00EC2084" w:rsidRPr="00456405">
        <w:rPr>
          <w:rFonts w:ascii="Cambria" w:hAnsi="Cambria"/>
          <w:b/>
          <w:bCs/>
          <w:sz w:val="24"/>
          <w:szCs w:val="24"/>
        </w:rPr>
        <w:br/>
      </w:r>
      <w:r w:rsidR="00EC2084" w:rsidRPr="00456405">
        <w:rPr>
          <w:rFonts w:ascii="Cambria" w:hAnsi="Cambria"/>
          <w:sz w:val="24"/>
          <w:szCs w:val="24"/>
        </w:rPr>
        <w:t>Profi</w:t>
      </w:r>
      <w:r w:rsidR="00581EF8" w:rsidRPr="00456405">
        <w:rPr>
          <w:rFonts w:ascii="Cambria" w:hAnsi="Cambria"/>
          <w:sz w:val="24"/>
          <w:szCs w:val="24"/>
        </w:rPr>
        <w:t xml:space="preserve">tability measures critically assess the ability to generate earnings from operations and financial stability of a company. </w:t>
      </w:r>
      <w:r w:rsidR="00370C60" w:rsidRPr="00456405">
        <w:rPr>
          <w:rFonts w:ascii="Cambria" w:hAnsi="Cambria"/>
          <w:sz w:val="24"/>
          <w:szCs w:val="24"/>
        </w:rPr>
        <w:t xml:space="preserve">Alibaba exhibits the highest profitability supported by its high-margin cloud computing and digital services segments. They have maintained a five-year average net income margin of 12.3%. However, profitability has seen downward trends, with net income margins contracting from 18.5% in FY2019 to 13.6% in FY2024. Despite these pressures, a high EBITDA margin of 19.5% is significantly higher than peers, indicating a structurally superior business model. </w:t>
      </w:r>
      <w:r w:rsidR="00370C60" w:rsidRPr="00456405">
        <w:rPr>
          <w:rFonts w:ascii="Cambria" w:hAnsi="Cambria"/>
          <w:sz w:val="24"/>
          <w:szCs w:val="24"/>
        </w:rPr>
        <w:tab/>
      </w:r>
      <w:r w:rsidR="00370C60" w:rsidRPr="00456405">
        <w:rPr>
          <w:rFonts w:ascii="Cambria" w:hAnsi="Cambria"/>
          <w:sz w:val="24"/>
          <w:szCs w:val="24"/>
        </w:rPr>
        <w:br/>
        <w:t xml:space="preserve">Walmart and Costco, while operating in lower-margin retail environments, demonstrate stable profitability. </w:t>
      </w:r>
      <w:r w:rsidRPr="00456405">
        <w:rPr>
          <w:rFonts w:ascii="Cambria" w:hAnsi="Cambria"/>
          <w:sz w:val="24"/>
          <w:szCs w:val="24"/>
        </w:rPr>
        <w:t>Costco’s</w:t>
      </w:r>
      <w:r w:rsidR="00370C60" w:rsidRPr="00456405">
        <w:rPr>
          <w:rFonts w:ascii="Cambria" w:hAnsi="Cambria"/>
          <w:sz w:val="24"/>
          <w:szCs w:val="24"/>
        </w:rPr>
        <w:t xml:space="preserve"> EBITDA margin (8.6%) is higher than Walmart’s (7.1%), despite having lower gross margins. This difference underscores Costco’s model being operationally superior characterised by rapid inventory turnover and membership-driven revenue model</w:t>
      </w:r>
      <w:r w:rsidR="00E13812" w:rsidRPr="00456405">
        <w:rPr>
          <w:rFonts w:ascii="Cambria" w:hAnsi="Cambria"/>
          <w:sz w:val="24"/>
          <w:szCs w:val="24"/>
        </w:rPr>
        <w:t xml:space="preserve">, allowing them to maintain higher operational profitability despite higher product level margins. Furthermore, Walmart’s higher gross margins are offset by greater labour </w:t>
      </w:r>
      <w:proofErr w:type="spellStart"/>
      <w:r w:rsidR="00E13812" w:rsidRPr="00456405">
        <w:rPr>
          <w:rFonts w:ascii="Cambria" w:hAnsi="Cambria"/>
          <w:sz w:val="24"/>
          <w:szCs w:val="24"/>
        </w:rPr>
        <w:t>cots</w:t>
      </w:r>
      <w:proofErr w:type="spellEnd"/>
      <w:r w:rsidR="00E13812" w:rsidRPr="00456405">
        <w:rPr>
          <w:rFonts w:ascii="Cambria" w:hAnsi="Cambria"/>
          <w:sz w:val="24"/>
          <w:szCs w:val="24"/>
        </w:rPr>
        <w:t xml:space="preserve"> and aggressive digital transformation investments, leading to comparatively lower operating margins of 5.6% versus Costco’s 6.3%. </w:t>
      </w:r>
      <w:r w:rsidR="00E13812" w:rsidRPr="00456405">
        <w:rPr>
          <w:rFonts w:ascii="Cambria" w:hAnsi="Cambria"/>
          <w:sz w:val="24"/>
          <w:szCs w:val="24"/>
        </w:rPr>
        <w:tab/>
      </w:r>
      <w:r w:rsidR="00E13812" w:rsidRPr="00456405">
        <w:rPr>
          <w:rFonts w:ascii="Cambria" w:hAnsi="Cambria"/>
          <w:sz w:val="24"/>
          <w:szCs w:val="24"/>
        </w:rPr>
        <w:br/>
        <w:t xml:space="preserve">Carrefour struggles with profitability, constrained by net income margins of just 1.2%. This is largely attributed to intense price competition in mature European markets. Despite cost reduction efforts, its EBITDA margin of 4.2% remains the weakest, highlighting operational challenges and limited pricing power. </w:t>
      </w:r>
      <w:r w:rsidR="00E13812" w:rsidRPr="00456405">
        <w:rPr>
          <w:rFonts w:ascii="Cambria" w:hAnsi="Cambria"/>
          <w:sz w:val="24"/>
          <w:szCs w:val="24"/>
        </w:rPr>
        <w:tab/>
      </w:r>
      <w:r w:rsidR="00E13812" w:rsidRPr="00456405">
        <w:rPr>
          <w:rFonts w:ascii="Cambria" w:hAnsi="Cambria"/>
          <w:sz w:val="24"/>
          <w:szCs w:val="24"/>
        </w:rPr>
        <w:br/>
        <w:t xml:space="preserve">Magazine Luiza’s profitability is the weakest overall, reflecting challenging operating environment in the Brazilian retail sector. They have seen sharp decline of net income margins driven by high financing costs and inflationary pressures. With an operating margin of 2.4%, they struggle to convert revenue into sustainable profits, further exacerbated by aggressive promotional strategies required to maintain sales volumes. </w:t>
      </w:r>
      <w:r w:rsidR="00407032" w:rsidRPr="00456405">
        <w:rPr>
          <w:rFonts w:ascii="Cambria" w:hAnsi="Cambria"/>
          <w:sz w:val="24"/>
          <w:szCs w:val="24"/>
        </w:rPr>
        <w:tab/>
      </w:r>
      <w:r w:rsidR="00E13812" w:rsidRPr="00456405">
        <w:rPr>
          <w:rFonts w:ascii="Cambria" w:hAnsi="Cambria"/>
          <w:sz w:val="24"/>
          <w:szCs w:val="24"/>
        </w:rPr>
        <w:br/>
      </w:r>
      <w:r w:rsidR="00E13812" w:rsidRPr="00456405">
        <w:rPr>
          <w:rFonts w:ascii="Cambria" w:hAnsi="Cambria"/>
          <w:sz w:val="24"/>
          <w:szCs w:val="24"/>
        </w:rPr>
        <w:br/>
      </w:r>
      <w:r w:rsidR="00E13812" w:rsidRPr="00456405">
        <w:rPr>
          <w:rFonts w:ascii="Cambria" w:hAnsi="Cambria"/>
          <w:sz w:val="24"/>
          <w:szCs w:val="24"/>
        </w:rPr>
        <w:lastRenderedPageBreak/>
        <w:t>Return on Equity</w:t>
      </w:r>
      <w:r w:rsidR="00DC11B5" w:rsidRPr="00456405">
        <w:rPr>
          <w:rFonts w:ascii="Cambria" w:hAnsi="Cambria"/>
          <w:sz w:val="24"/>
          <w:szCs w:val="24"/>
        </w:rPr>
        <w:t xml:space="preserve"> (ROE)</w:t>
      </w:r>
      <w:r w:rsidR="00E13812" w:rsidRPr="00456405">
        <w:rPr>
          <w:rFonts w:ascii="Cambria" w:hAnsi="Cambria"/>
          <w:sz w:val="24"/>
          <w:szCs w:val="24"/>
        </w:rPr>
        <w:t xml:space="preserve"> and Return on Assets</w:t>
      </w:r>
      <w:r w:rsidR="00DC11B5" w:rsidRPr="00456405">
        <w:rPr>
          <w:rFonts w:ascii="Cambria" w:hAnsi="Cambria"/>
          <w:sz w:val="24"/>
          <w:szCs w:val="24"/>
        </w:rPr>
        <w:t xml:space="preserve"> (ROA) provide additional insights into how efficiently these companies generate returns on their capital. Costco leads in ROE (26.4%), evidencing their capital </w:t>
      </w:r>
      <w:r w:rsidR="00724188" w:rsidRPr="00456405">
        <w:rPr>
          <w:rFonts w:ascii="Cambria" w:hAnsi="Cambria"/>
          <w:sz w:val="24"/>
          <w:szCs w:val="24"/>
        </w:rPr>
        <w:t>efficiency</w:t>
      </w:r>
      <w:r w:rsidR="00DC11B5" w:rsidRPr="00456405">
        <w:rPr>
          <w:rFonts w:ascii="Cambria" w:hAnsi="Cambria"/>
          <w:sz w:val="24"/>
          <w:szCs w:val="24"/>
        </w:rPr>
        <w:t xml:space="preserve"> and lean cost structure. Walmart follows with ROE of 17.2%, benefitting from their massive scale of operations. </w:t>
      </w:r>
      <w:r w:rsidR="0023474C" w:rsidRPr="00456405">
        <w:rPr>
          <w:rFonts w:ascii="Cambria" w:hAnsi="Cambria"/>
          <w:sz w:val="24"/>
          <w:szCs w:val="24"/>
        </w:rPr>
        <w:t xml:space="preserve">Alibaba’s ROE is strong with </w:t>
      </w:r>
      <w:proofErr w:type="gramStart"/>
      <w:r w:rsidR="00724188" w:rsidRPr="00456405">
        <w:rPr>
          <w:rFonts w:ascii="Cambria" w:hAnsi="Cambria"/>
          <w:sz w:val="24"/>
          <w:szCs w:val="24"/>
        </w:rPr>
        <w:t>12.8%,</w:t>
      </w:r>
      <w:r w:rsidR="00133C0A" w:rsidRPr="00456405">
        <w:rPr>
          <w:rFonts w:ascii="Cambria" w:hAnsi="Cambria"/>
          <w:sz w:val="24"/>
          <w:szCs w:val="24"/>
        </w:rPr>
        <w:t xml:space="preserve"> </w:t>
      </w:r>
      <w:r w:rsidR="00724188" w:rsidRPr="00456405">
        <w:rPr>
          <w:rFonts w:ascii="Cambria" w:hAnsi="Cambria"/>
          <w:sz w:val="24"/>
          <w:szCs w:val="24"/>
        </w:rPr>
        <w:t>but</w:t>
      </w:r>
      <w:proofErr w:type="gramEnd"/>
      <w:r w:rsidR="0023474C" w:rsidRPr="00456405">
        <w:rPr>
          <w:rFonts w:ascii="Cambria" w:hAnsi="Cambria"/>
          <w:sz w:val="24"/>
          <w:szCs w:val="24"/>
        </w:rPr>
        <w:t xml:space="preserve"> eroding margins have weighed on returns. Carrefour and Magazine Luiza reflect weaker capital utilisation and lower earnings efficiency. </w:t>
      </w:r>
      <w:r w:rsidR="00241CBE" w:rsidRPr="00456405">
        <w:rPr>
          <w:rFonts w:ascii="Cambria" w:hAnsi="Cambria"/>
          <w:sz w:val="24"/>
          <w:szCs w:val="24"/>
        </w:rPr>
        <w:tab/>
      </w:r>
      <w:r w:rsidR="00241CBE" w:rsidRPr="00456405">
        <w:rPr>
          <w:rFonts w:ascii="Cambria" w:hAnsi="Cambria"/>
          <w:sz w:val="24"/>
          <w:szCs w:val="24"/>
        </w:rPr>
        <w:br/>
      </w:r>
      <w:r w:rsidR="0023474C" w:rsidRPr="00456405">
        <w:rPr>
          <w:rFonts w:ascii="Cambria" w:hAnsi="Cambria"/>
          <w:sz w:val="24"/>
          <w:szCs w:val="24"/>
        </w:rPr>
        <w:tab/>
      </w:r>
      <w:r w:rsidR="00133C0A" w:rsidRPr="00456405">
        <w:rPr>
          <w:rFonts w:ascii="Cambria" w:hAnsi="Cambria"/>
          <w:b/>
          <w:bCs/>
          <w:sz w:val="24"/>
          <w:szCs w:val="24"/>
        </w:rPr>
        <w:br/>
      </w:r>
      <w:r w:rsidR="00FB265C" w:rsidRPr="00456405">
        <w:rPr>
          <w:rFonts w:ascii="Cambria" w:hAnsi="Cambria"/>
          <w:b/>
          <w:bCs/>
          <w:noProof/>
          <w:sz w:val="24"/>
          <w:szCs w:val="24"/>
        </w:rPr>
        <mc:AlternateContent>
          <mc:Choice Requires="wps">
            <w:drawing>
              <wp:anchor distT="45720" distB="45720" distL="114300" distR="114300" simplePos="0" relativeHeight="251696128" behindDoc="0" locked="0" layoutInCell="1" allowOverlap="1" wp14:anchorId="70478654" wp14:editId="38C9B72E">
                <wp:simplePos x="0" y="0"/>
                <wp:positionH relativeFrom="margin">
                  <wp:align>center</wp:align>
                </wp:positionH>
                <wp:positionV relativeFrom="paragraph">
                  <wp:posOffset>1506220</wp:posOffset>
                </wp:positionV>
                <wp:extent cx="6362700" cy="2979420"/>
                <wp:effectExtent l="0" t="0" r="0" b="0"/>
                <wp:wrapSquare wrapText="bothSides"/>
                <wp:docPr id="492660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79420"/>
                        </a:xfrm>
                        <a:prstGeom prst="rect">
                          <a:avLst/>
                        </a:prstGeom>
                        <a:noFill/>
                        <a:ln w="9525">
                          <a:noFill/>
                          <a:miter lim="800000"/>
                          <a:headEnd/>
                          <a:tailEnd/>
                        </a:ln>
                      </wps:spPr>
                      <wps:txbx>
                        <w:txbxContent>
                          <w:tbl>
                            <w:tblPr>
                              <w:tblStyle w:val="TableGrid"/>
                              <w:tblW w:w="9730" w:type="dxa"/>
                              <w:tblLook w:val="04A0" w:firstRow="1" w:lastRow="0" w:firstColumn="1" w:lastColumn="0" w:noHBand="0" w:noVBand="1"/>
                            </w:tblPr>
                            <w:tblGrid>
                              <w:gridCol w:w="1625"/>
                              <w:gridCol w:w="1623"/>
                              <w:gridCol w:w="1624"/>
                              <w:gridCol w:w="1626"/>
                              <w:gridCol w:w="1617"/>
                              <w:gridCol w:w="1615"/>
                            </w:tblGrid>
                            <w:tr w:rsidR="00BF5FB6" w14:paraId="767830D6" w14:textId="77777777" w:rsidTr="00BF5FB6">
                              <w:trPr>
                                <w:trHeight w:val="975"/>
                              </w:trPr>
                              <w:tc>
                                <w:tcPr>
                                  <w:tcW w:w="1625" w:type="dxa"/>
                                  <w:vAlign w:val="center"/>
                                </w:tcPr>
                                <w:p w14:paraId="2C1A8E30" w14:textId="77777777" w:rsidR="00BF5FB6" w:rsidRDefault="00BF5FB6" w:rsidP="00407032">
                                  <w:pPr>
                                    <w:spacing w:beforeLines="20" w:before="48" w:afterLines="40" w:after="96"/>
                                    <w:rPr>
                                      <w:rFonts w:ascii="Cambria" w:hAnsi="Cambria"/>
                                      <w:b/>
                                      <w:bCs/>
                                      <w:sz w:val="24"/>
                                      <w:szCs w:val="24"/>
                                    </w:rPr>
                                  </w:pPr>
                                  <w:r>
                                    <w:rPr>
                                      <w:rStyle w:val="Strong"/>
                                    </w:rPr>
                                    <w:t>Company</w:t>
                                  </w:r>
                                </w:p>
                              </w:tc>
                              <w:tc>
                                <w:tcPr>
                                  <w:tcW w:w="1623" w:type="dxa"/>
                                  <w:vAlign w:val="center"/>
                                </w:tcPr>
                                <w:p w14:paraId="11CD9AE9" w14:textId="77777777" w:rsidR="00BF5FB6" w:rsidRDefault="00BF5FB6" w:rsidP="00407032">
                                  <w:pPr>
                                    <w:spacing w:beforeLines="20" w:before="48" w:afterLines="40" w:after="96"/>
                                    <w:rPr>
                                      <w:rFonts w:ascii="Cambria" w:hAnsi="Cambria"/>
                                      <w:b/>
                                      <w:bCs/>
                                      <w:sz w:val="24"/>
                                      <w:szCs w:val="24"/>
                                    </w:rPr>
                                  </w:pPr>
                                  <w:r>
                                    <w:rPr>
                                      <w:rStyle w:val="Strong"/>
                                    </w:rPr>
                                    <w:t>Revenue CAGR (2019-2024) (%)</w:t>
                                  </w:r>
                                </w:p>
                              </w:tc>
                              <w:tc>
                                <w:tcPr>
                                  <w:tcW w:w="1624" w:type="dxa"/>
                                  <w:vAlign w:val="center"/>
                                </w:tcPr>
                                <w:p w14:paraId="17BC9D76" w14:textId="77777777" w:rsidR="00BF5FB6" w:rsidRDefault="00BF5FB6" w:rsidP="00407032">
                                  <w:pPr>
                                    <w:spacing w:beforeLines="20" w:before="48" w:afterLines="40" w:after="96"/>
                                    <w:rPr>
                                      <w:rFonts w:ascii="Cambria" w:hAnsi="Cambria"/>
                                      <w:b/>
                                      <w:bCs/>
                                      <w:sz w:val="24"/>
                                      <w:szCs w:val="24"/>
                                    </w:rPr>
                                  </w:pPr>
                                  <w:r>
                                    <w:rPr>
                                      <w:rStyle w:val="Strong"/>
                                    </w:rPr>
                                    <w:t>Asset Turnover Ratio (x)</w:t>
                                  </w:r>
                                </w:p>
                              </w:tc>
                              <w:tc>
                                <w:tcPr>
                                  <w:tcW w:w="1626" w:type="dxa"/>
                                  <w:vAlign w:val="center"/>
                                </w:tcPr>
                                <w:p w14:paraId="39F16FEA" w14:textId="77777777" w:rsidR="00BF5FB6" w:rsidRDefault="00BF5FB6" w:rsidP="00407032">
                                  <w:pPr>
                                    <w:spacing w:beforeLines="20" w:before="48" w:afterLines="40" w:after="96"/>
                                    <w:rPr>
                                      <w:rFonts w:ascii="Cambria" w:hAnsi="Cambria"/>
                                      <w:b/>
                                      <w:bCs/>
                                      <w:sz w:val="24"/>
                                      <w:szCs w:val="24"/>
                                    </w:rPr>
                                  </w:pPr>
                                  <w:r>
                                    <w:rPr>
                                      <w:rStyle w:val="Strong"/>
                                    </w:rPr>
                                    <w:t>Equity Multiplier (x)</w:t>
                                  </w:r>
                                </w:p>
                              </w:tc>
                              <w:tc>
                                <w:tcPr>
                                  <w:tcW w:w="1617" w:type="dxa"/>
                                  <w:vAlign w:val="center"/>
                                </w:tcPr>
                                <w:p w14:paraId="7E5F38C0" w14:textId="77777777" w:rsidR="00BF5FB6" w:rsidRDefault="00BF5FB6" w:rsidP="00407032">
                                  <w:pPr>
                                    <w:spacing w:beforeLines="20" w:before="48" w:afterLines="40" w:after="96"/>
                                    <w:rPr>
                                      <w:rFonts w:ascii="Cambria" w:hAnsi="Cambria"/>
                                      <w:b/>
                                      <w:bCs/>
                                      <w:sz w:val="24"/>
                                      <w:szCs w:val="24"/>
                                    </w:rPr>
                                  </w:pPr>
                                  <w:r>
                                    <w:rPr>
                                      <w:rStyle w:val="Strong"/>
                                    </w:rPr>
                                    <w:t>Net Profit Margin (%)</w:t>
                                  </w:r>
                                </w:p>
                              </w:tc>
                              <w:tc>
                                <w:tcPr>
                                  <w:tcW w:w="1615" w:type="dxa"/>
                                  <w:vAlign w:val="center"/>
                                </w:tcPr>
                                <w:p w14:paraId="2611084D" w14:textId="77777777" w:rsidR="00BF5FB6" w:rsidRDefault="00BF5FB6" w:rsidP="00407032">
                                  <w:pPr>
                                    <w:spacing w:beforeLines="20" w:before="48" w:afterLines="40" w:after="96"/>
                                    <w:rPr>
                                      <w:rFonts w:ascii="Cambria" w:hAnsi="Cambria"/>
                                      <w:b/>
                                      <w:bCs/>
                                      <w:sz w:val="24"/>
                                      <w:szCs w:val="24"/>
                                    </w:rPr>
                                  </w:pPr>
                                  <w:r>
                                    <w:rPr>
                                      <w:rStyle w:val="Strong"/>
                                    </w:rPr>
                                    <w:t>ROE (%)</w:t>
                                  </w:r>
                                </w:p>
                              </w:tc>
                            </w:tr>
                            <w:tr w:rsidR="00BF5FB6" w14:paraId="7295C655" w14:textId="77777777" w:rsidTr="00BF5FB6">
                              <w:trPr>
                                <w:trHeight w:val="419"/>
                              </w:trPr>
                              <w:tc>
                                <w:tcPr>
                                  <w:tcW w:w="1625" w:type="dxa"/>
                                  <w:vAlign w:val="center"/>
                                </w:tcPr>
                                <w:p w14:paraId="7BF66ACA" w14:textId="77777777" w:rsidR="00BF5FB6" w:rsidRDefault="00BF5FB6" w:rsidP="00407032">
                                  <w:pPr>
                                    <w:spacing w:beforeLines="20" w:before="48" w:afterLines="40" w:after="96"/>
                                    <w:rPr>
                                      <w:rFonts w:ascii="Cambria" w:hAnsi="Cambria"/>
                                      <w:b/>
                                      <w:bCs/>
                                      <w:sz w:val="24"/>
                                      <w:szCs w:val="24"/>
                                    </w:rPr>
                                  </w:pPr>
                                  <w:r>
                                    <w:rPr>
                                      <w:rStyle w:val="Strong"/>
                                    </w:rPr>
                                    <w:t>Alibaba</w:t>
                                  </w:r>
                                </w:p>
                              </w:tc>
                              <w:tc>
                                <w:tcPr>
                                  <w:tcW w:w="1623" w:type="dxa"/>
                                  <w:vAlign w:val="center"/>
                                </w:tcPr>
                                <w:p w14:paraId="376BBAB3" w14:textId="77777777" w:rsidR="00BF5FB6" w:rsidRDefault="00BF5FB6" w:rsidP="00407032">
                                  <w:pPr>
                                    <w:spacing w:beforeLines="20" w:before="48" w:afterLines="40" w:after="96"/>
                                    <w:rPr>
                                      <w:rFonts w:ascii="Cambria" w:hAnsi="Cambria"/>
                                      <w:b/>
                                      <w:bCs/>
                                      <w:sz w:val="24"/>
                                      <w:szCs w:val="24"/>
                                    </w:rPr>
                                  </w:pPr>
                                  <w:r>
                                    <w:t>14.9%</w:t>
                                  </w:r>
                                </w:p>
                              </w:tc>
                              <w:tc>
                                <w:tcPr>
                                  <w:tcW w:w="1624" w:type="dxa"/>
                                  <w:vAlign w:val="center"/>
                                </w:tcPr>
                                <w:p w14:paraId="3AE62D7C" w14:textId="77777777" w:rsidR="00BF5FB6" w:rsidRDefault="00BF5FB6" w:rsidP="00407032">
                                  <w:pPr>
                                    <w:spacing w:beforeLines="20" w:before="48" w:afterLines="40" w:after="96"/>
                                    <w:rPr>
                                      <w:rFonts w:ascii="Cambria" w:hAnsi="Cambria"/>
                                      <w:b/>
                                      <w:bCs/>
                                      <w:sz w:val="24"/>
                                      <w:szCs w:val="24"/>
                                    </w:rPr>
                                  </w:pPr>
                                  <w:r>
                                    <w:t>0.6</w:t>
                                  </w:r>
                                </w:p>
                              </w:tc>
                              <w:tc>
                                <w:tcPr>
                                  <w:tcW w:w="1626" w:type="dxa"/>
                                  <w:vAlign w:val="center"/>
                                </w:tcPr>
                                <w:p w14:paraId="2B6BBA53" w14:textId="77777777" w:rsidR="00BF5FB6" w:rsidRDefault="00BF5FB6" w:rsidP="00407032">
                                  <w:pPr>
                                    <w:spacing w:beforeLines="20" w:before="48" w:afterLines="40" w:after="96"/>
                                    <w:rPr>
                                      <w:rFonts w:ascii="Cambria" w:hAnsi="Cambria"/>
                                      <w:b/>
                                      <w:bCs/>
                                      <w:sz w:val="24"/>
                                      <w:szCs w:val="24"/>
                                    </w:rPr>
                                  </w:pPr>
                                  <w:r>
                                    <w:t>1.8</w:t>
                                  </w:r>
                                </w:p>
                              </w:tc>
                              <w:tc>
                                <w:tcPr>
                                  <w:tcW w:w="1617" w:type="dxa"/>
                                  <w:vAlign w:val="center"/>
                                </w:tcPr>
                                <w:p w14:paraId="5ED7D88B" w14:textId="77777777" w:rsidR="00BF5FB6" w:rsidRDefault="00BF5FB6" w:rsidP="00407032">
                                  <w:pPr>
                                    <w:spacing w:beforeLines="20" w:before="48" w:afterLines="40" w:after="96"/>
                                    <w:rPr>
                                      <w:rFonts w:ascii="Cambria" w:hAnsi="Cambria"/>
                                      <w:b/>
                                      <w:bCs/>
                                      <w:sz w:val="24"/>
                                      <w:szCs w:val="24"/>
                                    </w:rPr>
                                  </w:pPr>
                                  <w:r>
                                    <w:t>13.6%</w:t>
                                  </w:r>
                                </w:p>
                              </w:tc>
                              <w:tc>
                                <w:tcPr>
                                  <w:tcW w:w="1615" w:type="dxa"/>
                                  <w:vAlign w:val="center"/>
                                </w:tcPr>
                                <w:p w14:paraId="199B36E6" w14:textId="77777777" w:rsidR="00BF5FB6" w:rsidRDefault="00BF5FB6" w:rsidP="00407032">
                                  <w:pPr>
                                    <w:spacing w:beforeLines="20" w:before="48" w:afterLines="40" w:after="96"/>
                                    <w:rPr>
                                      <w:rFonts w:ascii="Cambria" w:hAnsi="Cambria"/>
                                      <w:b/>
                                      <w:bCs/>
                                      <w:sz w:val="24"/>
                                      <w:szCs w:val="24"/>
                                    </w:rPr>
                                  </w:pPr>
                                  <w:r>
                                    <w:t>12.8%</w:t>
                                  </w:r>
                                </w:p>
                              </w:tc>
                            </w:tr>
                            <w:tr w:rsidR="00BF5FB6" w14:paraId="4E7C2F03" w14:textId="77777777" w:rsidTr="00BF5FB6">
                              <w:trPr>
                                <w:trHeight w:val="419"/>
                              </w:trPr>
                              <w:tc>
                                <w:tcPr>
                                  <w:tcW w:w="1625" w:type="dxa"/>
                                  <w:vAlign w:val="center"/>
                                </w:tcPr>
                                <w:p w14:paraId="76E68E3B" w14:textId="77777777" w:rsidR="00BF5FB6" w:rsidRDefault="00BF5FB6" w:rsidP="00407032">
                                  <w:pPr>
                                    <w:spacing w:beforeLines="20" w:before="48" w:afterLines="40" w:after="96"/>
                                    <w:rPr>
                                      <w:rFonts w:ascii="Cambria" w:hAnsi="Cambria"/>
                                      <w:b/>
                                      <w:bCs/>
                                      <w:sz w:val="24"/>
                                      <w:szCs w:val="24"/>
                                    </w:rPr>
                                  </w:pPr>
                                  <w:r>
                                    <w:rPr>
                                      <w:rStyle w:val="Strong"/>
                                    </w:rPr>
                                    <w:t>Walmart</w:t>
                                  </w:r>
                                </w:p>
                              </w:tc>
                              <w:tc>
                                <w:tcPr>
                                  <w:tcW w:w="1623" w:type="dxa"/>
                                  <w:vAlign w:val="center"/>
                                </w:tcPr>
                                <w:p w14:paraId="05EB683F" w14:textId="77777777" w:rsidR="00BF5FB6" w:rsidRDefault="00BF5FB6" w:rsidP="00407032">
                                  <w:pPr>
                                    <w:spacing w:beforeLines="20" w:before="48" w:afterLines="40" w:after="96"/>
                                    <w:rPr>
                                      <w:rFonts w:ascii="Cambria" w:hAnsi="Cambria"/>
                                      <w:b/>
                                      <w:bCs/>
                                      <w:sz w:val="24"/>
                                      <w:szCs w:val="24"/>
                                    </w:rPr>
                                  </w:pPr>
                                  <w:r>
                                    <w:t>4.7%</w:t>
                                  </w:r>
                                </w:p>
                              </w:tc>
                              <w:tc>
                                <w:tcPr>
                                  <w:tcW w:w="1624" w:type="dxa"/>
                                  <w:vAlign w:val="center"/>
                                </w:tcPr>
                                <w:p w14:paraId="330AE146" w14:textId="77777777" w:rsidR="00BF5FB6" w:rsidRDefault="00BF5FB6" w:rsidP="00407032">
                                  <w:pPr>
                                    <w:spacing w:beforeLines="20" w:before="48" w:afterLines="40" w:after="96"/>
                                    <w:rPr>
                                      <w:rFonts w:ascii="Cambria" w:hAnsi="Cambria"/>
                                      <w:b/>
                                      <w:bCs/>
                                      <w:sz w:val="24"/>
                                      <w:szCs w:val="24"/>
                                    </w:rPr>
                                  </w:pPr>
                                  <w:r>
                                    <w:t>1.4</w:t>
                                  </w:r>
                                </w:p>
                              </w:tc>
                              <w:tc>
                                <w:tcPr>
                                  <w:tcW w:w="1626" w:type="dxa"/>
                                  <w:vAlign w:val="center"/>
                                </w:tcPr>
                                <w:p w14:paraId="43711099" w14:textId="77777777" w:rsidR="00BF5FB6" w:rsidRDefault="00BF5FB6" w:rsidP="00407032">
                                  <w:pPr>
                                    <w:spacing w:beforeLines="20" w:before="48" w:afterLines="40" w:after="96"/>
                                    <w:rPr>
                                      <w:rFonts w:ascii="Cambria" w:hAnsi="Cambria"/>
                                      <w:b/>
                                      <w:bCs/>
                                      <w:sz w:val="24"/>
                                      <w:szCs w:val="24"/>
                                    </w:rPr>
                                  </w:pPr>
                                  <w:r>
                                    <w:t>2.4</w:t>
                                  </w:r>
                                </w:p>
                              </w:tc>
                              <w:tc>
                                <w:tcPr>
                                  <w:tcW w:w="1617" w:type="dxa"/>
                                  <w:vAlign w:val="center"/>
                                </w:tcPr>
                                <w:p w14:paraId="63969313" w14:textId="77777777" w:rsidR="00BF5FB6" w:rsidRDefault="00BF5FB6" w:rsidP="00407032">
                                  <w:pPr>
                                    <w:spacing w:beforeLines="20" w:before="48" w:afterLines="40" w:after="96"/>
                                    <w:rPr>
                                      <w:rFonts w:ascii="Cambria" w:hAnsi="Cambria"/>
                                      <w:b/>
                                      <w:bCs/>
                                      <w:sz w:val="24"/>
                                      <w:szCs w:val="24"/>
                                    </w:rPr>
                                  </w:pPr>
                                  <w:r>
                                    <w:t>2.4%</w:t>
                                  </w:r>
                                </w:p>
                              </w:tc>
                              <w:tc>
                                <w:tcPr>
                                  <w:tcW w:w="1615" w:type="dxa"/>
                                  <w:vAlign w:val="center"/>
                                </w:tcPr>
                                <w:p w14:paraId="22952369" w14:textId="77777777" w:rsidR="00BF5FB6" w:rsidRDefault="00BF5FB6" w:rsidP="00407032">
                                  <w:pPr>
                                    <w:spacing w:beforeLines="20" w:before="48" w:afterLines="40" w:after="96"/>
                                    <w:rPr>
                                      <w:rFonts w:ascii="Cambria" w:hAnsi="Cambria"/>
                                      <w:b/>
                                      <w:bCs/>
                                      <w:sz w:val="24"/>
                                      <w:szCs w:val="24"/>
                                    </w:rPr>
                                  </w:pPr>
                                  <w:r>
                                    <w:t>17.2%</w:t>
                                  </w:r>
                                </w:p>
                              </w:tc>
                            </w:tr>
                            <w:tr w:rsidR="00BF5FB6" w14:paraId="376610EA" w14:textId="77777777" w:rsidTr="00BF5FB6">
                              <w:trPr>
                                <w:trHeight w:val="432"/>
                              </w:trPr>
                              <w:tc>
                                <w:tcPr>
                                  <w:tcW w:w="1625" w:type="dxa"/>
                                  <w:vAlign w:val="center"/>
                                </w:tcPr>
                                <w:p w14:paraId="0D2464F4" w14:textId="77777777" w:rsidR="00BF5FB6" w:rsidRDefault="00BF5FB6" w:rsidP="00407032">
                                  <w:pPr>
                                    <w:spacing w:beforeLines="20" w:before="48" w:afterLines="40" w:after="96"/>
                                    <w:rPr>
                                      <w:rFonts w:ascii="Cambria" w:hAnsi="Cambria"/>
                                      <w:b/>
                                      <w:bCs/>
                                      <w:sz w:val="24"/>
                                      <w:szCs w:val="24"/>
                                    </w:rPr>
                                  </w:pPr>
                                  <w:r>
                                    <w:rPr>
                                      <w:rStyle w:val="Strong"/>
                                    </w:rPr>
                                    <w:t>Costco</w:t>
                                  </w:r>
                                </w:p>
                              </w:tc>
                              <w:tc>
                                <w:tcPr>
                                  <w:tcW w:w="1623" w:type="dxa"/>
                                  <w:vAlign w:val="center"/>
                                </w:tcPr>
                                <w:p w14:paraId="48419678" w14:textId="77777777" w:rsidR="00BF5FB6" w:rsidRDefault="00BF5FB6" w:rsidP="00407032">
                                  <w:pPr>
                                    <w:spacing w:beforeLines="20" w:before="48" w:afterLines="40" w:after="96"/>
                                    <w:rPr>
                                      <w:rFonts w:ascii="Cambria" w:hAnsi="Cambria"/>
                                      <w:b/>
                                      <w:bCs/>
                                      <w:sz w:val="24"/>
                                      <w:szCs w:val="24"/>
                                    </w:rPr>
                                  </w:pPr>
                                  <w:r>
                                    <w:t>5.6%</w:t>
                                  </w:r>
                                </w:p>
                              </w:tc>
                              <w:tc>
                                <w:tcPr>
                                  <w:tcW w:w="1624" w:type="dxa"/>
                                  <w:vAlign w:val="center"/>
                                </w:tcPr>
                                <w:p w14:paraId="17364B6B" w14:textId="77777777" w:rsidR="00BF5FB6" w:rsidRDefault="00BF5FB6" w:rsidP="00407032">
                                  <w:pPr>
                                    <w:spacing w:beforeLines="20" w:before="48" w:afterLines="40" w:after="96"/>
                                    <w:rPr>
                                      <w:rFonts w:ascii="Cambria" w:hAnsi="Cambria"/>
                                      <w:b/>
                                      <w:bCs/>
                                      <w:sz w:val="24"/>
                                      <w:szCs w:val="24"/>
                                    </w:rPr>
                                  </w:pPr>
                                  <w:r>
                                    <w:t>2.3</w:t>
                                  </w:r>
                                </w:p>
                              </w:tc>
                              <w:tc>
                                <w:tcPr>
                                  <w:tcW w:w="1626" w:type="dxa"/>
                                  <w:vAlign w:val="center"/>
                                </w:tcPr>
                                <w:p w14:paraId="18F808D6" w14:textId="77777777" w:rsidR="00BF5FB6" w:rsidRDefault="00BF5FB6" w:rsidP="00407032">
                                  <w:pPr>
                                    <w:spacing w:beforeLines="20" w:before="48" w:afterLines="40" w:after="96"/>
                                    <w:rPr>
                                      <w:rFonts w:ascii="Cambria" w:hAnsi="Cambria"/>
                                      <w:b/>
                                      <w:bCs/>
                                      <w:sz w:val="24"/>
                                      <w:szCs w:val="24"/>
                                    </w:rPr>
                                  </w:pPr>
                                  <w:r>
                                    <w:t>1.9</w:t>
                                  </w:r>
                                </w:p>
                              </w:tc>
                              <w:tc>
                                <w:tcPr>
                                  <w:tcW w:w="1617" w:type="dxa"/>
                                  <w:vAlign w:val="center"/>
                                </w:tcPr>
                                <w:p w14:paraId="7E77BFB9" w14:textId="77777777" w:rsidR="00BF5FB6" w:rsidRDefault="00BF5FB6" w:rsidP="00407032">
                                  <w:pPr>
                                    <w:spacing w:beforeLines="20" w:before="48" w:afterLines="40" w:after="96"/>
                                    <w:rPr>
                                      <w:rFonts w:ascii="Cambria" w:hAnsi="Cambria"/>
                                      <w:b/>
                                      <w:bCs/>
                                      <w:sz w:val="24"/>
                                      <w:szCs w:val="24"/>
                                    </w:rPr>
                                  </w:pPr>
                                  <w:r>
                                    <w:t>2.5%</w:t>
                                  </w:r>
                                </w:p>
                              </w:tc>
                              <w:tc>
                                <w:tcPr>
                                  <w:tcW w:w="1615" w:type="dxa"/>
                                  <w:vAlign w:val="center"/>
                                </w:tcPr>
                                <w:p w14:paraId="53030F12" w14:textId="77777777" w:rsidR="00BF5FB6" w:rsidRDefault="00BF5FB6" w:rsidP="00407032">
                                  <w:pPr>
                                    <w:spacing w:beforeLines="20" w:before="48" w:afterLines="40" w:after="96"/>
                                    <w:rPr>
                                      <w:rFonts w:ascii="Cambria" w:hAnsi="Cambria"/>
                                      <w:b/>
                                      <w:bCs/>
                                      <w:sz w:val="24"/>
                                      <w:szCs w:val="24"/>
                                    </w:rPr>
                                  </w:pPr>
                                  <w:r>
                                    <w:t>26.4%</w:t>
                                  </w:r>
                                </w:p>
                              </w:tc>
                            </w:tr>
                            <w:tr w:rsidR="00BF5FB6" w14:paraId="34F11F72" w14:textId="77777777" w:rsidTr="00BF5FB6">
                              <w:trPr>
                                <w:trHeight w:val="419"/>
                              </w:trPr>
                              <w:tc>
                                <w:tcPr>
                                  <w:tcW w:w="1625" w:type="dxa"/>
                                  <w:vAlign w:val="center"/>
                                </w:tcPr>
                                <w:p w14:paraId="61A39FA5" w14:textId="77777777" w:rsidR="00BF5FB6" w:rsidRDefault="00BF5FB6" w:rsidP="00407032">
                                  <w:pPr>
                                    <w:spacing w:beforeLines="20" w:before="48" w:afterLines="40" w:after="96"/>
                                    <w:rPr>
                                      <w:rFonts w:ascii="Cambria" w:hAnsi="Cambria"/>
                                      <w:b/>
                                      <w:bCs/>
                                      <w:sz w:val="24"/>
                                      <w:szCs w:val="24"/>
                                    </w:rPr>
                                  </w:pPr>
                                  <w:r>
                                    <w:rPr>
                                      <w:rStyle w:val="Strong"/>
                                    </w:rPr>
                                    <w:t>Carrefour</w:t>
                                  </w:r>
                                </w:p>
                              </w:tc>
                              <w:tc>
                                <w:tcPr>
                                  <w:tcW w:w="1623" w:type="dxa"/>
                                  <w:vAlign w:val="center"/>
                                </w:tcPr>
                                <w:p w14:paraId="5D307773" w14:textId="77777777" w:rsidR="00BF5FB6" w:rsidRDefault="00BF5FB6" w:rsidP="00407032">
                                  <w:pPr>
                                    <w:spacing w:beforeLines="20" w:before="48" w:afterLines="40" w:after="96"/>
                                    <w:rPr>
                                      <w:rFonts w:ascii="Cambria" w:hAnsi="Cambria"/>
                                      <w:b/>
                                      <w:bCs/>
                                      <w:sz w:val="24"/>
                                      <w:szCs w:val="24"/>
                                    </w:rPr>
                                  </w:pPr>
                                  <w:r>
                                    <w:t>2.05%</w:t>
                                  </w:r>
                                </w:p>
                              </w:tc>
                              <w:tc>
                                <w:tcPr>
                                  <w:tcW w:w="1624" w:type="dxa"/>
                                  <w:vAlign w:val="center"/>
                                </w:tcPr>
                                <w:p w14:paraId="27634FF2" w14:textId="77777777" w:rsidR="00BF5FB6" w:rsidRDefault="00BF5FB6" w:rsidP="00407032">
                                  <w:pPr>
                                    <w:spacing w:beforeLines="20" w:before="48" w:afterLines="40" w:after="96"/>
                                    <w:rPr>
                                      <w:rFonts w:ascii="Cambria" w:hAnsi="Cambria"/>
                                      <w:b/>
                                      <w:bCs/>
                                      <w:sz w:val="24"/>
                                      <w:szCs w:val="24"/>
                                    </w:rPr>
                                  </w:pPr>
                                  <w:r>
                                    <w:t>1.2</w:t>
                                  </w:r>
                                </w:p>
                              </w:tc>
                              <w:tc>
                                <w:tcPr>
                                  <w:tcW w:w="1626" w:type="dxa"/>
                                  <w:vAlign w:val="center"/>
                                </w:tcPr>
                                <w:p w14:paraId="27FEB03C" w14:textId="77777777" w:rsidR="00BF5FB6" w:rsidRDefault="00BF5FB6" w:rsidP="00407032">
                                  <w:pPr>
                                    <w:spacing w:beforeLines="20" w:before="48" w:afterLines="40" w:after="96"/>
                                    <w:rPr>
                                      <w:rFonts w:ascii="Cambria" w:hAnsi="Cambria"/>
                                      <w:b/>
                                      <w:bCs/>
                                      <w:sz w:val="24"/>
                                      <w:szCs w:val="24"/>
                                    </w:rPr>
                                  </w:pPr>
                                  <w:r>
                                    <w:t>2.6</w:t>
                                  </w:r>
                                </w:p>
                              </w:tc>
                              <w:tc>
                                <w:tcPr>
                                  <w:tcW w:w="1617" w:type="dxa"/>
                                  <w:vAlign w:val="center"/>
                                </w:tcPr>
                                <w:p w14:paraId="70BBC5E9" w14:textId="77777777" w:rsidR="00BF5FB6" w:rsidRDefault="00BF5FB6" w:rsidP="00407032">
                                  <w:pPr>
                                    <w:spacing w:beforeLines="20" w:before="48" w:afterLines="40" w:after="96"/>
                                    <w:rPr>
                                      <w:rFonts w:ascii="Cambria" w:hAnsi="Cambria"/>
                                      <w:b/>
                                      <w:bCs/>
                                      <w:sz w:val="24"/>
                                      <w:szCs w:val="24"/>
                                    </w:rPr>
                                  </w:pPr>
                                  <w:r>
                                    <w:t>1.2%</w:t>
                                  </w:r>
                                </w:p>
                              </w:tc>
                              <w:tc>
                                <w:tcPr>
                                  <w:tcW w:w="1615" w:type="dxa"/>
                                  <w:vAlign w:val="center"/>
                                </w:tcPr>
                                <w:p w14:paraId="6EA46CDC" w14:textId="77777777" w:rsidR="00BF5FB6" w:rsidRDefault="00BF5FB6" w:rsidP="00407032">
                                  <w:pPr>
                                    <w:spacing w:beforeLines="20" w:before="48" w:afterLines="40" w:after="96"/>
                                    <w:rPr>
                                      <w:rFonts w:ascii="Cambria" w:hAnsi="Cambria"/>
                                      <w:b/>
                                      <w:bCs/>
                                      <w:sz w:val="24"/>
                                      <w:szCs w:val="24"/>
                                    </w:rPr>
                                  </w:pPr>
                                  <w:r>
                                    <w:t>9.5%</w:t>
                                  </w:r>
                                </w:p>
                              </w:tc>
                            </w:tr>
                            <w:tr w:rsidR="00BF5FB6" w14:paraId="5EFDA568" w14:textId="77777777" w:rsidTr="00BF5FB6">
                              <w:trPr>
                                <w:trHeight w:val="691"/>
                              </w:trPr>
                              <w:tc>
                                <w:tcPr>
                                  <w:tcW w:w="1625" w:type="dxa"/>
                                  <w:vAlign w:val="center"/>
                                </w:tcPr>
                                <w:p w14:paraId="21502511" w14:textId="77777777" w:rsidR="00BF5FB6" w:rsidRDefault="00BF5FB6" w:rsidP="00407032">
                                  <w:pPr>
                                    <w:spacing w:beforeLines="20" w:before="48" w:afterLines="40" w:after="96"/>
                                    <w:rPr>
                                      <w:rFonts w:ascii="Cambria" w:hAnsi="Cambria"/>
                                      <w:b/>
                                      <w:bCs/>
                                      <w:sz w:val="24"/>
                                      <w:szCs w:val="24"/>
                                    </w:rPr>
                                  </w:pPr>
                                  <w:r>
                                    <w:rPr>
                                      <w:rStyle w:val="Strong"/>
                                    </w:rPr>
                                    <w:t>Magazine Luiza</w:t>
                                  </w:r>
                                </w:p>
                              </w:tc>
                              <w:tc>
                                <w:tcPr>
                                  <w:tcW w:w="1623" w:type="dxa"/>
                                  <w:vAlign w:val="center"/>
                                </w:tcPr>
                                <w:p w14:paraId="1AAAD00D" w14:textId="77777777" w:rsidR="00BF5FB6" w:rsidRDefault="00BF5FB6" w:rsidP="00407032">
                                  <w:pPr>
                                    <w:spacing w:beforeLines="20" w:before="48" w:afterLines="40" w:after="96"/>
                                    <w:rPr>
                                      <w:rFonts w:ascii="Cambria" w:hAnsi="Cambria"/>
                                      <w:b/>
                                      <w:bCs/>
                                      <w:sz w:val="24"/>
                                      <w:szCs w:val="24"/>
                                    </w:rPr>
                                  </w:pPr>
                                  <w:r>
                                    <w:t>12.5%</w:t>
                                  </w:r>
                                </w:p>
                              </w:tc>
                              <w:tc>
                                <w:tcPr>
                                  <w:tcW w:w="1624" w:type="dxa"/>
                                  <w:vAlign w:val="center"/>
                                </w:tcPr>
                                <w:p w14:paraId="25FC3227" w14:textId="77777777" w:rsidR="00BF5FB6" w:rsidRDefault="00BF5FB6" w:rsidP="00407032">
                                  <w:pPr>
                                    <w:spacing w:beforeLines="20" w:before="48" w:afterLines="40" w:after="96"/>
                                    <w:rPr>
                                      <w:rFonts w:ascii="Cambria" w:hAnsi="Cambria"/>
                                      <w:b/>
                                      <w:bCs/>
                                      <w:sz w:val="24"/>
                                      <w:szCs w:val="24"/>
                                    </w:rPr>
                                  </w:pPr>
                                  <w:r>
                                    <w:t>1.8</w:t>
                                  </w:r>
                                </w:p>
                              </w:tc>
                              <w:tc>
                                <w:tcPr>
                                  <w:tcW w:w="1626" w:type="dxa"/>
                                  <w:vAlign w:val="center"/>
                                </w:tcPr>
                                <w:p w14:paraId="571CDB2F" w14:textId="77777777" w:rsidR="00BF5FB6" w:rsidRDefault="00BF5FB6" w:rsidP="00407032">
                                  <w:pPr>
                                    <w:spacing w:beforeLines="20" w:before="48" w:afterLines="40" w:after="96"/>
                                    <w:rPr>
                                      <w:rFonts w:ascii="Cambria" w:hAnsi="Cambria"/>
                                      <w:b/>
                                      <w:bCs/>
                                      <w:sz w:val="24"/>
                                      <w:szCs w:val="24"/>
                                    </w:rPr>
                                  </w:pPr>
                                  <w:r>
                                    <w:t>3.6</w:t>
                                  </w:r>
                                </w:p>
                              </w:tc>
                              <w:tc>
                                <w:tcPr>
                                  <w:tcW w:w="1617" w:type="dxa"/>
                                  <w:vAlign w:val="center"/>
                                </w:tcPr>
                                <w:p w14:paraId="09116BD3" w14:textId="77777777" w:rsidR="00BF5FB6" w:rsidRDefault="00BF5FB6" w:rsidP="00407032">
                                  <w:pPr>
                                    <w:spacing w:beforeLines="20" w:before="48" w:afterLines="40" w:after="96"/>
                                    <w:rPr>
                                      <w:rFonts w:ascii="Cambria" w:hAnsi="Cambria"/>
                                      <w:b/>
                                      <w:bCs/>
                                      <w:sz w:val="24"/>
                                      <w:szCs w:val="24"/>
                                    </w:rPr>
                                  </w:pPr>
                                  <w:r>
                                    <w:t>0.6%</w:t>
                                  </w:r>
                                </w:p>
                              </w:tc>
                              <w:tc>
                                <w:tcPr>
                                  <w:tcW w:w="1615" w:type="dxa"/>
                                  <w:vAlign w:val="center"/>
                                </w:tcPr>
                                <w:p w14:paraId="7C6237A5" w14:textId="77777777" w:rsidR="00BF5FB6" w:rsidRDefault="00BF5FB6" w:rsidP="00407032">
                                  <w:pPr>
                                    <w:spacing w:beforeLines="20" w:before="48" w:afterLines="40" w:after="96"/>
                                    <w:rPr>
                                      <w:rFonts w:ascii="Cambria" w:hAnsi="Cambria"/>
                                      <w:b/>
                                      <w:bCs/>
                                      <w:sz w:val="24"/>
                                      <w:szCs w:val="24"/>
                                    </w:rPr>
                                  </w:pPr>
                                  <w:r>
                                    <w:t>3.8%</w:t>
                                  </w:r>
                                </w:p>
                              </w:tc>
                            </w:tr>
                          </w:tbl>
                          <w:p w14:paraId="07E2CE09" w14:textId="01FC45C9" w:rsidR="00BF5FB6" w:rsidRPr="00241CBE" w:rsidRDefault="00241CBE">
                            <w:pPr>
                              <w:rPr>
                                <w:rFonts w:ascii="Cambria" w:hAnsi="Cambria"/>
                                <w:i/>
                                <w:iCs/>
                                <w:sz w:val="20"/>
                                <w:szCs w:val="20"/>
                              </w:rPr>
                            </w:pPr>
                            <w:r>
                              <w:br/>
                            </w:r>
                            <w:r w:rsidRPr="00241CBE">
                              <w:rPr>
                                <w:rFonts w:ascii="Cambria" w:hAnsi="Cambria"/>
                                <w:b/>
                                <w:bCs/>
                                <w:i/>
                                <w:iCs/>
                                <w:sz w:val="20"/>
                                <w:szCs w:val="20"/>
                              </w:rPr>
                              <w:t>Table 3</w:t>
                            </w:r>
                            <w:r w:rsidRPr="00241CBE">
                              <w:rPr>
                                <w:rFonts w:ascii="Cambria" w:hAnsi="Cambria"/>
                                <w:i/>
                                <w:iCs/>
                                <w:sz w:val="20"/>
                                <w:szCs w:val="20"/>
                              </w:rPr>
                              <w:t>: Performance Metrics and DuPont Analysis – This table summarizes key performance indicators including revenue CAGR, asset turnover, equity multiplier, net profit margin, and ROE for five major retailers, providing insights into growth, efficiency, and financial leverage.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78654" id="_x0000_s1028" type="#_x0000_t202" style="position:absolute;left:0;text-align:left;margin-left:0;margin-top:118.6pt;width:501pt;height:234.6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lg/QEAANUDAAAOAAAAZHJzL2Uyb0RvYy54bWysU8tu2zAQvBfoPxC815JVP2LBcpAmTVEg&#10;fQBJP4CiKIsoyWVJ2pL79V1SimO0t6A6ECRXO7szO9xeD1qRo3BegqnofJZTIgyHRpp9RX883b+7&#10;o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" filled="f" stroked="f">
                <v:textbox>
                  <w:txbxContent>
                    <w:tbl>
                      <w:tblPr>
                        <w:tblStyle w:val="TableGrid"/>
                        <w:tblW w:w="9730" w:type="dxa"/>
                        <w:tblLook w:val="04A0" w:firstRow="1" w:lastRow="0" w:firstColumn="1" w:lastColumn="0" w:noHBand="0" w:noVBand="1"/>
                      </w:tblPr>
                      <w:tblGrid>
                        <w:gridCol w:w="1625"/>
                        <w:gridCol w:w="1623"/>
                        <w:gridCol w:w="1624"/>
                        <w:gridCol w:w="1626"/>
                        <w:gridCol w:w="1617"/>
                        <w:gridCol w:w="1615"/>
                      </w:tblGrid>
                      <w:tr w:rsidR="00BF5FB6" w14:paraId="767830D6" w14:textId="77777777" w:rsidTr="00BF5FB6">
                        <w:trPr>
                          <w:trHeight w:val="975"/>
                        </w:trPr>
                        <w:tc>
                          <w:tcPr>
                            <w:tcW w:w="1625" w:type="dxa"/>
                            <w:vAlign w:val="center"/>
                          </w:tcPr>
                          <w:p w14:paraId="2C1A8E30" w14:textId="77777777" w:rsidR="00BF5FB6" w:rsidRDefault="00BF5FB6" w:rsidP="00407032">
                            <w:pPr>
                              <w:spacing w:beforeLines="20" w:before="48" w:afterLines="40" w:after="96"/>
                              <w:rPr>
                                <w:rFonts w:ascii="Cambria" w:hAnsi="Cambria"/>
                                <w:b/>
                                <w:bCs/>
                                <w:sz w:val="24"/>
                                <w:szCs w:val="24"/>
                              </w:rPr>
                            </w:pPr>
                            <w:r>
                              <w:rPr>
                                <w:rStyle w:val="Strong"/>
                              </w:rPr>
                              <w:t>Company</w:t>
                            </w:r>
                          </w:p>
                        </w:tc>
                        <w:tc>
                          <w:tcPr>
                            <w:tcW w:w="1623" w:type="dxa"/>
                            <w:vAlign w:val="center"/>
                          </w:tcPr>
                          <w:p w14:paraId="11CD9AE9" w14:textId="77777777" w:rsidR="00BF5FB6" w:rsidRDefault="00BF5FB6" w:rsidP="00407032">
                            <w:pPr>
                              <w:spacing w:beforeLines="20" w:before="48" w:afterLines="40" w:after="96"/>
                              <w:rPr>
                                <w:rFonts w:ascii="Cambria" w:hAnsi="Cambria"/>
                                <w:b/>
                                <w:bCs/>
                                <w:sz w:val="24"/>
                                <w:szCs w:val="24"/>
                              </w:rPr>
                            </w:pPr>
                            <w:r>
                              <w:rPr>
                                <w:rStyle w:val="Strong"/>
                              </w:rPr>
                              <w:t>Revenue CAGR (2019-2024) (%)</w:t>
                            </w:r>
                          </w:p>
                        </w:tc>
                        <w:tc>
                          <w:tcPr>
                            <w:tcW w:w="1624" w:type="dxa"/>
                            <w:vAlign w:val="center"/>
                          </w:tcPr>
                          <w:p w14:paraId="17BC9D76" w14:textId="77777777" w:rsidR="00BF5FB6" w:rsidRDefault="00BF5FB6" w:rsidP="00407032">
                            <w:pPr>
                              <w:spacing w:beforeLines="20" w:before="48" w:afterLines="40" w:after="96"/>
                              <w:rPr>
                                <w:rFonts w:ascii="Cambria" w:hAnsi="Cambria"/>
                                <w:b/>
                                <w:bCs/>
                                <w:sz w:val="24"/>
                                <w:szCs w:val="24"/>
                              </w:rPr>
                            </w:pPr>
                            <w:r>
                              <w:rPr>
                                <w:rStyle w:val="Strong"/>
                              </w:rPr>
                              <w:t>Asset Turnover Ratio (x)</w:t>
                            </w:r>
                          </w:p>
                        </w:tc>
                        <w:tc>
                          <w:tcPr>
                            <w:tcW w:w="1626" w:type="dxa"/>
                            <w:vAlign w:val="center"/>
                          </w:tcPr>
                          <w:p w14:paraId="39F16FEA" w14:textId="77777777" w:rsidR="00BF5FB6" w:rsidRDefault="00BF5FB6" w:rsidP="00407032">
                            <w:pPr>
                              <w:spacing w:beforeLines="20" w:before="48" w:afterLines="40" w:after="96"/>
                              <w:rPr>
                                <w:rFonts w:ascii="Cambria" w:hAnsi="Cambria"/>
                                <w:b/>
                                <w:bCs/>
                                <w:sz w:val="24"/>
                                <w:szCs w:val="24"/>
                              </w:rPr>
                            </w:pPr>
                            <w:r>
                              <w:rPr>
                                <w:rStyle w:val="Strong"/>
                              </w:rPr>
                              <w:t>Equity Multiplier (x)</w:t>
                            </w:r>
                          </w:p>
                        </w:tc>
                        <w:tc>
                          <w:tcPr>
                            <w:tcW w:w="1617" w:type="dxa"/>
                            <w:vAlign w:val="center"/>
                          </w:tcPr>
                          <w:p w14:paraId="7E5F38C0" w14:textId="77777777" w:rsidR="00BF5FB6" w:rsidRDefault="00BF5FB6" w:rsidP="00407032">
                            <w:pPr>
                              <w:spacing w:beforeLines="20" w:before="48" w:afterLines="40" w:after="96"/>
                              <w:rPr>
                                <w:rFonts w:ascii="Cambria" w:hAnsi="Cambria"/>
                                <w:b/>
                                <w:bCs/>
                                <w:sz w:val="24"/>
                                <w:szCs w:val="24"/>
                              </w:rPr>
                            </w:pPr>
                            <w:r>
                              <w:rPr>
                                <w:rStyle w:val="Strong"/>
                              </w:rPr>
                              <w:t>Net Profit Margin (%)</w:t>
                            </w:r>
                          </w:p>
                        </w:tc>
                        <w:tc>
                          <w:tcPr>
                            <w:tcW w:w="1615" w:type="dxa"/>
                            <w:vAlign w:val="center"/>
                          </w:tcPr>
                          <w:p w14:paraId="2611084D" w14:textId="77777777" w:rsidR="00BF5FB6" w:rsidRDefault="00BF5FB6" w:rsidP="00407032">
                            <w:pPr>
                              <w:spacing w:beforeLines="20" w:before="48" w:afterLines="40" w:after="96"/>
                              <w:rPr>
                                <w:rFonts w:ascii="Cambria" w:hAnsi="Cambria"/>
                                <w:b/>
                                <w:bCs/>
                                <w:sz w:val="24"/>
                                <w:szCs w:val="24"/>
                              </w:rPr>
                            </w:pPr>
                            <w:r>
                              <w:rPr>
                                <w:rStyle w:val="Strong"/>
                              </w:rPr>
                              <w:t>ROE (%)</w:t>
                            </w:r>
                          </w:p>
                        </w:tc>
                      </w:tr>
                      <w:tr w:rsidR="00BF5FB6" w14:paraId="7295C655" w14:textId="77777777" w:rsidTr="00BF5FB6">
                        <w:trPr>
                          <w:trHeight w:val="419"/>
                        </w:trPr>
                        <w:tc>
                          <w:tcPr>
                            <w:tcW w:w="1625" w:type="dxa"/>
                            <w:vAlign w:val="center"/>
                          </w:tcPr>
                          <w:p w14:paraId="7BF66ACA" w14:textId="77777777" w:rsidR="00BF5FB6" w:rsidRDefault="00BF5FB6" w:rsidP="00407032">
                            <w:pPr>
                              <w:spacing w:beforeLines="20" w:before="48" w:afterLines="40" w:after="96"/>
                              <w:rPr>
                                <w:rFonts w:ascii="Cambria" w:hAnsi="Cambria"/>
                                <w:b/>
                                <w:bCs/>
                                <w:sz w:val="24"/>
                                <w:szCs w:val="24"/>
                              </w:rPr>
                            </w:pPr>
                            <w:r>
                              <w:rPr>
                                <w:rStyle w:val="Strong"/>
                              </w:rPr>
                              <w:t>Alibaba</w:t>
                            </w:r>
                          </w:p>
                        </w:tc>
                        <w:tc>
                          <w:tcPr>
                            <w:tcW w:w="1623" w:type="dxa"/>
                            <w:vAlign w:val="center"/>
                          </w:tcPr>
                          <w:p w14:paraId="376BBAB3" w14:textId="77777777" w:rsidR="00BF5FB6" w:rsidRDefault="00BF5FB6" w:rsidP="00407032">
                            <w:pPr>
                              <w:spacing w:beforeLines="20" w:before="48" w:afterLines="40" w:after="96"/>
                              <w:rPr>
                                <w:rFonts w:ascii="Cambria" w:hAnsi="Cambria"/>
                                <w:b/>
                                <w:bCs/>
                                <w:sz w:val="24"/>
                                <w:szCs w:val="24"/>
                              </w:rPr>
                            </w:pPr>
                            <w:r>
                              <w:t>14.9%</w:t>
                            </w:r>
                          </w:p>
                        </w:tc>
                        <w:tc>
                          <w:tcPr>
                            <w:tcW w:w="1624" w:type="dxa"/>
                            <w:vAlign w:val="center"/>
                          </w:tcPr>
                          <w:p w14:paraId="3AE62D7C" w14:textId="77777777" w:rsidR="00BF5FB6" w:rsidRDefault="00BF5FB6" w:rsidP="00407032">
                            <w:pPr>
                              <w:spacing w:beforeLines="20" w:before="48" w:afterLines="40" w:after="96"/>
                              <w:rPr>
                                <w:rFonts w:ascii="Cambria" w:hAnsi="Cambria"/>
                                <w:b/>
                                <w:bCs/>
                                <w:sz w:val="24"/>
                                <w:szCs w:val="24"/>
                              </w:rPr>
                            </w:pPr>
                            <w:r>
                              <w:t>0.6</w:t>
                            </w:r>
                          </w:p>
                        </w:tc>
                        <w:tc>
                          <w:tcPr>
                            <w:tcW w:w="1626" w:type="dxa"/>
                            <w:vAlign w:val="center"/>
                          </w:tcPr>
                          <w:p w14:paraId="2B6BBA53" w14:textId="77777777" w:rsidR="00BF5FB6" w:rsidRDefault="00BF5FB6" w:rsidP="00407032">
                            <w:pPr>
                              <w:spacing w:beforeLines="20" w:before="48" w:afterLines="40" w:after="96"/>
                              <w:rPr>
                                <w:rFonts w:ascii="Cambria" w:hAnsi="Cambria"/>
                                <w:b/>
                                <w:bCs/>
                                <w:sz w:val="24"/>
                                <w:szCs w:val="24"/>
                              </w:rPr>
                            </w:pPr>
                            <w:r>
                              <w:t>1.8</w:t>
                            </w:r>
                          </w:p>
                        </w:tc>
                        <w:tc>
                          <w:tcPr>
                            <w:tcW w:w="1617" w:type="dxa"/>
                            <w:vAlign w:val="center"/>
                          </w:tcPr>
                          <w:p w14:paraId="5ED7D88B" w14:textId="77777777" w:rsidR="00BF5FB6" w:rsidRDefault="00BF5FB6" w:rsidP="00407032">
                            <w:pPr>
                              <w:spacing w:beforeLines="20" w:before="48" w:afterLines="40" w:after="96"/>
                              <w:rPr>
                                <w:rFonts w:ascii="Cambria" w:hAnsi="Cambria"/>
                                <w:b/>
                                <w:bCs/>
                                <w:sz w:val="24"/>
                                <w:szCs w:val="24"/>
                              </w:rPr>
                            </w:pPr>
                            <w:r>
                              <w:t>13.6%</w:t>
                            </w:r>
                          </w:p>
                        </w:tc>
                        <w:tc>
                          <w:tcPr>
                            <w:tcW w:w="1615" w:type="dxa"/>
                            <w:vAlign w:val="center"/>
                          </w:tcPr>
                          <w:p w14:paraId="199B36E6" w14:textId="77777777" w:rsidR="00BF5FB6" w:rsidRDefault="00BF5FB6" w:rsidP="00407032">
                            <w:pPr>
                              <w:spacing w:beforeLines="20" w:before="48" w:afterLines="40" w:after="96"/>
                              <w:rPr>
                                <w:rFonts w:ascii="Cambria" w:hAnsi="Cambria"/>
                                <w:b/>
                                <w:bCs/>
                                <w:sz w:val="24"/>
                                <w:szCs w:val="24"/>
                              </w:rPr>
                            </w:pPr>
                            <w:r>
                              <w:t>12.8%</w:t>
                            </w:r>
                          </w:p>
                        </w:tc>
                      </w:tr>
                      <w:tr w:rsidR="00BF5FB6" w14:paraId="4E7C2F03" w14:textId="77777777" w:rsidTr="00BF5FB6">
                        <w:trPr>
                          <w:trHeight w:val="419"/>
                        </w:trPr>
                        <w:tc>
                          <w:tcPr>
                            <w:tcW w:w="1625" w:type="dxa"/>
                            <w:vAlign w:val="center"/>
                          </w:tcPr>
                          <w:p w14:paraId="76E68E3B" w14:textId="77777777" w:rsidR="00BF5FB6" w:rsidRDefault="00BF5FB6" w:rsidP="00407032">
                            <w:pPr>
                              <w:spacing w:beforeLines="20" w:before="48" w:afterLines="40" w:after="96"/>
                              <w:rPr>
                                <w:rFonts w:ascii="Cambria" w:hAnsi="Cambria"/>
                                <w:b/>
                                <w:bCs/>
                                <w:sz w:val="24"/>
                                <w:szCs w:val="24"/>
                              </w:rPr>
                            </w:pPr>
                            <w:r>
                              <w:rPr>
                                <w:rStyle w:val="Strong"/>
                              </w:rPr>
                              <w:t>Walmart</w:t>
                            </w:r>
                          </w:p>
                        </w:tc>
                        <w:tc>
                          <w:tcPr>
                            <w:tcW w:w="1623" w:type="dxa"/>
                            <w:vAlign w:val="center"/>
                          </w:tcPr>
                          <w:p w14:paraId="05EB683F" w14:textId="77777777" w:rsidR="00BF5FB6" w:rsidRDefault="00BF5FB6" w:rsidP="00407032">
                            <w:pPr>
                              <w:spacing w:beforeLines="20" w:before="48" w:afterLines="40" w:after="96"/>
                              <w:rPr>
                                <w:rFonts w:ascii="Cambria" w:hAnsi="Cambria"/>
                                <w:b/>
                                <w:bCs/>
                                <w:sz w:val="24"/>
                                <w:szCs w:val="24"/>
                              </w:rPr>
                            </w:pPr>
                            <w:r>
                              <w:t>4.7%</w:t>
                            </w:r>
                          </w:p>
                        </w:tc>
                        <w:tc>
                          <w:tcPr>
                            <w:tcW w:w="1624" w:type="dxa"/>
                            <w:vAlign w:val="center"/>
                          </w:tcPr>
                          <w:p w14:paraId="330AE146" w14:textId="77777777" w:rsidR="00BF5FB6" w:rsidRDefault="00BF5FB6" w:rsidP="00407032">
                            <w:pPr>
                              <w:spacing w:beforeLines="20" w:before="48" w:afterLines="40" w:after="96"/>
                              <w:rPr>
                                <w:rFonts w:ascii="Cambria" w:hAnsi="Cambria"/>
                                <w:b/>
                                <w:bCs/>
                                <w:sz w:val="24"/>
                                <w:szCs w:val="24"/>
                              </w:rPr>
                            </w:pPr>
                            <w:r>
                              <w:t>1.4</w:t>
                            </w:r>
                          </w:p>
                        </w:tc>
                        <w:tc>
                          <w:tcPr>
                            <w:tcW w:w="1626" w:type="dxa"/>
                            <w:vAlign w:val="center"/>
                          </w:tcPr>
                          <w:p w14:paraId="43711099" w14:textId="77777777" w:rsidR="00BF5FB6" w:rsidRDefault="00BF5FB6" w:rsidP="00407032">
                            <w:pPr>
                              <w:spacing w:beforeLines="20" w:before="48" w:afterLines="40" w:after="96"/>
                              <w:rPr>
                                <w:rFonts w:ascii="Cambria" w:hAnsi="Cambria"/>
                                <w:b/>
                                <w:bCs/>
                                <w:sz w:val="24"/>
                                <w:szCs w:val="24"/>
                              </w:rPr>
                            </w:pPr>
                            <w:r>
                              <w:t>2.4</w:t>
                            </w:r>
                          </w:p>
                        </w:tc>
                        <w:tc>
                          <w:tcPr>
                            <w:tcW w:w="1617" w:type="dxa"/>
                            <w:vAlign w:val="center"/>
                          </w:tcPr>
                          <w:p w14:paraId="63969313" w14:textId="77777777" w:rsidR="00BF5FB6" w:rsidRDefault="00BF5FB6" w:rsidP="00407032">
                            <w:pPr>
                              <w:spacing w:beforeLines="20" w:before="48" w:afterLines="40" w:after="96"/>
                              <w:rPr>
                                <w:rFonts w:ascii="Cambria" w:hAnsi="Cambria"/>
                                <w:b/>
                                <w:bCs/>
                                <w:sz w:val="24"/>
                                <w:szCs w:val="24"/>
                              </w:rPr>
                            </w:pPr>
                            <w:r>
                              <w:t>2.4%</w:t>
                            </w:r>
                          </w:p>
                        </w:tc>
                        <w:tc>
                          <w:tcPr>
                            <w:tcW w:w="1615" w:type="dxa"/>
                            <w:vAlign w:val="center"/>
                          </w:tcPr>
                          <w:p w14:paraId="22952369" w14:textId="77777777" w:rsidR="00BF5FB6" w:rsidRDefault="00BF5FB6" w:rsidP="00407032">
                            <w:pPr>
                              <w:spacing w:beforeLines="20" w:before="48" w:afterLines="40" w:after="96"/>
                              <w:rPr>
                                <w:rFonts w:ascii="Cambria" w:hAnsi="Cambria"/>
                                <w:b/>
                                <w:bCs/>
                                <w:sz w:val="24"/>
                                <w:szCs w:val="24"/>
                              </w:rPr>
                            </w:pPr>
                            <w:r>
                              <w:t>17.2%</w:t>
                            </w:r>
                          </w:p>
                        </w:tc>
                      </w:tr>
                      <w:tr w:rsidR="00BF5FB6" w14:paraId="376610EA" w14:textId="77777777" w:rsidTr="00BF5FB6">
                        <w:trPr>
                          <w:trHeight w:val="432"/>
                        </w:trPr>
                        <w:tc>
                          <w:tcPr>
                            <w:tcW w:w="1625" w:type="dxa"/>
                            <w:vAlign w:val="center"/>
                          </w:tcPr>
                          <w:p w14:paraId="0D2464F4" w14:textId="77777777" w:rsidR="00BF5FB6" w:rsidRDefault="00BF5FB6" w:rsidP="00407032">
                            <w:pPr>
                              <w:spacing w:beforeLines="20" w:before="48" w:afterLines="40" w:after="96"/>
                              <w:rPr>
                                <w:rFonts w:ascii="Cambria" w:hAnsi="Cambria"/>
                                <w:b/>
                                <w:bCs/>
                                <w:sz w:val="24"/>
                                <w:szCs w:val="24"/>
                              </w:rPr>
                            </w:pPr>
                            <w:r>
                              <w:rPr>
                                <w:rStyle w:val="Strong"/>
                              </w:rPr>
                              <w:t>Costco</w:t>
                            </w:r>
                          </w:p>
                        </w:tc>
                        <w:tc>
                          <w:tcPr>
                            <w:tcW w:w="1623" w:type="dxa"/>
                            <w:vAlign w:val="center"/>
                          </w:tcPr>
                          <w:p w14:paraId="48419678" w14:textId="77777777" w:rsidR="00BF5FB6" w:rsidRDefault="00BF5FB6" w:rsidP="00407032">
                            <w:pPr>
                              <w:spacing w:beforeLines="20" w:before="48" w:afterLines="40" w:after="96"/>
                              <w:rPr>
                                <w:rFonts w:ascii="Cambria" w:hAnsi="Cambria"/>
                                <w:b/>
                                <w:bCs/>
                                <w:sz w:val="24"/>
                                <w:szCs w:val="24"/>
                              </w:rPr>
                            </w:pPr>
                            <w:r>
                              <w:t>5.6%</w:t>
                            </w:r>
                          </w:p>
                        </w:tc>
                        <w:tc>
                          <w:tcPr>
                            <w:tcW w:w="1624" w:type="dxa"/>
                            <w:vAlign w:val="center"/>
                          </w:tcPr>
                          <w:p w14:paraId="17364B6B" w14:textId="77777777" w:rsidR="00BF5FB6" w:rsidRDefault="00BF5FB6" w:rsidP="00407032">
                            <w:pPr>
                              <w:spacing w:beforeLines="20" w:before="48" w:afterLines="40" w:after="96"/>
                              <w:rPr>
                                <w:rFonts w:ascii="Cambria" w:hAnsi="Cambria"/>
                                <w:b/>
                                <w:bCs/>
                                <w:sz w:val="24"/>
                                <w:szCs w:val="24"/>
                              </w:rPr>
                            </w:pPr>
                            <w:r>
                              <w:t>2.3</w:t>
                            </w:r>
                          </w:p>
                        </w:tc>
                        <w:tc>
                          <w:tcPr>
                            <w:tcW w:w="1626" w:type="dxa"/>
                            <w:vAlign w:val="center"/>
                          </w:tcPr>
                          <w:p w14:paraId="18F808D6" w14:textId="77777777" w:rsidR="00BF5FB6" w:rsidRDefault="00BF5FB6" w:rsidP="00407032">
                            <w:pPr>
                              <w:spacing w:beforeLines="20" w:before="48" w:afterLines="40" w:after="96"/>
                              <w:rPr>
                                <w:rFonts w:ascii="Cambria" w:hAnsi="Cambria"/>
                                <w:b/>
                                <w:bCs/>
                                <w:sz w:val="24"/>
                                <w:szCs w:val="24"/>
                              </w:rPr>
                            </w:pPr>
                            <w:r>
                              <w:t>1.9</w:t>
                            </w:r>
                          </w:p>
                        </w:tc>
                        <w:tc>
                          <w:tcPr>
                            <w:tcW w:w="1617" w:type="dxa"/>
                            <w:vAlign w:val="center"/>
                          </w:tcPr>
                          <w:p w14:paraId="7E77BFB9" w14:textId="77777777" w:rsidR="00BF5FB6" w:rsidRDefault="00BF5FB6" w:rsidP="00407032">
                            <w:pPr>
                              <w:spacing w:beforeLines="20" w:before="48" w:afterLines="40" w:after="96"/>
                              <w:rPr>
                                <w:rFonts w:ascii="Cambria" w:hAnsi="Cambria"/>
                                <w:b/>
                                <w:bCs/>
                                <w:sz w:val="24"/>
                                <w:szCs w:val="24"/>
                              </w:rPr>
                            </w:pPr>
                            <w:r>
                              <w:t>2.5%</w:t>
                            </w:r>
                          </w:p>
                        </w:tc>
                        <w:tc>
                          <w:tcPr>
                            <w:tcW w:w="1615" w:type="dxa"/>
                            <w:vAlign w:val="center"/>
                          </w:tcPr>
                          <w:p w14:paraId="53030F12" w14:textId="77777777" w:rsidR="00BF5FB6" w:rsidRDefault="00BF5FB6" w:rsidP="00407032">
                            <w:pPr>
                              <w:spacing w:beforeLines="20" w:before="48" w:afterLines="40" w:after="96"/>
                              <w:rPr>
                                <w:rFonts w:ascii="Cambria" w:hAnsi="Cambria"/>
                                <w:b/>
                                <w:bCs/>
                                <w:sz w:val="24"/>
                                <w:szCs w:val="24"/>
                              </w:rPr>
                            </w:pPr>
                            <w:r>
                              <w:t>26.4%</w:t>
                            </w:r>
                          </w:p>
                        </w:tc>
                      </w:tr>
                      <w:tr w:rsidR="00BF5FB6" w14:paraId="34F11F72" w14:textId="77777777" w:rsidTr="00BF5FB6">
                        <w:trPr>
                          <w:trHeight w:val="419"/>
                        </w:trPr>
                        <w:tc>
                          <w:tcPr>
                            <w:tcW w:w="1625" w:type="dxa"/>
                            <w:vAlign w:val="center"/>
                          </w:tcPr>
                          <w:p w14:paraId="61A39FA5" w14:textId="77777777" w:rsidR="00BF5FB6" w:rsidRDefault="00BF5FB6" w:rsidP="00407032">
                            <w:pPr>
                              <w:spacing w:beforeLines="20" w:before="48" w:afterLines="40" w:after="96"/>
                              <w:rPr>
                                <w:rFonts w:ascii="Cambria" w:hAnsi="Cambria"/>
                                <w:b/>
                                <w:bCs/>
                                <w:sz w:val="24"/>
                                <w:szCs w:val="24"/>
                              </w:rPr>
                            </w:pPr>
                            <w:r>
                              <w:rPr>
                                <w:rStyle w:val="Strong"/>
                              </w:rPr>
                              <w:t>Carrefour</w:t>
                            </w:r>
                          </w:p>
                        </w:tc>
                        <w:tc>
                          <w:tcPr>
                            <w:tcW w:w="1623" w:type="dxa"/>
                            <w:vAlign w:val="center"/>
                          </w:tcPr>
                          <w:p w14:paraId="5D307773" w14:textId="77777777" w:rsidR="00BF5FB6" w:rsidRDefault="00BF5FB6" w:rsidP="00407032">
                            <w:pPr>
                              <w:spacing w:beforeLines="20" w:before="48" w:afterLines="40" w:after="96"/>
                              <w:rPr>
                                <w:rFonts w:ascii="Cambria" w:hAnsi="Cambria"/>
                                <w:b/>
                                <w:bCs/>
                                <w:sz w:val="24"/>
                                <w:szCs w:val="24"/>
                              </w:rPr>
                            </w:pPr>
                            <w:r>
                              <w:t>2.05%</w:t>
                            </w:r>
                          </w:p>
                        </w:tc>
                        <w:tc>
                          <w:tcPr>
                            <w:tcW w:w="1624" w:type="dxa"/>
                            <w:vAlign w:val="center"/>
                          </w:tcPr>
                          <w:p w14:paraId="27634FF2" w14:textId="77777777" w:rsidR="00BF5FB6" w:rsidRDefault="00BF5FB6" w:rsidP="00407032">
                            <w:pPr>
                              <w:spacing w:beforeLines="20" w:before="48" w:afterLines="40" w:after="96"/>
                              <w:rPr>
                                <w:rFonts w:ascii="Cambria" w:hAnsi="Cambria"/>
                                <w:b/>
                                <w:bCs/>
                                <w:sz w:val="24"/>
                                <w:szCs w:val="24"/>
                              </w:rPr>
                            </w:pPr>
                            <w:r>
                              <w:t>1.2</w:t>
                            </w:r>
                          </w:p>
                        </w:tc>
                        <w:tc>
                          <w:tcPr>
                            <w:tcW w:w="1626" w:type="dxa"/>
                            <w:vAlign w:val="center"/>
                          </w:tcPr>
                          <w:p w14:paraId="27FEB03C" w14:textId="77777777" w:rsidR="00BF5FB6" w:rsidRDefault="00BF5FB6" w:rsidP="00407032">
                            <w:pPr>
                              <w:spacing w:beforeLines="20" w:before="48" w:afterLines="40" w:after="96"/>
                              <w:rPr>
                                <w:rFonts w:ascii="Cambria" w:hAnsi="Cambria"/>
                                <w:b/>
                                <w:bCs/>
                                <w:sz w:val="24"/>
                                <w:szCs w:val="24"/>
                              </w:rPr>
                            </w:pPr>
                            <w:r>
                              <w:t>2.6</w:t>
                            </w:r>
                          </w:p>
                        </w:tc>
                        <w:tc>
                          <w:tcPr>
                            <w:tcW w:w="1617" w:type="dxa"/>
                            <w:vAlign w:val="center"/>
                          </w:tcPr>
                          <w:p w14:paraId="70BBC5E9" w14:textId="77777777" w:rsidR="00BF5FB6" w:rsidRDefault="00BF5FB6" w:rsidP="00407032">
                            <w:pPr>
                              <w:spacing w:beforeLines="20" w:before="48" w:afterLines="40" w:after="96"/>
                              <w:rPr>
                                <w:rFonts w:ascii="Cambria" w:hAnsi="Cambria"/>
                                <w:b/>
                                <w:bCs/>
                                <w:sz w:val="24"/>
                                <w:szCs w:val="24"/>
                              </w:rPr>
                            </w:pPr>
                            <w:r>
                              <w:t>1.2%</w:t>
                            </w:r>
                          </w:p>
                        </w:tc>
                        <w:tc>
                          <w:tcPr>
                            <w:tcW w:w="1615" w:type="dxa"/>
                            <w:vAlign w:val="center"/>
                          </w:tcPr>
                          <w:p w14:paraId="6EA46CDC" w14:textId="77777777" w:rsidR="00BF5FB6" w:rsidRDefault="00BF5FB6" w:rsidP="00407032">
                            <w:pPr>
                              <w:spacing w:beforeLines="20" w:before="48" w:afterLines="40" w:after="96"/>
                              <w:rPr>
                                <w:rFonts w:ascii="Cambria" w:hAnsi="Cambria"/>
                                <w:b/>
                                <w:bCs/>
                                <w:sz w:val="24"/>
                                <w:szCs w:val="24"/>
                              </w:rPr>
                            </w:pPr>
                            <w:r>
                              <w:t>9.5%</w:t>
                            </w:r>
                          </w:p>
                        </w:tc>
                      </w:tr>
                      <w:tr w:rsidR="00BF5FB6" w14:paraId="5EFDA568" w14:textId="77777777" w:rsidTr="00BF5FB6">
                        <w:trPr>
                          <w:trHeight w:val="691"/>
                        </w:trPr>
                        <w:tc>
                          <w:tcPr>
                            <w:tcW w:w="1625" w:type="dxa"/>
                            <w:vAlign w:val="center"/>
                          </w:tcPr>
                          <w:p w14:paraId="21502511" w14:textId="77777777" w:rsidR="00BF5FB6" w:rsidRDefault="00BF5FB6" w:rsidP="00407032">
                            <w:pPr>
                              <w:spacing w:beforeLines="20" w:before="48" w:afterLines="40" w:after="96"/>
                              <w:rPr>
                                <w:rFonts w:ascii="Cambria" w:hAnsi="Cambria"/>
                                <w:b/>
                                <w:bCs/>
                                <w:sz w:val="24"/>
                                <w:szCs w:val="24"/>
                              </w:rPr>
                            </w:pPr>
                            <w:r>
                              <w:rPr>
                                <w:rStyle w:val="Strong"/>
                              </w:rPr>
                              <w:t>Magazine Luiza</w:t>
                            </w:r>
                          </w:p>
                        </w:tc>
                        <w:tc>
                          <w:tcPr>
                            <w:tcW w:w="1623" w:type="dxa"/>
                            <w:vAlign w:val="center"/>
                          </w:tcPr>
                          <w:p w14:paraId="1AAAD00D" w14:textId="77777777" w:rsidR="00BF5FB6" w:rsidRDefault="00BF5FB6" w:rsidP="00407032">
                            <w:pPr>
                              <w:spacing w:beforeLines="20" w:before="48" w:afterLines="40" w:after="96"/>
                              <w:rPr>
                                <w:rFonts w:ascii="Cambria" w:hAnsi="Cambria"/>
                                <w:b/>
                                <w:bCs/>
                                <w:sz w:val="24"/>
                                <w:szCs w:val="24"/>
                              </w:rPr>
                            </w:pPr>
                            <w:r>
                              <w:t>12.5%</w:t>
                            </w:r>
                          </w:p>
                        </w:tc>
                        <w:tc>
                          <w:tcPr>
                            <w:tcW w:w="1624" w:type="dxa"/>
                            <w:vAlign w:val="center"/>
                          </w:tcPr>
                          <w:p w14:paraId="25FC3227" w14:textId="77777777" w:rsidR="00BF5FB6" w:rsidRDefault="00BF5FB6" w:rsidP="00407032">
                            <w:pPr>
                              <w:spacing w:beforeLines="20" w:before="48" w:afterLines="40" w:after="96"/>
                              <w:rPr>
                                <w:rFonts w:ascii="Cambria" w:hAnsi="Cambria"/>
                                <w:b/>
                                <w:bCs/>
                                <w:sz w:val="24"/>
                                <w:szCs w:val="24"/>
                              </w:rPr>
                            </w:pPr>
                            <w:r>
                              <w:t>1.8</w:t>
                            </w:r>
                          </w:p>
                        </w:tc>
                        <w:tc>
                          <w:tcPr>
                            <w:tcW w:w="1626" w:type="dxa"/>
                            <w:vAlign w:val="center"/>
                          </w:tcPr>
                          <w:p w14:paraId="571CDB2F" w14:textId="77777777" w:rsidR="00BF5FB6" w:rsidRDefault="00BF5FB6" w:rsidP="00407032">
                            <w:pPr>
                              <w:spacing w:beforeLines="20" w:before="48" w:afterLines="40" w:after="96"/>
                              <w:rPr>
                                <w:rFonts w:ascii="Cambria" w:hAnsi="Cambria"/>
                                <w:b/>
                                <w:bCs/>
                                <w:sz w:val="24"/>
                                <w:szCs w:val="24"/>
                              </w:rPr>
                            </w:pPr>
                            <w:r>
                              <w:t>3.6</w:t>
                            </w:r>
                          </w:p>
                        </w:tc>
                        <w:tc>
                          <w:tcPr>
                            <w:tcW w:w="1617" w:type="dxa"/>
                            <w:vAlign w:val="center"/>
                          </w:tcPr>
                          <w:p w14:paraId="09116BD3" w14:textId="77777777" w:rsidR="00BF5FB6" w:rsidRDefault="00BF5FB6" w:rsidP="00407032">
                            <w:pPr>
                              <w:spacing w:beforeLines="20" w:before="48" w:afterLines="40" w:after="96"/>
                              <w:rPr>
                                <w:rFonts w:ascii="Cambria" w:hAnsi="Cambria"/>
                                <w:b/>
                                <w:bCs/>
                                <w:sz w:val="24"/>
                                <w:szCs w:val="24"/>
                              </w:rPr>
                            </w:pPr>
                            <w:r>
                              <w:t>0.6%</w:t>
                            </w:r>
                          </w:p>
                        </w:tc>
                        <w:tc>
                          <w:tcPr>
                            <w:tcW w:w="1615" w:type="dxa"/>
                            <w:vAlign w:val="center"/>
                          </w:tcPr>
                          <w:p w14:paraId="7C6237A5" w14:textId="77777777" w:rsidR="00BF5FB6" w:rsidRDefault="00BF5FB6" w:rsidP="00407032">
                            <w:pPr>
                              <w:spacing w:beforeLines="20" w:before="48" w:afterLines="40" w:after="96"/>
                              <w:rPr>
                                <w:rFonts w:ascii="Cambria" w:hAnsi="Cambria"/>
                                <w:b/>
                                <w:bCs/>
                                <w:sz w:val="24"/>
                                <w:szCs w:val="24"/>
                              </w:rPr>
                            </w:pPr>
                            <w:r>
                              <w:t>3.8%</w:t>
                            </w:r>
                          </w:p>
                        </w:tc>
                      </w:tr>
                    </w:tbl>
                    <w:p w14:paraId="07E2CE09" w14:textId="01FC45C9" w:rsidR="00BF5FB6" w:rsidRPr="00241CBE" w:rsidRDefault="00241CBE">
                      <w:pPr>
                        <w:rPr>
                          <w:rFonts w:ascii="Cambria" w:hAnsi="Cambria"/>
                          <w:i/>
                          <w:iCs/>
                          <w:sz w:val="20"/>
                          <w:szCs w:val="20"/>
                        </w:rPr>
                      </w:pPr>
                      <w:r>
                        <w:br/>
                      </w:r>
                      <w:r w:rsidRPr="00241CBE">
                        <w:rPr>
                          <w:rFonts w:ascii="Cambria" w:hAnsi="Cambria"/>
                          <w:b/>
                          <w:bCs/>
                          <w:i/>
                          <w:iCs/>
                          <w:sz w:val="20"/>
                          <w:szCs w:val="20"/>
                        </w:rPr>
                        <w:t>Table 3</w:t>
                      </w:r>
                      <w:r w:rsidRPr="00241CBE">
                        <w:rPr>
                          <w:rFonts w:ascii="Cambria" w:hAnsi="Cambria"/>
                          <w:i/>
                          <w:iCs/>
                          <w:sz w:val="20"/>
                          <w:szCs w:val="20"/>
                        </w:rPr>
                        <w:t>: Performance Metrics and DuPont Analysis – This table summarizes key performance indicators including revenue CAGR, asset turnover, equity multiplier, net profit margin, and ROE for five major retailers, providing insights into growth, efficiency, and financial leverage.</w:t>
                      </w:r>
                    </w:p>
                  </w:txbxContent>
                </v:textbox>
                <w10:wrap type="square" anchorx="margin"/>
              </v:shape>
            </w:pict>
          </mc:Fallback>
        </mc:AlternateContent>
      </w:r>
      <w:r w:rsidR="00AA5ABA" w:rsidRPr="00456405">
        <w:rPr>
          <w:rFonts w:ascii="Cambria" w:hAnsi="Cambria"/>
          <w:b/>
          <w:bCs/>
          <w:sz w:val="24"/>
          <w:szCs w:val="24"/>
        </w:rPr>
        <w:t xml:space="preserve">2. Performance </w:t>
      </w:r>
      <w:r w:rsidR="00AA5ABA" w:rsidRPr="00456405">
        <w:rPr>
          <w:rFonts w:ascii="Cambria" w:hAnsi="Cambria"/>
          <w:b/>
          <w:bCs/>
          <w:sz w:val="24"/>
          <w:szCs w:val="24"/>
        </w:rPr>
        <w:tab/>
      </w:r>
      <w:r w:rsidR="00041F48" w:rsidRPr="00456405">
        <w:rPr>
          <w:rFonts w:ascii="Cambria" w:hAnsi="Cambria"/>
          <w:b/>
          <w:bCs/>
          <w:sz w:val="24"/>
          <w:szCs w:val="24"/>
        </w:rPr>
        <w:br/>
      </w:r>
      <w:r w:rsidR="00AA5ABA" w:rsidRPr="00456405">
        <w:rPr>
          <w:rFonts w:ascii="Cambria" w:hAnsi="Cambria"/>
          <w:sz w:val="24"/>
          <w:szCs w:val="24"/>
        </w:rPr>
        <w:t xml:space="preserve">Revenue growth and operational performance are key </w:t>
      </w:r>
      <w:r w:rsidR="002E4E9B" w:rsidRPr="00456405">
        <w:rPr>
          <w:rFonts w:ascii="Cambria" w:hAnsi="Cambria"/>
          <w:sz w:val="24"/>
          <w:szCs w:val="24"/>
        </w:rPr>
        <w:t>indicators</w:t>
      </w:r>
      <w:r w:rsidR="00AA5ABA" w:rsidRPr="00456405">
        <w:rPr>
          <w:rFonts w:ascii="Cambria" w:hAnsi="Cambria"/>
          <w:sz w:val="24"/>
          <w:szCs w:val="24"/>
        </w:rPr>
        <w:t xml:space="preserve"> of a company’s ability to expand their market position. Alibaba leads in revenue growth, achieving a compound annual growth rate (CAGR) of 14.9% between FY 2019 and Fy 2024. </w:t>
      </w:r>
      <w:r w:rsidR="00D327E2" w:rsidRPr="00456405">
        <w:rPr>
          <w:rFonts w:ascii="Cambria" w:hAnsi="Cambria"/>
          <w:sz w:val="24"/>
          <w:szCs w:val="24"/>
        </w:rPr>
        <w:t xml:space="preserve">This has been largely fuelled by their expanding e-commerce ecosystem and cloud computing segment. Despite, the company is witnessing decelerating growth due to heightened regulatory interventions, geo-political tensions between China and USA and saturation in the Chinese online retail market. </w:t>
      </w:r>
      <w:r w:rsidR="002E4E9B" w:rsidRPr="00456405">
        <w:rPr>
          <w:rFonts w:ascii="Cambria" w:hAnsi="Cambria"/>
          <w:sz w:val="24"/>
          <w:szCs w:val="24"/>
        </w:rPr>
        <w:tab/>
      </w:r>
      <w:r w:rsidR="002E4E9B" w:rsidRPr="00456405">
        <w:rPr>
          <w:rFonts w:ascii="Cambria" w:hAnsi="Cambria"/>
          <w:sz w:val="24"/>
          <w:szCs w:val="24"/>
        </w:rPr>
        <w:br/>
        <w:t xml:space="preserve">Walmart and Costco maintain moderate but consistent top-line growth, with CAGR’s of 4.7% and 5.6% (FY 2019 to FY 2024) respectively. Due to their mature nature, their business </w:t>
      </w:r>
      <w:r w:rsidR="00E21D6D" w:rsidRPr="00456405">
        <w:rPr>
          <w:rFonts w:ascii="Cambria" w:hAnsi="Cambria"/>
          <w:sz w:val="24"/>
          <w:szCs w:val="24"/>
        </w:rPr>
        <w:t>models</w:t>
      </w:r>
      <w:r w:rsidR="002E4E9B" w:rsidRPr="00456405">
        <w:rPr>
          <w:rFonts w:ascii="Cambria" w:hAnsi="Cambria"/>
          <w:sz w:val="24"/>
          <w:szCs w:val="24"/>
        </w:rPr>
        <w:t xml:space="preserve"> are defensive, enabling stable growth even during economic downturns. Costco benefits from robust membership retention rates and organic store expansions while Walmart leverages omnichannel retailing to enhance both in-store and online sales growth. </w:t>
      </w:r>
      <w:r w:rsidR="00796F93" w:rsidRPr="00456405">
        <w:rPr>
          <w:rFonts w:ascii="Cambria" w:hAnsi="Cambria"/>
          <w:sz w:val="24"/>
          <w:szCs w:val="24"/>
        </w:rPr>
        <w:tab/>
      </w:r>
      <w:r w:rsidR="00796F93" w:rsidRPr="00456405">
        <w:rPr>
          <w:rFonts w:ascii="Cambria" w:hAnsi="Cambria"/>
          <w:sz w:val="24"/>
          <w:szCs w:val="24"/>
        </w:rPr>
        <w:br/>
        <w:t xml:space="preserve">Carrefour trails with a modest 2.05% CAGR, reflecting their exposure to saturated mature European markets. </w:t>
      </w:r>
      <w:r w:rsidR="00823FD2" w:rsidRPr="00456405">
        <w:rPr>
          <w:rFonts w:ascii="Cambria" w:hAnsi="Cambria"/>
          <w:sz w:val="24"/>
          <w:szCs w:val="24"/>
        </w:rPr>
        <w:t xml:space="preserve">As such, their expansion opportunities remain limited, further inhibited by price sensitivity among consumers and fierce competition from discount retail chains. </w:t>
      </w:r>
      <w:r w:rsidR="00796F93" w:rsidRPr="00456405">
        <w:rPr>
          <w:rFonts w:ascii="Cambria" w:hAnsi="Cambria"/>
          <w:sz w:val="24"/>
          <w:szCs w:val="24"/>
        </w:rPr>
        <w:tab/>
      </w:r>
      <w:r w:rsidR="00796F93" w:rsidRPr="00456405">
        <w:rPr>
          <w:rFonts w:ascii="Cambria" w:hAnsi="Cambria"/>
          <w:sz w:val="24"/>
          <w:szCs w:val="24"/>
        </w:rPr>
        <w:br/>
      </w:r>
      <w:r w:rsidR="00E21D6D" w:rsidRPr="00456405">
        <w:rPr>
          <w:rFonts w:ascii="Cambria" w:hAnsi="Cambria"/>
          <w:sz w:val="24"/>
          <w:szCs w:val="24"/>
        </w:rPr>
        <w:t xml:space="preserve">Magazine Luiza, notwithstanding a high CAGR of 12.5%, has seen significant slumping post FY 2022, due to rising interest rates, declining consumer demand and increasing operational costs which has made it difficult for them to maintain their competitiveness with new international entrants in the region. </w:t>
      </w:r>
      <w:r w:rsidR="00C94DDC" w:rsidRPr="00456405">
        <w:rPr>
          <w:rFonts w:ascii="Cambria" w:hAnsi="Cambria"/>
          <w:sz w:val="24"/>
          <w:szCs w:val="24"/>
        </w:rPr>
        <w:t xml:space="preserve">Unlike their </w:t>
      </w:r>
      <w:r w:rsidR="00796F93" w:rsidRPr="00456405">
        <w:rPr>
          <w:rFonts w:ascii="Cambria" w:hAnsi="Cambria"/>
          <w:sz w:val="24"/>
          <w:szCs w:val="24"/>
        </w:rPr>
        <w:t>North American</w:t>
      </w:r>
      <w:r w:rsidR="00C94DDC" w:rsidRPr="00456405">
        <w:rPr>
          <w:rFonts w:ascii="Cambria" w:hAnsi="Cambria"/>
          <w:sz w:val="24"/>
          <w:szCs w:val="24"/>
        </w:rPr>
        <w:t xml:space="preserve"> counterparts, their expansion has been largely debt-financed, creating long-term financial sustainability concerns. </w:t>
      </w:r>
      <w:r w:rsidR="00430732" w:rsidRPr="00456405">
        <w:rPr>
          <w:rFonts w:ascii="Cambria" w:hAnsi="Cambria"/>
          <w:sz w:val="24"/>
          <w:szCs w:val="24"/>
        </w:rPr>
        <w:tab/>
      </w:r>
      <w:r w:rsidR="00430732" w:rsidRPr="00456405">
        <w:rPr>
          <w:rFonts w:ascii="Cambria" w:hAnsi="Cambria"/>
          <w:sz w:val="24"/>
          <w:szCs w:val="24"/>
        </w:rPr>
        <w:br/>
        <w:t xml:space="preserve">A DuPont analysis further highlights these trends. Costco leads in operational efficiency with an asset turnover ratio of 2.3x whilst Alibaba’s asset turnover remains lowest with 0.6x due to its capital-intensive cloud business. Magazine Luiza has an equity multiplier of 3.6x exhibiting significant reliance on financial leverage, adding risk to its overall performance. </w:t>
      </w:r>
      <w:r w:rsidR="00041F48" w:rsidRPr="00456405">
        <w:rPr>
          <w:rFonts w:ascii="Cambria" w:hAnsi="Cambria"/>
          <w:sz w:val="24"/>
          <w:szCs w:val="24"/>
        </w:rPr>
        <w:t xml:space="preserve">Walmart and Carrefour although are balanced in leverage profiles, the former has superior asset </w:t>
      </w:r>
      <w:r w:rsidR="00BF5FB6" w:rsidRPr="00456405">
        <w:rPr>
          <w:rFonts w:ascii="Cambria" w:hAnsi="Cambria"/>
          <w:sz w:val="24"/>
          <w:szCs w:val="24"/>
        </w:rPr>
        <w:t xml:space="preserve">turnover </w:t>
      </w:r>
      <w:r w:rsidR="00BF5FB6" w:rsidRPr="00456405">
        <w:rPr>
          <w:rFonts w:ascii="Cambria" w:hAnsi="Cambria"/>
          <w:sz w:val="24"/>
          <w:szCs w:val="24"/>
        </w:rPr>
        <w:lastRenderedPageBreak/>
        <w:t>(</w:t>
      </w:r>
      <w:r w:rsidR="00041F48" w:rsidRPr="00456405">
        <w:rPr>
          <w:rFonts w:ascii="Cambria" w:hAnsi="Cambria"/>
          <w:sz w:val="24"/>
          <w:szCs w:val="24"/>
        </w:rPr>
        <w:t xml:space="preserve">1.4x) compared to the latter (1.2x). </w:t>
      </w:r>
      <w:r w:rsidR="005F1381" w:rsidRPr="00456405">
        <w:rPr>
          <w:rFonts w:ascii="Cambria" w:hAnsi="Cambria"/>
          <w:sz w:val="24"/>
          <w:szCs w:val="24"/>
        </w:rPr>
        <w:tab/>
      </w:r>
      <w:r w:rsidR="005F1381" w:rsidRPr="00456405">
        <w:rPr>
          <w:rFonts w:ascii="Cambria" w:hAnsi="Cambria"/>
          <w:sz w:val="24"/>
          <w:szCs w:val="24"/>
        </w:rPr>
        <w:br/>
      </w:r>
      <w:r w:rsidR="005F1381" w:rsidRPr="00456405">
        <w:rPr>
          <w:rFonts w:ascii="Cambria" w:hAnsi="Cambria"/>
          <w:sz w:val="24"/>
          <w:szCs w:val="24"/>
        </w:rPr>
        <w:br/>
      </w:r>
      <w:r w:rsidR="005F1381" w:rsidRPr="00456405">
        <w:rPr>
          <w:rFonts w:ascii="Cambria" w:hAnsi="Cambria"/>
          <w:b/>
          <w:bCs/>
          <w:sz w:val="24"/>
          <w:szCs w:val="24"/>
        </w:rPr>
        <w:t>3. Liquidity and Solvency</w:t>
      </w:r>
      <w:r w:rsidR="005F1381" w:rsidRPr="00456405">
        <w:rPr>
          <w:rFonts w:ascii="Cambria" w:hAnsi="Cambria"/>
          <w:b/>
          <w:bCs/>
          <w:sz w:val="24"/>
          <w:szCs w:val="24"/>
        </w:rPr>
        <w:tab/>
      </w:r>
      <w:r w:rsidR="005F1381" w:rsidRPr="00456405">
        <w:rPr>
          <w:rFonts w:ascii="Cambria" w:hAnsi="Cambria"/>
          <w:b/>
          <w:bCs/>
          <w:sz w:val="24"/>
          <w:szCs w:val="24"/>
        </w:rPr>
        <w:br/>
      </w:r>
      <w:r w:rsidR="005F1381" w:rsidRPr="00456405">
        <w:rPr>
          <w:rFonts w:ascii="Cambria" w:hAnsi="Cambria"/>
          <w:sz w:val="24"/>
          <w:szCs w:val="24"/>
        </w:rPr>
        <w:t xml:space="preserve">Liquidity and Solvency are critical for assessing a company’s ability to meet short-term and long-term obligations. </w:t>
      </w:r>
      <w:r w:rsidR="00804403" w:rsidRPr="00456405">
        <w:rPr>
          <w:rFonts w:ascii="Cambria" w:hAnsi="Cambria"/>
          <w:sz w:val="24"/>
          <w:szCs w:val="24"/>
        </w:rPr>
        <w:t xml:space="preserve">Alibaba holds the most secure liquidity position with a current ratio of 2.1x and a quick ratio of 2.1x, reflecting a robust cash position and low short-term debt burden. It's strong cash flow from operations enables flexibility in capital allocation and debt-servicing. </w:t>
      </w:r>
      <w:r w:rsidR="0057408C" w:rsidRPr="00456405">
        <w:rPr>
          <w:rFonts w:ascii="Cambria" w:hAnsi="Cambria"/>
          <w:sz w:val="24"/>
          <w:szCs w:val="24"/>
        </w:rPr>
        <w:br/>
      </w:r>
      <w:r w:rsidR="00AD5ACD" w:rsidRPr="00456405">
        <w:rPr>
          <w:rFonts w:ascii="Cambria" w:hAnsi="Cambria"/>
          <w:sz w:val="24"/>
          <w:szCs w:val="24"/>
        </w:rPr>
        <w:t xml:space="preserve">Walmart and Costco operate on low working capital models, evidenced by their current ratios of 0.83x and 1.05x respectively. While these are seemingly low, both companies benefit from high inventory turnover and strong supplier financing arrangements, allowing them to operate with minimal liquidity risks. </w:t>
      </w:r>
      <w:r w:rsidR="00AD5ACD" w:rsidRPr="00456405">
        <w:rPr>
          <w:rFonts w:ascii="Cambria" w:hAnsi="Cambria"/>
          <w:sz w:val="24"/>
          <w:szCs w:val="24"/>
        </w:rPr>
        <w:tab/>
      </w:r>
      <w:r w:rsidR="00AD5ACD" w:rsidRPr="00456405">
        <w:rPr>
          <w:rFonts w:ascii="Cambria" w:hAnsi="Cambria"/>
          <w:sz w:val="24"/>
          <w:szCs w:val="24"/>
        </w:rPr>
        <w:br/>
        <w:t xml:space="preserve">Carrefour and Magazine Luiza in contrast face very high liquidity pressures. Carrefour’s current ratio of 0.92x suggests a tight liquidity position and Magazine Luiza with 1.2x ratio, although high, is still concerning given their dependence on short-term financing to cover operational costs. </w:t>
      </w:r>
      <w:r w:rsidR="00901AAF" w:rsidRPr="00456405">
        <w:rPr>
          <w:rFonts w:ascii="Cambria" w:hAnsi="Cambria"/>
          <w:sz w:val="24"/>
          <w:szCs w:val="24"/>
        </w:rPr>
        <w:br/>
        <w:t xml:space="preserve">An analysis of solvency metrics further </w:t>
      </w:r>
      <w:r w:rsidR="00574775" w:rsidRPr="00456405">
        <w:rPr>
          <w:rFonts w:ascii="Cambria" w:hAnsi="Cambria"/>
          <w:sz w:val="24"/>
          <w:szCs w:val="24"/>
        </w:rPr>
        <w:t>exacerbates</w:t>
      </w:r>
      <w:r w:rsidR="00901AAF" w:rsidRPr="00456405">
        <w:rPr>
          <w:rFonts w:ascii="Cambria" w:hAnsi="Cambria"/>
          <w:sz w:val="24"/>
          <w:szCs w:val="24"/>
        </w:rPr>
        <w:t xml:space="preserve"> liquidity concerns. Alibaba and Costco exhibit the lowest leverage risk, with Debt-to-EBITDA ratios of 1.4x each, credited to their prudent capital management and strong earnings coverage. Walmart follows with a Debt-to-EBITDA ratio of 1.7x, indicating sustainable leverage backed by strong free cash flows. </w:t>
      </w:r>
      <w:r w:rsidR="00901AAF" w:rsidRPr="00456405">
        <w:rPr>
          <w:rFonts w:ascii="Cambria" w:hAnsi="Cambria"/>
          <w:sz w:val="24"/>
          <w:szCs w:val="24"/>
        </w:rPr>
        <w:tab/>
      </w:r>
      <w:r w:rsidR="00901AAF" w:rsidRPr="00456405">
        <w:rPr>
          <w:rFonts w:ascii="Cambria" w:hAnsi="Cambria"/>
          <w:sz w:val="24"/>
          <w:szCs w:val="24"/>
        </w:rPr>
        <w:br/>
      </w:r>
      <w:r w:rsidR="00B40EF9" w:rsidRPr="00456405">
        <w:rPr>
          <w:rFonts w:ascii="Cambria" w:hAnsi="Cambria"/>
          <w:sz w:val="24"/>
          <w:szCs w:val="24"/>
        </w:rPr>
        <w:t xml:space="preserve">Conversely, Magazine Luiza’s Debt-to-EBITDA is 3.6x, </w:t>
      </w:r>
      <w:r w:rsidR="00574775" w:rsidRPr="00456405">
        <w:rPr>
          <w:rFonts w:ascii="Cambria" w:hAnsi="Cambria"/>
          <w:sz w:val="24"/>
          <w:szCs w:val="24"/>
        </w:rPr>
        <w:t>highlighting</w:t>
      </w:r>
      <w:r w:rsidR="00B40EF9" w:rsidRPr="00456405">
        <w:rPr>
          <w:rFonts w:ascii="Cambria" w:hAnsi="Cambria"/>
          <w:sz w:val="24"/>
          <w:szCs w:val="24"/>
        </w:rPr>
        <w:t xml:space="preserve"> elevated leverage</w:t>
      </w:r>
      <w:r w:rsidR="007C6E87" w:rsidRPr="00456405">
        <w:rPr>
          <w:rFonts w:ascii="Cambria" w:hAnsi="Cambria"/>
          <w:sz w:val="24"/>
          <w:szCs w:val="24"/>
        </w:rPr>
        <w:t xml:space="preserve"> and financial</w:t>
      </w:r>
      <w:r w:rsidR="00B40EF9" w:rsidRPr="00456405">
        <w:rPr>
          <w:rFonts w:ascii="Cambria" w:hAnsi="Cambria"/>
          <w:sz w:val="24"/>
          <w:szCs w:val="24"/>
        </w:rPr>
        <w:t xml:space="preserve"> risk compared to their peers</w:t>
      </w:r>
      <w:r w:rsidR="007C6E87" w:rsidRPr="00456405">
        <w:rPr>
          <w:rFonts w:ascii="Cambria" w:hAnsi="Cambria"/>
          <w:sz w:val="24"/>
          <w:szCs w:val="24"/>
        </w:rPr>
        <w:t>, particularly due to weaker cash flow generation and declining profitability,</w:t>
      </w:r>
      <w:r w:rsidR="00B40EF9" w:rsidRPr="00456405">
        <w:rPr>
          <w:rFonts w:ascii="Cambria" w:hAnsi="Cambria"/>
          <w:sz w:val="24"/>
          <w:szCs w:val="24"/>
        </w:rPr>
        <w:t xml:space="preserve"> while Carrefour’s 2.5x ratio places it in a moderately risky zone. </w:t>
      </w:r>
      <w:r w:rsidR="002D4422" w:rsidRPr="00456405">
        <w:rPr>
          <w:rFonts w:ascii="Cambria" w:hAnsi="Cambria"/>
          <w:sz w:val="24"/>
          <w:szCs w:val="24"/>
        </w:rPr>
        <w:t xml:space="preserve">Interest Coverage Ratios collude with these findings, with Alibaba (10x) and Walmart (8.5x) demonstrating superior debt </w:t>
      </w:r>
      <w:r w:rsidR="00574775" w:rsidRPr="00456405">
        <w:rPr>
          <w:rFonts w:ascii="Cambria" w:hAnsi="Cambria"/>
          <w:sz w:val="24"/>
          <w:szCs w:val="24"/>
        </w:rPr>
        <w:t>servicing</w:t>
      </w:r>
      <w:r w:rsidR="002D4422" w:rsidRPr="00456405">
        <w:rPr>
          <w:rFonts w:ascii="Cambria" w:hAnsi="Cambria"/>
          <w:sz w:val="24"/>
          <w:szCs w:val="24"/>
        </w:rPr>
        <w:t xml:space="preserve"> capabilities whereas Magazine Luiza’s 1.2x coverage ratio signals potential financial distress risks, especially during economic headwinds. </w:t>
      </w:r>
      <w:r w:rsidR="007C6E87" w:rsidRPr="00456405">
        <w:rPr>
          <w:rFonts w:ascii="Cambria" w:hAnsi="Cambria"/>
          <w:sz w:val="24"/>
          <w:szCs w:val="24"/>
        </w:rPr>
        <w:t xml:space="preserve">Carrefour’s weaking Interest Coverage Ratio is concerning as it signals growing difficulty in meeting their interest obligations from operational earnings. </w:t>
      </w:r>
      <w:r w:rsidR="00EE4537" w:rsidRPr="00456405">
        <w:rPr>
          <w:rFonts w:ascii="Cambria" w:hAnsi="Cambria"/>
          <w:sz w:val="24"/>
          <w:szCs w:val="24"/>
        </w:rPr>
        <w:t xml:space="preserve">Magazine Luiza’s ratio is the most concerning in this regard as they barely cover interest payments, leaving negligible reserves for reinvestment or debt reduction policies. Any further deterioration will majorly jeopardise their ability to meet obligations, prompting asset sales or restructuring initiatives. </w:t>
      </w:r>
      <w:r w:rsidR="00554F57" w:rsidRPr="00456405">
        <w:rPr>
          <w:rFonts w:ascii="Cambria" w:hAnsi="Cambria"/>
          <w:sz w:val="24"/>
          <w:szCs w:val="24"/>
        </w:rPr>
        <w:tab/>
      </w:r>
      <w:r w:rsidR="00554F57" w:rsidRPr="00456405">
        <w:rPr>
          <w:rFonts w:ascii="Cambria" w:hAnsi="Cambria"/>
          <w:sz w:val="24"/>
          <w:szCs w:val="24"/>
        </w:rPr>
        <w:br/>
      </w:r>
      <w:r w:rsidR="00554F57" w:rsidRPr="00456405">
        <w:rPr>
          <w:rFonts w:ascii="Cambria" w:hAnsi="Cambria"/>
          <w:sz w:val="24"/>
          <w:szCs w:val="24"/>
        </w:rPr>
        <w:br/>
      </w:r>
      <w:r w:rsidR="00554F57" w:rsidRPr="00456405">
        <w:rPr>
          <w:rFonts w:ascii="Cambria" w:hAnsi="Cambria"/>
          <w:b/>
          <w:bCs/>
          <w:sz w:val="24"/>
          <w:szCs w:val="24"/>
        </w:rPr>
        <w:t>4. Efficiency</w:t>
      </w:r>
      <w:r w:rsidR="00554F57" w:rsidRPr="00456405">
        <w:rPr>
          <w:rFonts w:ascii="Cambria" w:hAnsi="Cambria"/>
          <w:b/>
          <w:bCs/>
          <w:sz w:val="24"/>
          <w:szCs w:val="24"/>
        </w:rPr>
        <w:tab/>
      </w:r>
      <w:r w:rsidR="00554F57" w:rsidRPr="00456405">
        <w:rPr>
          <w:rFonts w:ascii="Cambria" w:hAnsi="Cambria"/>
          <w:b/>
          <w:bCs/>
          <w:sz w:val="24"/>
          <w:szCs w:val="24"/>
        </w:rPr>
        <w:br/>
      </w:r>
      <w:r w:rsidR="00554F57" w:rsidRPr="00456405">
        <w:rPr>
          <w:rFonts w:ascii="Cambria" w:hAnsi="Cambria"/>
          <w:sz w:val="24"/>
          <w:szCs w:val="24"/>
        </w:rPr>
        <w:t>Operational efficiency, as measured by asset turnover and inventory turnover, highlights how effective companies are in utilising their resources. In this regard, C</w:t>
      </w:r>
      <w:r w:rsidR="00041F48" w:rsidRPr="00456405">
        <w:rPr>
          <w:rFonts w:ascii="Cambria" w:hAnsi="Cambria"/>
          <w:sz w:val="24"/>
          <w:szCs w:val="24"/>
        </w:rPr>
        <w:t xml:space="preserve">ostco </w:t>
      </w:r>
      <w:r w:rsidR="00554F57" w:rsidRPr="00456405">
        <w:rPr>
          <w:rFonts w:ascii="Cambria" w:hAnsi="Cambria"/>
          <w:sz w:val="24"/>
          <w:szCs w:val="24"/>
        </w:rPr>
        <w:t xml:space="preserve">stands out as the most efficient retailer with an asset turnover ratio of 2.3x and inventory turnover ratio of 8.8x, demonstrating efficient, rapid inventory movement and very strong sales velocity. </w:t>
      </w:r>
      <w:r w:rsidR="0019176A" w:rsidRPr="00456405">
        <w:rPr>
          <w:rFonts w:ascii="Cambria" w:hAnsi="Cambria"/>
          <w:sz w:val="24"/>
          <w:szCs w:val="24"/>
        </w:rPr>
        <w:t xml:space="preserve">Following closely is Walmart, with an asset turnover of 2.1x and inventory turnover of 8.5x, reflecting optimised supply chain and logistics network, a key performance indicator for the leading retailer. </w:t>
      </w:r>
      <w:r w:rsidR="00EF0038" w:rsidRPr="00456405">
        <w:rPr>
          <w:rFonts w:ascii="Cambria" w:hAnsi="Cambria"/>
          <w:sz w:val="24"/>
          <w:szCs w:val="24"/>
        </w:rPr>
        <w:br/>
        <w:t xml:space="preserve">Alibaba with an asset turnover of 0.6x reflects its capital-intensive investments in cloud computing and logistics infrastructure. Carrefour’s asset turnover of 1.75x and inventory turnover of 7.2x places them in the mid-range while Magazine Luiza struggles with an asset turnover of 1.0x and inventory turnover of 3.4x indicating slower inventory movement and lower operational efficiency. </w:t>
      </w:r>
      <w:r w:rsidR="0017108A" w:rsidRPr="00456405">
        <w:rPr>
          <w:rFonts w:ascii="Cambria" w:hAnsi="Cambria"/>
          <w:sz w:val="24"/>
          <w:szCs w:val="24"/>
        </w:rPr>
        <w:tab/>
      </w:r>
      <w:r w:rsidR="0017108A" w:rsidRPr="00456405">
        <w:rPr>
          <w:rFonts w:ascii="Cambria" w:hAnsi="Cambria"/>
          <w:sz w:val="24"/>
          <w:szCs w:val="24"/>
        </w:rPr>
        <w:br/>
      </w:r>
      <w:r w:rsidR="0017108A" w:rsidRPr="00456405">
        <w:rPr>
          <w:rFonts w:ascii="Cambria" w:hAnsi="Cambria"/>
          <w:sz w:val="24"/>
          <w:szCs w:val="24"/>
        </w:rPr>
        <w:br/>
      </w:r>
      <w:r w:rsidR="0017108A" w:rsidRPr="00456405">
        <w:rPr>
          <w:rFonts w:ascii="Cambria" w:hAnsi="Cambria"/>
          <w:b/>
          <w:bCs/>
          <w:sz w:val="24"/>
          <w:szCs w:val="24"/>
        </w:rPr>
        <w:t>5. Leverage and Debt</w:t>
      </w:r>
      <w:r w:rsidR="0017108A" w:rsidRPr="00456405">
        <w:rPr>
          <w:rFonts w:ascii="Cambria" w:hAnsi="Cambria"/>
          <w:b/>
          <w:bCs/>
          <w:sz w:val="24"/>
          <w:szCs w:val="24"/>
        </w:rPr>
        <w:tab/>
      </w:r>
      <w:r w:rsidR="0017108A" w:rsidRPr="00456405">
        <w:rPr>
          <w:rFonts w:ascii="Cambria" w:hAnsi="Cambria"/>
          <w:b/>
          <w:bCs/>
          <w:sz w:val="24"/>
          <w:szCs w:val="24"/>
        </w:rPr>
        <w:br/>
      </w:r>
      <w:r w:rsidR="0017108A" w:rsidRPr="00456405">
        <w:rPr>
          <w:rFonts w:ascii="Cambria" w:hAnsi="Cambria"/>
          <w:sz w:val="24"/>
          <w:szCs w:val="24"/>
        </w:rPr>
        <w:t xml:space="preserve">A company’s leverage ratio and debt profile are key indicators of financial risk and solvency, affecting their ability to service obligations, reinvest in growth and sustain operations during headwinds. </w:t>
      </w:r>
      <w:r w:rsidR="0017108A" w:rsidRPr="00456405">
        <w:rPr>
          <w:rFonts w:ascii="Cambria" w:hAnsi="Cambria"/>
          <w:sz w:val="24"/>
          <w:szCs w:val="24"/>
        </w:rPr>
        <w:br/>
      </w:r>
      <w:r w:rsidR="0017108A" w:rsidRPr="00456405">
        <w:rPr>
          <w:rFonts w:ascii="Cambria" w:hAnsi="Cambria"/>
          <w:b/>
          <w:bCs/>
          <w:sz w:val="24"/>
          <w:szCs w:val="24"/>
        </w:rPr>
        <w:lastRenderedPageBreak/>
        <w:t>5.1 Debt-to-Equity and Capital Structure</w:t>
      </w:r>
      <w:r w:rsidR="0017108A" w:rsidRPr="00456405">
        <w:rPr>
          <w:rFonts w:ascii="Cambria" w:hAnsi="Cambria"/>
          <w:b/>
          <w:bCs/>
          <w:sz w:val="24"/>
          <w:szCs w:val="24"/>
        </w:rPr>
        <w:tab/>
      </w:r>
      <w:r w:rsidR="0017108A" w:rsidRPr="00456405">
        <w:rPr>
          <w:rFonts w:ascii="Cambria" w:hAnsi="Cambria"/>
          <w:b/>
          <w:bCs/>
          <w:sz w:val="24"/>
          <w:szCs w:val="24"/>
        </w:rPr>
        <w:br/>
      </w:r>
      <w:r w:rsidR="0017108A" w:rsidRPr="00456405">
        <w:rPr>
          <w:rFonts w:ascii="Cambria" w:hAnsi="Cambria"/>
          <w:sz w:val="24"/>
          <w:szCs w:val="24"/>
        </w:rPr>
        <w:t>Among the five peers, Alibaba and Costco exhibit the lowest leverage risks, with Debt-to-Equity ratios of 0.55x and 0.45x respectively. Alibaba’s capital structure, largely financed by equity, reflects strong cash flow generation and low dependency on external borrowing. Costco maintains a similarly conservative capital structure, despite</w:t>
      </w:r>
      <w:r w:rsidR="00A463D3" w:rsidRPr="00456405">
        <w:rPr>
          <w:rFonts w:ascii="Cambria" w:hAnsi="Cambria"/>
          <w:sz w:val="24"/>
          <w:szCs w:val="24"/>
        </w:rPr>
        <w:t xml:space="preserve"> </w:t>
      </w:r>
      <w:r w:rsidR="0017108A" w:rsidRPr="00456405">
        <w:rPr>
          <w:rFonts w:ascii="Cambria" w:hAnsi="Cambria"/>
          <w:sz w:val="24"/>
          <w:szCs w:val="24"/>
        </w:rPr>
        <w:t xml:space="preserve">aggressive store expansions and capital investments. </w:t>
      </w:r>
      <w:r w:rsidR="00156809" w:rsidRPr="00456405">
        <w:rPr>
          <w:rFonts w:ascii="Cambria" w:hAnsi="Cambria"/>
          <w:sz w:val="24"/>
          <w:szCs w:val="24"/>
        </w:rPr>
        <w:tab/>
      </w:r>
      <w:r w:rsidR="00156809" w:rsidRPr="00456405">
        <w:rPr>
          <w:rFonts w:ascii="Cambria" w:hAnsi="Cambria"/>
          <w:sz w:val="24"/>
          <w:szCs w:val="24"/>
        </w:rPr>
        <w:br/>
      </w:r>
      <w:r w:rsidR="00A64A1B" w:rsidRPr="00456405">
        <w:rPr>
          <w:rFonts w:ascii="Cambria" w:hAnsi="Cambria"/>
          <w:sz w:val="24"/>
          <w:szCs w:val="24"/>
        </w:rPr>
        <w:t>Walmart holds</w:t>
      </w:r>
      <w:r w:rsidR="00156809" w:rsidRPr="00456405">
        <w:rPr>
          <w:rFonts w:ascii="Cambria" w:hAnsi="Cambria"/>
          <w:sz w:val="24"/>
          <w:szCs w:val="24"/>
        </w:rPr>
        <w:t xml:space="preserve"> a ratio of 0.63x, signalling moderate leverage levels, in tandem with industry norms for large scale retailers. They strategically utilise their debt to finance expansions and digital transformation initiatives, while maintaining robust cash flows to ensure prudent debt servicing capabilities. </w:t>
      </w:r>
      <w:r w:rsidR="00A64A1B" w:rsidRPr="00456405">
        <w:rPr>
          <w:rFonts w:ascii="Cambria" w:hAnsi="Cambria"/>
          <w:sz w:val="24"/>
          <w:szCs w:val="24"/>
        </w:rPr>
        <w:tab/>
      </w:r>
      <w:r w:rsidR="00A64A1B" w:rsidRPr="00456405">
        <w:rPr>
          <w:rFonts w:ascii="Cambria" w:hAnsi="Cambria"/>
          <w:sz w:val="24"/>
          <w:szCs w:val="24"/>
        </w:rPr>
        <w:br/>
        <w:t xml:space="preserve">Conversely Carrefour and Magazine Luiza have </w:t>
      </w:r>
      <w:r w:rsidR="00145CF4" w:rsidRPr="00456405">
        <w:rPr>
          <w:rFonts w:ascii="Cambria" w:hAnsi="Cambria"/>
          <w:sz w:val="24"/>
          <w:szCs w:val="24"/>
        </w:rPr>
        <w:t xml:space="preserve">considerable debt exposure with leverage burdens raising concerns about financial sustainability and default risk. </w:t>
      </w:r>
      <w:r w:rsidR="004F012F" w:rsidRPr="00456405">
        <w:rPr>
          <w:rFonts w:ascii="Cambria" w:hAnsi="Cambria"/>
          <w:sz w:val="24"/>
          <w:szCs w:val="24"/>
        </w:rPr>
        <w:t xml:space="preserve">Carrefour’s ratio of 1.65x highlights their extensive reliance on debt financing, a structural issue within European retail markets where profitability remains supressed due to pricing pressures and competitive discounting strategies as witnessed in mature markets. </w:t>
      </w:r>
      <w:r w:rsidR="001B33C9" w:rsidRPr="00456405">
        <w:rPr>
          <w:rFonts w:ascii="Cambria" w:hAnsi="Cambria"/>
          <w:sz w:val="24"/>
          <w:szCs w:val="24"/>
        </w:rPr>
        <w:t>Magazine Luiza’s exposure far exceeds safe thresholds, with 75.7%, driven by heavy borrowing to finance their e-commerce expansion, digital transformation and logistics</w:t>
      </w:r>
      <w:r w:rsidR="001F209D" w:rsidRPr="00456405">
        <w:rPr>
          <w:rFonts w:ascii="Cambria" w:hAnsi="Cambria"/>
          <w:sz w:val="24"/>
          <w:szCs w:val="24"/>
        </w:rPr>
        <w:t xml:space="preserve">. The company’s ability to reduce this debt burden depends on their ability to generate free cash flows, cost-cutting measures and refinancing options, which may prove difficult with impending recessionary pressures in the future. </w:t>
      </w:r>
      <w:r w:rsidR="00681016" w:rsidRPr="00456405">
        <w:rPr>
          <w:rFonts w:ascii="Cambria" w:hAnsi="Cambria"/>
          <w:sz w:val="24"/>
          <w:szCs w:val="24"/>
        </w:rPr>
        <w:t xml:space="preserve">Failure to meet these obligations will lead to increased and unsustainable borrowing costs, strained liquidity and bankruptcy risk. </w:t>
      </w:r>
    </w:p>
    <w:p w14:paraId="194E1ED9" w14:textId="5E1F4203" w:rsidR="00F945BC" w:rsidRPr="00456405" w:rsidRDefault="00CC2938" w:rsidP="0017108A">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mc:AlternateContent>
          <mc:Choice Requires="wps">
            <w:drawing>
              <wp:anchor distT="45720" distB="45720" distL="114300" distR="114300" simplePos="0" relativeHeight="251673600" behindDoc="0" locked="0" layoutInCell="1" allowOverlap="1" wp14:anchorId="4943E88A" wp14:editId="1A173147">
                <wp:simplePos x="0" y="0"/>
                <wp:positionH relativeFrom="margin">
                  <wp:posOffset>-99060</wp:posOffset>
                </wp:positionH>
                <wp:positionV relativeFrom="paragraph">
                  <wp:posOffset>270510</wp:posOffset>
                </wp:positionV>
                <wp:extent cx="6416040" cy="4008120"/>
                <wp:effectExtent l="0" t="0" r="0" b="0"/>
                <wp:wrapSquare wrapText="bothSides"/>
                <wp:docPr id="201929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008120"/>
                        </a:xfrm>
                        <a:prstGeom prst="rect">
                          <a:avLst/>
                        </a:prstGeom>
                        <a:noFill/>
                        <a:ln w="9525">
                          <a:noFill/>
                          <a:miter lim="800000"/>
                          <a:headEnd/>
                          <a:tailEnd/>
                        </a:ln>
                      </wps:spPr>
                      <wps:txbx>
                        <w:txbxContent>
                          <w:tbl>
                            <w:tblPr>
                              <w:tblStyle w:val="TableGrid"/>
                              <w:tblW w:w="9815" w:type="dxa"/>
                              <w:tblInd w:w="-5" w:type="dxa"/>
                              <w:tblLook w:val="04A0" w:firstRow="1" w:lastRow="0" w:firstColumn="1" w:lastColumn="0" w:noHBand="0" w:noVBand="1"/>
                            </w:tblPr>
                            <w:tblGrid>
                              <w:gridCol w:w="1588"/>
                              <w:gridCol w:w="2742"/>
                              <w:gridCol w:w="2743"/>
                              <w:gridCol w:w="2742"/>
                            </w:tblGrid>
                            <w:tr w:rsidR="00D253D1" w14:paraId="1EA44657" w14:textId="77777777" w:rsidTr="007967B8">
                              <w:trPr>
                                <w:trHeight w:val="475"/>
                              </w:trPr>
                              <w:tc>
                                <w:tcPr>
                                  <w:tcW w:w="1588" w:type="dxa"/>
                                </w:tcPr>
                                <w:p w14:paraId="53C6C94F" w14:textId="1070D837" w:rsidR="00CC2938" w:rsidRPr="00CC2938" w:rsidRDefault="00CC2938">
                                  <w:pPr>
                                    <w:rPr>
                                      <w:b/>
                                      <w:bCs/>
                                    </w:rPr>
                                  </w:pPr>
                                  <w:r>
                                    <w:rPr>
                                      <w:b/>
                                      <w:bCs/>
                                    </w:rPr>
                                    <w:t>Company</w:t>
                                  </w:r>
                                </w:p>
                              </w:tc>
                              <w:tc>
                                <w:tcPr>
                                  <w:tcW w:w="2742" w:type="dxa"/>
                                </w:tcPr>
                                <w:p w14:paraId="0C25C6ED" w14:textId="29F8B40F" w:rsidR="00CC2938" w:rsidRPr="00CC2938" w:rsidRDefault="00CC2938">
                                  <w:pPr>
                                    <w:rPr>
                                      <w:b/>
                                      <w:bCs/>
                                    </w:rPr>
                                  </w:pPr>
                                  <w:r>
                                    <w:rPr>
                                      <w:b/>
                                      <w:bCs/>
                                    </w:rPr>
                                    <w:t>Credit Rating</w:t>
                                  </w:r>
                                </w:p>
                              </w:tc>
                              <w:tc>
                                <w:tcPr>
                                  <w:tcW w:w="2743" w:type="dxa"/>
                                </w:tcPr>
                                <w:p w14:paraId="204D22CE" w14:textId="1949DAAB" w:rsidR="00CC2938" w:rsidRPr="00CC2938" w:rsidRDefault="00CC2938">
                                  <w:pPr>
                                    <w:rPr>
                                      <w:b/>
                                      <w:bCs/>
                                    </w:rPr>
                                  </w:pPr>
                                  <w:r>
                                    <w:rPr>
                                      <w:b/>
                                      <w:bCs/>
                                    </w:rPr>
                                    <w:t>Market Perception</w:t>
                                  </w:r>
                                </w:p>
                              </w:tc>
                              <w:tc>
                                <w:tcPr>
                                  <w:tcW w:w="2742" w:type="dxa"/>
                                </w:tcPr>
                                <w:p w14:paraId="4A3CEEDC" w14:textId="6577A7E1" w:rsidR="00CC2938" w:rsidRPr="00CC2938" w:rsidRDefault="00CC2938">
                                  <w:pPr>
                                    <w:rPr>
                                      <w:b/>
                                      <w:bCs/>
                                    </w:rPr>
                                  </w:pPr>
                                  <w:r>
                                    <w:rPr>
                                      <w:b/>
                                      <w:bCs/>
                                    </w:rPr>
                                    <w:t>Credit Risk Assessment</w:t>
                                  </w:r>
                                </w:p>
                              </w:tc>
                            </w:tr>
                            <w:tr w:rsidR="00D253D1" w14:paraId="4A18A14F" w14:textId="77777777" w:rsidTr="007967B8">
                              <w:trPr>
                                <w:trHeight w:val="453"/>
                              </w:trPr>
                              <w:tc>
                                <w:tcPr>
                                  <w:tcW w:w="1588" w:type="dxa"/>
                                </w:tcPr>
                                <w:p w14:paraId="1F2B37F9" w14:textId="07B28E9C" w:rsidR="00CC2938" w:rsidRPr="00D4712F" w:rsidRDefault="00CC2938">
                                  <w:pPr>
                                    <w:rPr>
                                      <w:b/>
                                      <w:bCs/>
                                    </w:rPr>
                                  </w:pPr>
                                  <w:r w:rsidRPr="00D4712F">
                                    <w:rPr>
                                      <w:b/>
                                      <w:bCs/>
                                    </w:rPr>
                                    <w:t>Walmart</w:t>
                                  </w:r>
                                  <w:r w:rsidRPr="00D4712F">
                                    <w:rPr>
                                      <w:b/>
                                      <w:bCs/>
                                    </w:rPr>
                                    <w:tab/>
                                  </w:r>
                                </w:p>
                              </w:tc>
                              <w:tc>
                                <w:tcPr>
                                  <w:tcW w:w="2742" w:type="dxa"/>
                                </w:tcPr>
                                <w:p w14:paraId="580F000E" w14:textId="252C449F" w:rsidR="00CC2938" w:rsidRDefault="00CC2938">
                                  <w:r w:rsidRPr="00CC2938">
                                    <w:t>AA (S&amp;P), Aa2 (Moody's)</w:t>
                                  </w:r>
                                </w:p>
                              </w:tc>
                              <w:tc>
                                <w:tcPr>
                                  <w:tcW w:w="2743" w:type="dxa"/>
                                </w:tcPr>
                                <w:p w14:paraId="5282068E" w14:textId="4F319C71" w:rsidR="00CC2938" w:rsidRDefault="00CC2938">
                                  <w:r w:rsidRPr="00CC2938">
                                    <w:t xml:space="preserve">High investor </w:t>
                                  </w:r>
                                  <w:r w:rsidRPr="00CC2938">
                                    <w:t xml:space="preserve">confidence; bonds trade at </w:t>
                                  </w:r>
                                  <w:r w:rsidR="00D253D1" w:rsidRPr="00CC2938">
                                    <w:t>favourable</w:t>
                                  </w:r>
                                  <w:r w:rsidRPr="00CC2938">
                                    <w:t xml:space="preserve"> yields</w:t>
                                  </w:r>
                                </w:p>
                              </w:tc>
                              <w:tc>
                                <w:tcPr>
                                  <w:tcW w:w="2742" w:type="dxa"/>
                                </w:tcPr>
                                <w:p w14:paraId="61425DE2" w14:textId="4BE7BCD6" w:rsidR="00CC2938" w:rsidRDefault="00CC2938">
                                  <w:r w:rsidRPr="00CC2938">
                                    <w:t>Very low credit risk; strong global presence and cash flow.</w:t>
                                  </w:r>
                                </w:p>
                              </w:tc>
                            </w:tr>
                            <w:tr w:rsidR="00D253D1" w14:paraId="761B37B3" w14:textId="77777777" w:rsidTr="007967B8">
                              <w:trPr>
                                <w:trHeight w:val="453"/>
                              </w:trPr>
                              <w:tc>
                                <w:tcPr>
                                  <w:tcW w:w="1588" w:type="dxa"/>
                                </w:tcPr>
                                <w:p w14:paraId="2DF1375B" w14:textId="2885AFE5" w:rsidR="00CC2938" w:rsidRPr="00D4712F" w:rsidRDefault="00CC2938">
                                  <w:pPr>
                                    <w:rPr>
                                      <w:b/>
                                      <w:bCs/>
                                    </w:rPr>
                                  </w:pPr>
                                  <w:r w:rsidRPr="00D4712F">
                                    <w:rPr>
                                      <w:b/>
                                      <w:bCs/>
                                    </w:rPr>
                                    <w:t>Costco</w:t>
                                  </w:r>
                                </w:p>
                              </w:tc>
                              <w:tc>
                                <w:tcPr>
                                  <w:tcW w:w="2742" w:type="dxa"/>
                                </w:tcPr>
                                <w:p w14:paraId="19E567DE" w14:textId="78E086D6" w:rsidR="00CC2938" w:rsidRDefault="00CC2938">
                                  <w:r w:rsidRPr="00CC2938">
                                    <w:t>A+ (S&amp;P), A1 (Moody's)</w:t>
                                  </w:r>
                                </w:p>
                              </w:tc>
                              <w:tc>
                                <w:tcPr>
                                  <w:tcW w:w="2743" w:type="dxa"/>
                                </w:tcPr>
                                <w:p w14:paraId="10CE5FE8" w14:textId="2280E43C" w:rsidR="00CC2938" w:rsidRDefault="00CC2938">
                                  <w:r w:rsidRPr="00CC2938">
                                    <w:t>Positive investor sentiment; stable bond yields.</w:t>
                                  </w:r>
                                </w:p>
                              </w:tc>
                              <w:tc>
                                <w:tcPr>
                                  <w:tcW w:w="2742" w:type="dxa"/>
                                </w:tcPr>
                                <w:p w14:paraId="5841F9DB" w14:textId="792300FC" w:rsidR="00CC2938" w:rsidRDefault="00CC2938">
                                  <w:r w:rsidRPr="00CC2938">
                                    <w:t>Low credit risk; consistent performance and financial stability.</w:t>
                                  </w:r>
                                </w:p>
                              </w:tc>
                            </w:tr>
                            <w:tr w:rsidR="00CC2938" w14:paraId="4144CC05" w14:textId="77777777" w:rsidTr="007967B8">
                              <w:trPr>
                                <w:trHeight w:val="453"/>
                              </w:trPr>
                              <w:tc>
                                <w:tcPr>
                                  <w:tcW w:w="1588" w:type="dxa"/>
                                </w:tcPr>
                                <w:p w14:paraId="322B8442" w14:textId="7509489F" w:rsidR="00CC2938" w:rsidRPr="00D4712F" w:rsidRDefault="00CC2938">
                                  <w:pPr>
                                    <w:rPr>
                                      <w:b/>
                                      <w:bCs/>
                                    </w:rPr>
                                  </w:pPr>
                                  <w:r w:rsidRPr="00D4712F">
                                    <w:rPr>
                                      <w:b/>
                                      <w:bCs/>
                                    </w:rPr>
                                    <w:t>Alibaba</w:t>
                                  </w:r>
                                </w:p>
                              </w:tc>
                              <w:tc>
                                <w:tcPr>
                                  <w:tcW w:w="2742" w:type="dxa"/>
                                </w:tcPr>
                                <w:p w14:paraId="4A7D9FD5" w14:textId="628E1204" w:rsidR="00CC2938" w:rsidRDefault="00CC2938">
                                  <w:r w:rsidRPr="00CC2938">
                                    <w:t>A+ (S&amp;P), A1 (Moody's)</w:t>
                                  </w:r>
                                </w:p>
                              </w:tc>
                              <w:tc>
                                <w:tcPr>
                                  <w:tcW w:w="2743" w:type="dxa"/>
                                </w:tcPr>
                                <w:p w14:paraId="50698FA3" w14:textId="0A7DF95A" w:rsidR="00CC2938" w:rsidRDefault="00CC2938">
                                  <w:r w:rsidRPr="00CC2938">
                                    <w:t>Strong investor confidence; bonds trade at lower yields.</w:t>
                                  </w:r>
                                </w:p>
                              </w:tc>
                              <w:tc>
                                <w:tcPr>
                                  <w:tcW w:w="2742" w:type="dxa"/>
                                </w:tcPr>
                                <w:p w14:paraId="7CB83135" w14:textId="5FE93464" w:rsidR="00CC2938" w:rsidRDefault="00CC2938">
                                  <w:r w:rsidRPr="00CC2938">
                                    <w:t>Low credit risk; robust cash flow and market position.</w:t>
                                  </w:r>
                                </w:p>
                              </w:tc>
                            </w:tr>
                            <w:tr w:rsidR="00D253D1" w14:paraId="031F738B" w14:textId="77777777" w:rsidTr="007967B8">
                              <w:trPr>
                                <w:trHeight w:val="453"/>
                              </w:trPr>
                              <w:tc>
                                <w:tcPr>
                                  <w:tcW w:w="1588" w:type="dxa"/>
                                </w:tcPr>
                                <w:p w14:paraId="0D34B282" w14:textId="17B15A09" w:rsidR="00CC2938" w:rsidRPr="00D4712F" w:rsidRDefault="00CC2938">
                                  <w:pPr>
                                    <w:rPr>
                                      <w:b/>
                                      <w:bCs/>
                                    </w:rPr>
                                  </w:pPr>
                                  <w:r w:rsidRPr="00D4712F">
                                    <w:rPr>
                                      <w:b/>
                                      <w:bCs/>
                                    </w:rPr>
                                    <w:t>Carrefour</w:t>
                                  </w:r>
                                </w:p>
                              </w:tc>
                              <w:tc>
                                <w:tcPr>
                                  <w:tcW w:w="2742" w:type="dxa"/>
                                </w:tcPr>
                                <w:p w14:paraId="39B0EF08" w14:textId="72902642" w:rsidR="00CC2938" w:rsidRDefault="00CC2938">
                                  <w:r w:rsidRPr="00CC2938">
                                    <w:t>BBB (S&amp;P), Baa</w:t>
                                  </w:r>
                                  <w:r w:rsidR="000E2C26">
                                    <w:t>1</w:t>
                                  </w:r>
                                  <w:r w:rsidRPr="00CC2938">
                                    <w:t xml:space="preserve"> (Moody's)</w:t>
                                  </w:r>
                                </w:p>
                              </w:tc>
                              <w:tc>
                                <w:tcPr>
                                  <w:tcW w:w="2743" w:type="dxa"/>
                                </w:tcPr>
                                <w:p w14:paraId="53CEDC86" w14:textId="491E1BDD" w:rsidR="00CC2938" w:rsidRDefault="00CC2938">
                                  <w:r w:rsidRPr="00CC2938">
                                    <w:t>Moderate investor caution; wider credit spreads.</w:t>
                                  </w:r>
                                </w:p>
                              </w:tc>
                              <w:tc>
                                <w:tcPr>
                                  <w:tcW w:w="2742" w:type="dxa"/>
                                </w:tcPr>
                                <w:p w14:paraId="41EED99F" w14:textId="15D00BDE" w:rsidR="00CC2938" w:rsidRDefault="00CC2938">
                                  <w:r w:rsidRPr="00CC2938">
                                    <w:t>Moderate credit risk; challenges in operational efficiency and market competition.</w:t>
                                  </w:r>
                                </w:p>
                              </w:tc>
                            </w:tr>
                            <w:tr w:rsidR="00D253D1" w14:paraId="2A4369D1" w14:textId="77777777" w:rsidTr="007967B8">
                              <w:trPr>
                                <w:trHeight w:val="475"/>
                              </w:trPr>
                              <w:tc>
                                <w:tcPr>
                                  <w:tcW w:w="1588" w:type="dxa"/>
                                </w:tcPr>
                                <w:p w14:paraId="68A0599C" w14:textId="76CBA9CA" w:rsidR="00CC2938" w:rsidRDefault="00CC2938">
                                  <w:r w:rsidRPr="00D4712F">
                                    <w:rPr>
                                      <w:b/>
                                      <w:bCs/>
                                    </w:rPr>
                                    <w:t>Magazine</w:t>
                                  </w:r>
                                  <w:r w:rsidRPr="00CC2938">
                                    <w:t xml:space="preserve"> </w:t>
                                  </w:r>
                                  <w:r w:rsidRPr="00D4712F">
                                    <w:rPr>
                                      <w:b/>
                                      <w:bCs/>
                                    </w:rPr>
                                    <w:t>Luiza</w:t>
                                  </w:r>
                                </w:p>
                              </w:tc>
                              <w:tc>
                                <w:tcPr>
                                  <w:tcW w:w="2742" w:type="dxa"/>
                                </w:tcPr>
                                <w:p w14:paraId="6A9AA5C4" w14:textId="657692DF" w:rsidR="00CC2938" w:rsidRDefault="00CC2938">
                                  <w:r w:rsidRPr="00CC2938">
                                    <w:t>BB- (</w:t>
                                  </w:r>
                                  <w:r w:rsidR="000E2C26">
                                    <w:t>Fitch</w:t>
                                  </w:r>
                                  <w:r w:rsidRPr="00CC2938">
                                    <w:t>), Ba3(Moody's)</w:t>
                                  </w:r>
                                </w:p>
                              </w:tc>
                              <w:tc>
                                <w:tcPr>
                                  <w:tcW w:w="2743" w:type="dxa"/>
                                </w:tcPr>
                                <w:p w14:paraId="49D636DB" w14:textId="7E34BA6F" w:rsidR="00CC2938" w:rsidRDefault="00CC2938">
                                  <w:r w:rsidRPr="00CC2938">
                                    <w:t>Higher perceived risk; bonds trade at higher yields.</w:t>
                                  </w:r>
                                </w:p>
                              </w:tc>
                              <w:tc>
                                <w:tcPr>
                                  <w:tcW w:w="2742" w:type="dxa"/>
                                </w:tcPr>
                                <w:p w14:paraId="3A03438E" w14:textId="2FBB3E97" w:rsidR="00CC2938" w:rsidRDefault="00CC2938">
                                  <w:r w:rsidRPr="00CC2938">
                                    <w:t>High credit risk; exposure to economic fluctuations and reliance on external financing.</w:t>
                                  </w:r>
                                </w:p>
                              </w:tc>
                            </w:tr>
                          </w:tbl>
                          <w:p w14:paraId="0FF4E165" w14:textId="36415F1E" w:rsidR="00EB5865" w:rsidRPr="007967B8" w:rsidRDefault="00241CBE" w:rsidP="007967B8">
                            <w:pPr>
                              <w:jc w:val="both"/>
                              <w:rPr>
                                <w:rFonts w:ascii="Cambria" w:hAnsi="Cambria"/>
                                <w:i/>
                                <w:iCs/>
                                <w:sz w:val="20"/>
                                <w:szCs w:val="20"/>
                              </w:rPr>
                            </w:pPr>
                            <w:r>
                              <w:br/>
                            </w:r>
                            <w:r w:rsidR="007967B8" w:rsidRPr="007967B8">
                              <w:rPr>
                                <w:rFonts w:ascii="Cambria" w:hAnsi="Cambria"/>
                                <w:b/>
                                <w:bCs/>
                                <w:i/>
                                <w:iCs/>
                                <w:sz w:val="20"/>
                                <w:szCs w:val="20"/>
                              </w:rPr>
                              <w:t>Table 4</w:t>
                            </w:r>
                            <w:r w:rsidR="007967B8" w:rsidRPr="007967B8">
                              <w:rPr>
                                <w:rFonts w:ascii="Cambria" w:hAnsi="Cambria"/>
                                <w:i/>
                                <w:iCs/>
                                <w:sz w:val="20"/>
                                <w:szCs w:val="20"/>
                              </w:rPr>
                              <w:t>: Market Perception and Credit Risk – This table provides an overview of the credit ratings, market    perception, and credit risk assessments for five major retailers, highlighting their relative creditworthiness, investor confidence, and risk exposure.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E88A" id="_x0000_s1029" type="#_x0000_t202" style="position:absolute;left:0;text-align:left;margin-left:-7.8pt;margin-top:21.3pt;width:505.2pt;height:315.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" filled="f" stroked="f">
                <v:textbox>
                  <w:txbxContent>
                    <w:tbl>
                      <w:tblPr>
                        <w:tblStyle w:val="TableGrid"/>
                        <w:tblW w:w="9815" w:type="dxa"/>
                        <w:tblInd w:w="-5" w:type="dxa"/>
                        <w:tblLook w:val="04A0" w:firstRow="1" w:lastRow="0" w:firstColumn="1" w:lastColumn="0" w:noHBand="0" w:noVBand="1"/>
                      </w:tblPr>
                      <w:tblGrid>
                        <w:gridCol w:w="1588"/>
                        <w:gridCol w:w="2742"/>
                        <w:gridCol w:w="2743"/>
                        <w:gridCol w:w="2742"/>
                      </w:tblGrid>
                      <w:tr w:rsidR="00D253D1" w14:paraId="1EA44657" w14:textId="77777777" w:rsidTr="007967B8">
                        <w:trPr>
                          <w:trHeight w:val="475"/>
                        </w:trPr>
                        <w:tc>
                          <w:tcPr>
                            <w:tcW w:w="1588" w:type="dxa"/>
                          </w:tcPr>
                          <w:p w14:paraId="53C6C94F" w14:textId="1070D837" w:rsidR="00CC2938" w:rsidRPr="00CC2938" w:rsidRDefault="00CC2938">
                            <w:pPr>
                              <w:rPr>
                                <w:b/>
                                <w:bCs/>
                              </w:rPr>
                            </w:pPr>
                            <w:r>
                              <w:rPr>
                                <w:b/>
                                <w:bCs/>
                              </w:rPr>
                              <w:t>Company</w:t>
                            </w:r>
                          </w:p>
                        </w:tc>
                        <w:tc>
                          <w:tcPr>
                            <w:tcW w:w="2742" w:type="dxa"/>
                          </w:tcPr>
                          <w:p w14:paraId="0C25C6ED" w14:textId="29F8B40F" w:rsidR="00CC2938" w:rsidRPr="00CC2938" w:rsidRDefault="00CC2938">
                            <w:pPr>
                              <w:rPr>
                                <w:b/>
                                <w:bCs/>
                              </w:rPr>
                            </w:pPr>
                            <w:r>
                              <w:rPr>
                                <w:b/>
                                <w:bCs/>
                              </w:rPr>
                              <w:t>Credit Rating</w:t>
                            </w:r>
                          </w:p>
                        </w:tc>
                        <w:tc>
                          <w:tcPr>
                            <w:tcW w:w="2743" w:type="dxa"/>
                          </w:tcPr>
                          <w:p w14:paraId="204D22CE" w14:textId="1949DAAB" w:rsidR="00CC2938" w:rsidRPr="00CC2938" w:rsidRDefault="00CC2938">
                            <w:pPr>
                              <w:rPr>
                                <w:b/>
                                <w:bCs/>
                              </w:rPr>
                            </w:pPr>
                            <w:r>
                              <w:rPr>
                                <w:b/>
                                <w:bCs/>
                              </w:rPr>
                              <w:t>Market Perception</w:t>
                            </w:r>
                          </w:p>
                        </w:tc>
                        <w:tc>
                          <w:tcPr>
                            <w:tcW w:w="2742" w:type="dxa"/>
                          </w:tcPr>
                          <w:p w14:paraId="4A3CEEDC" w14:textId="6577A7E1" w:rsidR="00CC2938" w:rsidRPr="00CC2938" w:rsidRDefault="00CC2938">
                            <w:pPr>
                              <w:rPr>
                                <w:b/>
                                <w:bCs/>
                              </w:rPr>
                            </w:pPr>
                            <w:r>
                              <w:rPr>
                                <w:b/>
                                <w:bCs/>
                              </w:rPr>
                              <w:t>Credit Risk Assessment</w:t>
                            </w:r>
                          </w:p>
                        </w:tc>
                      </w:tr>
                      <w:tr w:rsidR="00D253D1" w14:paraId="4A18A14F" w14:textId="77777777" w:rsidTr="007967B8">
                        <w:trPr>
                          <w:trHeight w:val="453"/>
                        </w:trPr>
                        <w:tc>
                          <w:tcPr>
                            <w:tcW w:w="1588" w:type="dxa"/>
                          </w:tcPr>
                          <w:p w14:paraId="1F2B37F9" w14:textId="07B28E9C" w:rsidR="00CC2938" w:rsidRPr="00D4712F" w:rsidRDefault="00CC2938">
                            <w:pPr>
                              <w:rPr>
                                <w:b/>
                                <w:bCs/>
                              </w:rPr>
                            </w:pPr>
                            <w:r w:rsidRPr="00D4712F">
                              <w:rPr>
                                <w:b/>
                                <w:bCs/>
                              </w:rPr>
                              <w:t>Walmart</w:t>
                            </w:r>
                            <w:r w:rsidRPr="00D4712F">
                              <w:rPr>
                                <w:b/>
                                <w:bCs/>
                              </w:rPr>
                              <w:tab/>
                            </w:r>
                          </w:p>
                        </w:tc>
                        <w:tc>
                          <w:tcPr>
                            <w:tcW w:w="2742" w:type="dxa"/>
                          </w:tcPr>
                          <w:p w14:paraId="580F000E" w14:textId="252C449F" w:rsidR="00CC2938" w:rsidRDefault="00CC2938">
                            <w:r w:rsidRPr="00CC2938">
                              <w:t>AA (S&amp;P), Aa2 (Moody's)</w:t>
                            </w:r>
                          </w:p>
                        </w:tc>
                        <w:tc>
                          <w:tcPr>
                            <w:tcW w:w="2743" w:type="dxa"/>
                          </w:tcPr>
                          <w:p w14:paraId="5282068E" w14:textId="4F319C71" w:rsidR="00CC2938" w:rsidRDefault="00CC2938">
                            <w:r w:rsidRPr="00CC2938">
                              <w:t xml:space="preserve">High investor </w:t>
                            </w:r>
                            <w:r w:rsidRPr="00CC2938">
                              <w:t xml:space="preserve">confidence; bonds trade at </w:t>
                            </w:r>
                            <w:r w:rsidR="00D253D1" w:rsidRPr="00CC2938">
                              <w:t>favourable</w:t>
                            </w:r>
                            <w:r w:rsidRPr="00CC2938">
                              <w:t xml:space="preserve"> yields</w:t>
                            </w:r>
                          </w:p>
                        </w:tc>
                        <w:tc>
                          <w:tcPr>
                            <w:tcW w:w="2742" w:type="dxa"/>
                          </w:tcPr>
                          <w:p w14:paraId="61425DE2" w14:textId="4BE7BCD6" w:rsidR="00CC2938" w:rsidRDefault="00CC2938">
                            <w:r w:rsidRPr="00CC2938">
                              <w:t>Very low credit risk; strong global presence and cash flow.</w:t>
                            </w:r>
                          </w:p>
                        </w:tc>
                      </w:tr>
                      <w:tr w:rsidR="00D253D1" w14:paraId="761B37B3" w14:textId="77777777" w:rsidTr="007967B8">
                        <w:trPr>
                          <w:trHeight w:val="453"/>
                        </w:trPr>
                        <w:tc>
                          <w:tcPr>
                            <w:tcW w:w="1588" w:type="dxa"/>
                          </w:tcPr>
                          <w:p w14:paraId="2DF1375B" w14:textId="2885AFE5" w:rsidR="00CC2938" w:rsidRPr="00D4712F" w:rsidRDefault="00CC2938">
                            <w:pPr>
                              <w:rPr>
                                <w:b/>
                                <w:bCs/>
                              </w:rPr>
                            </w:pPr>
                            <w:r w:rsidRPr="00D4712F">
                              <w:rPr>
                                <w:b/>
                                <w:bCs/>
                              </w:rPr>
                              <w:t>Costco</w:t>
                            </w:r>
                          </w:p>
                        </w:tc>
                        <w:tc>
                          <w:tcPr>
                            <w:tcW w:w="2742" w:type="dxa"/>
                          </w:tcPr>
                          <w:p w14:paraId="19E567DE" w14:textId="78E086D6" w:rsidR="00CC2938" w:rsidRDefault="00CC2938">
                            <w:r w:rsidRPr="00CC2938">
                              <w:t>A+ (S&amp;P), A1 (Moody's)</w:t>
                            </w:r>
                          </w:p>
                        </w:tc>
                        <w:tc>
                          <w:tcPr>
                            <w:tcW w:w="2743" w:type="dxa"/>
                          </w:tcPr>
                          <w:p w14:paraId="10CE5FE8" w14:textId="2280E43C" w:rsidR="00CC2938" w:rsidRDefault="00CC2938">
                            <w:r w:rsidRPr="00CC2938">
                              <w:t>Positive investor sentiment; stable bond yields.</w:t>
                            </w:r>
                          </w:p>
                        </w:tc>
                        <w:tc>
                          <w:tcPr>
                            <w:tcW w:w="2742" w:type="dxa"/>
                          </w:tcPr>
                          <w:p w14:paraId="5841F9DB" w14:textId="792300FC" w:rsidR="00CC2938" w:rsidRDefault="00CC2938">
                            <w:r w:rsidRPr="00CC2938">
                              <w:t>Low credit risk; consistent performance and financial stability.</w:t>
                            </w:r>
                          </w:p>
                        </w:tc>
                      </w:tr>
                      <w:tr w:rsidR="00CC2938" w14:paraId="4144CC05" w14:textId="77777777" w:rsidTr="007967B8">
                        <w:trPr>
                          <w:trHeight w:val="453"/>
                        </w:trPr>
                        <w:tc>
                          <w:tcPr>
                            <w:tcW w:w="1588" w:type="dxa"/>
                          </w:tcPr>
                          <w:p w14:paraId="322B8442" w14:textId="7509489F" w:rsidR="00CC2938" w:rsidRPr="00D4712F" w:rsidRDefault="00CC2938">
                            <w:pPr>
                              <w:rPr>
                                <w:b/>
                                <w:bCs/>
                              </w:rPr>
                            </w:pPr>
                            <w:r w:rsidRPr="00D4712F">
                              <w:rPr>
                                <w:b/>
                                <w:bCs/>
                              </w:rPr>
                              <w:t>Alibaba</w:t>
                            </w:r>
                          </w:p>
                        </w:tc>
                        <w:tc>
                          <w:tcPr>
                            <w:tcW w:w="2742" w:type="dxa"/>
                          </w:tcPr>
                          <w:p w14:paraId="4A7D9FD5" w14:textId="628E1204" w:rsidR="00CC2938" w:rsidRDefault="00CC2938">
                            <w:r w:rsidRPr="00CC2938">
                              <w:t>A+ (S&amp;P), A1 (Moody's)</w:t>
                            </w:r>
                          </w:p>
                        </w:tc>
                        <w:tc>
                          <w:tcPr>
                            <w:tcW w:w="2743" w:type="dxa"/>
                          </w:tcPr>
                          <w:p w14:paraId="50698FA3" w14:textId="0A7DF95A" w:rsidR="00CC2938" w:rsidRDefault="00CC2938">
                            <w:r w:rsidRPr="00CC2938">
                              <w:t>Strong investor confidence; bonds trade at lower yields.</w:t>
                            </w:r>
                          </w:p>
                        </w:tc>
                        <w:tc>
                          <w:tcPr>
                            <w:tcW w:w="2742" w:type="dxa"/>
                          </w:tcPr>
                          <w:p w14:paraId="7CB83135" w14:textId="5FE93464" w:rsidR="00CC2938" w:rsidRDefault="00CC2938">
                            <w:r w:rsidRPr="00CC2938">
                              <w:t>Low credit risk; robust cash flow and market position.</w:t>
                            </w:r>
                          </w:p>
                        </w:tc>
                      </w:tr>
                      <w:tr w:rsidR="00D253D1" w14:paraId="031F738B" w14:textId="77777777" w:rsidTr="007967B8">
                        <w:trPr>
                          <w:trHeight w:val="453"/>
                        </w:trPr>
                        <w:tc>
                          <w:tcPr>
                            <w:tcW w:w="1588" w:type="dxa"/>
                          </w:tcPr>
                          <w:p w14:paraId="0D34B282" w14:textId="17B15A09" w:rsidR="00CC2938" w:rsidRPr="00D4712F" w:rsidRDefault="00CC2938">
                            <w:pPr>
                              <w:rPr>
                                <w:b/>
                                <w:bCs/>
                              </w:rPr>
                            </w:pPr>
                            <w:r w:rsidRPr="00D4712F">
                              <w:rPr>
                                <w:b/>
                                <w:bCs/>
                              </w:rPr>
                              <w:t>Carrefour</w:t>
                            </w:r>
                          </w:p>
                        </w:tc>
                        <w:tc>
                          <w:tcPr>
                            <w:tcW w:w="2742" w:type="dxa"/>
                          </w:tcPr>
                          <w:p w14:paraId="39B0EF08" w14:textId="72902642" w:rsidR="00CC2938" w:rsidRDefault="00CC2938">
                            <w:r w:rsidRPr="00CC2938">
                              <w:t>BBB (S&amp;P), Baa</w:t>
                            </w:r>
                            <w:r w:rsidR="000E2C26">
                              <w:t>1</w:t>
                            </w:r>
                            <w:r w:rsidRPr="00CC2938">
                              <w:t xml:space="preserve"> (Moody's)</w:t>
                            </w:r>
                          </w:p>
                        </w:tc>
                        <w:tc>
                          <w:tcPr>
                            <w:tcW w:w="2743" w:type="dxa"/>
                          </w:tcPr>
                          <w:p w14:paraId="53CEDC86" w14:textId="491E1BDD" w:rsidR="00CC2938" w:rsidRDefault="00CC2938">
                            <w:r w:rsidRPr="00CC2938">
                              <w:t>Moderate investor caution; wider credit spreads.</w:t>
                            </w:r>
                          </w:p>
                        </w:tc>
                        <w:tc>
                          <w:tcPr>
                            <w:tcW w:w="2742" w:type="dxa"/>
                          </w:tcPr>
                          <w:p w14:paraId="41EED99F" w14:textId="15D00BDE" w:rsidR="00CC2938" w:rsidRDefault="00CC2938">
                            <w:r w:rsidRPr="00CC2938">
                              <w:t>Moderate credit risk; challenges in operational efficiency and market competition.</w:t>
                            </w:r>
                          </w:p>
                        </w:tc>
                      </w:tr>
                      <w:tr w:rsidR="00D253D1" w14:paraId="2A4369D1" w14:textId="77777777" w:rsidTr="007967B8">
                        <w:trPr>
                          <w:trHeight w:val="475"/>
                        </w:trPr>
                        <w:tc>
                          <w:tcPr>
                            <w:tcW w:w="1588" w:type="dxa"/>
                          </w:tcPr>
                          <w:p w14:paraId="68A0599C" w14:textId="76CBA9CA" w:rsidR="00CC2938" w:rsidRDefault="00CC2938">
                            <w:r w:rsidRPr="00D4712F">
                              <w:rPr>
                                <w:b/>
                                <w:bCs/>
                              </w:rPr>
                              <w:t>Magazine</w:t>
                            </w:r>
                            <w:r w:rsidRPr="00CC2938">
                              <w:t xml:space="preserve"> </w:t>
                            </w:r>
                            <w:r w:rsidRPr="00D4712F">
                              <w:rPr>
                                <w:b/>
                                <w:bCs/>
                              </w:rPr>
                              <w:t>Luiza</w:t>
                            </w:r>
                          </w:p>
                        </w:tc>
                        <w:tc>
                          <w:tcPr>
                            <w:tcW w:w="2742" w:type="dxa"/>
                          </w:tcPr>
                          <w:p w14:paraId="6A9AA5C4" w14:textId="657692DF" w:rsidR="00CC2938" w:rsidRDefault="00CC2938">
                            <w:r w:rsidRPr="00CC2938">
                              <w:t>BB- (</w:t>
                            </w:r>
                            <w:r w:rsidR="000E2C26">
                              <w:t>Fitch</w:t>
                            </w:r>
                            <w:r w:rsidRPr="00CC2938">
                              <w:t>), Ba3(Moody's)</w:t>
                            </w:r>
                          </w:p>
                        </w:tc>
                        <w:tc>
                          <w:tcPr>
                            <w:tcW w:w="2743" w:type="dxa"/>
                          </w:tcPr>
                          <w:p w14:paraId="49D636DB" w14:textId="7E34BA6F" w:rsidR="00CC2938" w:rsidRDefault="00CC2938">
                            <w:r w:rsidRPr="00CC2938">
                              <w:t>Higher perceived risk; bonds trade at higher yields.</w:t>
                            </w:r>
                          </w:p>
                        </w:tc>
                        <w:tc>
                          <w:tcPr>
                            <w:tcW w:w="2742" w:type="dxa"/>
                          </w:tcPr>
                          <w:p w14:paraId="3A03438E" w14:textId="2FBB3E97" w:rsidR="00CC2938" w:rsidRDefault="00CC2938">
                            <w:r w:rsidRPr="00CC2938">
                              <w:t>High credit risk; exposure to economic fluctuations and reliance on external financing.</w:t>
                            </w:r>
                          </w:p>
                        </w:tc>
                      </w:tr>
                    </w:tbl>
                    <w:p w14:paraId="0FF4E165" w14:textId="36415F1E" w:rsidR="00EB5865" w:rsidRPr="007967B8" w:rsidRDefault="00241CBE" w:rsidP="007967B8">
                      <w:pPr>
                        <w:jc w:val="both"/>
                        <w:rPr>
                          <w:rFonts w:ascii="Cambria" w:hAnsi="Cambria"/>
                          <w:i/>
                          <w:iCs/>
                          <w:sz w:val="20"/>
                          <w:szCs w:val="20"/>
                        </w:rPr>
                      </w:pPr>
                      <w:r>
                        <w:br/>
                      </w:r>
                      <w:r w:rsidR="007967B8" w:rsidRPr="007967B8">
                        <w:rPr>
                          <w:rFonts w:ascii="Cambria" w:hAnsi="Cambria"/>
                          <w:b/>
                          <w:bCs/>
                          <w:i/>
                          <w:iCs/>
                          <w:sz w:val="20"/>
                          <w:szCs w:val="20"/>
                        </w:rPr>
                        <w:t>Table 4</w:t>
                      </w:r>
                      <w:r w:rsidR="007967B8" w:rsidRPr="007967B8">
                        <w:rPr>
                          <w:rFonts w:ascii="Cambria" w:hAnsi="Cambria"/>
                          <w:i/>
                          <w:iCs/>
                          <w:sz w:val="20"/>
                          <w:szCs w:val="20"/>
                        </w:rPr>
                        <w:t>: Market Perception and Credit Risk – This table provides an overview of the credit ratings, market    perception, and credit risk assessments for five major retailers, highlighting their relative creditworthiness, investor confidence, and risk exposure.</w:t>
                      </w:r>
                    </w:p>
                  </w:txbxContent>
                </v:textbox>
                <w10:wrap type="square" anchorx="margin"/>
              </v:shape>
            </w:pict>
          </mc:Fallback>
        </mc:AlternateContent>
      </w:r>
      <w:r w:rsidR="00F945BC" w:rsidRPr="00456405">
        <w:rPr>
          <w:rFonts w:ascii="Cambria" w:hAnsi="Cambria"/>
          <w:b/>
          <w:bCs/>
          <w:sz w:val="24"/>
          <w:szCs w:val="24"/>
        </w:rPr>
        <w:t>5.2 Market Perception and Credit Risk</w:t>
      </w:r>
      <w:r w:rsidR="00F945BC" w:rsidRPr="00456405">
        <w:rPr>
          <w:rFonts w:ascii="Cambria" w:hAnsi="Cambria"/>
          <w:b/>
          <w:bCs/>
          <w:sz w:val="24"/>
          <w:szCs w:val="24"/>
        </w:rPr>
        <w:tab/>
      </w:r>
      <w:r w:rsidR="007F5502" w:rsidRPr="00456405">
        <w:rPr>
          <w:rFonts w:ascii="Cambria" w:hAnsi="Cambria"/>
          <w:b/>
          <w:bCs/>
          <w:sz w:val="24"/>
          <w:szCs w:val="24"/>
        </w:rPr>
        <w:br/>
      </w:r>
      <w:r w:rsidR="00F945BC" w:rsidRPr="00456405">
        <w:rPr>
          <w:rFonts w:ascii="Cambria" w:hAnsi="Cambria"/>
          <w:sz w:val="24"/>
          <w:szCs w:val="24"/>
        </w:rPr>
        <w:t xml:space="preserve">Credit spreads and bond yields provide insights into how market sentiment affects default risk and financial stability. </w:t>
      </w:r>
      <w:r w:rsidR="0071266B" w:rsidRPr="00456405">
        <w:rPr>
          <w:rFonts w:ascii="Cambria" w:hAnsi="Cambria"/>
          <w:sz w:val="24"/>
          <w:szCs w:val="24"/>
        </w:rPr>
        <w:t>Alibaba and Costco’s bonds trade at comparatively lower yields</w:t>
      </w:r>
      <w:r w:rsidR="006C5A86" w:rsidRPr="00456405">
        <w:rPr>
          <w:rFonts w:ascii="Cambria" w:hAnsi="Cambria"/>
          <w:sz w:val="24"/>
          <w:szCs w:val="24"/>
        </w:rPr>
        <w:t>, reflecting investor confidence in their creditworthiness and cash flow stability. Walmart, too, maintains strong credibility, supported by their</w:t>
      </w:r>
      <w:r w:rsidR="0071266B" w:rsidRPr="00456405">
        <w:rPr>
          <w:rFonts w:ascii="Cambria" w:hAnsi="Cambria"/>
          <w:sz w:val="24"/>
          <w:szCs w:val="24"/>
        </w:rPr>
        <w:t xml:space="preserve"> global market presence and ability to generate </w:t>
      </w:r>
      <w:r w:rsidR="0071266B" w:rsidRPr="00456405">
        <w:rPr>
          <w:rFonts w:ascii="Cambria" w:hAnsi="Cambria"/>
          <w:sz w:val="24"/>
          <w:szCs w:val="24"/>
        </w:rPr>
        <w:lastRenderedPageBreak/>
        <w:t>economi</w:t>
      </w:r>
      <w:r w:rsidR="004D6C14" w:rsidRPr="00456405">
        <w:rPr>
          <w:rFonts w:ascii="Cambria" w:hAnsi="Cambria"/>
          <w:sz w:val="24"/>
          <w:szCs w:val="24"/>
        </w:rPr>
        <w:t xml:space="preserve">cally fortified cash flows. </w:t>
      </w:r>
      <w:r w:rsidR="005D5BC9" w:rsidRPr="00456405">
        <w:rPr>
          <w:rFonts w:ascii="Cambria" w:hAnsi="Cambria"/>
          <w:sz w:val="24"/>
          <w:szCs w:val="24"/>
        </w:rPr>
        <w:tab/>
      </w:r>
      <w:r w:rsidR="005D5BC9" w:rsidRPr="00456405">
        <w:rPr>
          <w:rFonts w:ascii="Cambria" w:hAnsi="Cambria"/>
          <w:sz w:val="24"/>
          <w:szCs w:val="24"/>
        </w:rPr>
        <w:br/>
        <w:t xml:space="preserve">Carrefour and Magazine Luiza exhibit wider credit spreads, reflecting higher perceived risk by investors of their exposure to credit risk. </w:t>
      </w:r>
      <w:r w:rsidR="00A41FFB" w:rsidRPr="00456405">
        <w:rPr>
          <w:rFonts w:ascii="Cambria" w:hAnsi="Cambria"/>
          <w:sz w:val="24"/>
          <w:szCs w:val="24"/>
        </w:rPr>
        <w:t xml:space="preserve">Particularly, Magazine Luiza’s rising cost of debt financing has multifaceted financial pressures, making sustaining operations without external capital or restructuring difficult to avoid. </w:t>
      </w:r>
      <w:r w:rsidR="00E6018F" w:rsidRPr="00456405">
        <w:rPr>
          <w:rFonts w:ascii="Cambria" w:hAnsi="Cambria"/>
          <w:sz w:val="24"/>
          <w:szCs w:val="24"/>
        </w:rPr>
        <w:tab/>
      </w:r>
      <w:r w:rsidR="00E6018F" w:rsidRPr="00456405">
        <w:rPr>
          <w:rFonts w:ascii="Cambria" w:hAnsi="Cambria"/>
          <w:sz w:val="24"/>
          <w:szCs w:val="24"/>
        </w:rPr>
        <w:br/>
      </w:r>
      <w:r w:rsidR="00E6018F" w:rsidRPr="00456405">
        <w:rPr>
          <w:rFonts w:ascii="Cambria" w:hAnsi="Cambria"/>
          <w:sz w:val="24"/>
          <w:szCs w:val="24"/>
        </w:rPr>
        <w:br/>
      </w:r>
      <w:r w:rsidR="00E6018F" w:rsidRPr="00456405">
        <w:rPr>
          <w:rFonts w:ascii="Cambria" w:hAnsi="Cambria"/>
          <w:b/>
          <w:bCs/>
          <w:sz w:val="24"/>
          <w:szCs w:val="24"/>
        </w:rPr>
        <w:t>6. Cash Flow</w:t>
      </w:r>
      <w:r w:rsidR="00E6018F" w:rsidRPr="00456405">
        <w:rPr>
          <w:rFonts w:ascii="Cambria" w:hAnsi="Cambria"/>
          <w:b/>
          <w:bCs/>
          <w:sz w:val="24"/>
          <w:szCs w:val="24"/>
        </w:rPr>
        <w:tab/>
      </w:r>
      <w:r w:rsidR="00E6018F" w:rsidRPr="00456405">
        <w:rPr>
          <w:rFonts w:ascii="Cambria" w:hAnsi="Cambria"/>
          <w:b/>
          <w:bCs/>
          <w:sz w:val="24"/>
          <w:szCs w:val="24"/>
        </w:rPr>
        <w:br/>
      </w:r>
      <w:r w:rsidR="00A65CF8" w:rsidRPr="00456405">
        <w:rPr>
          <w:rFonts w:ascii="Cambria" w:hAnsi="Cambria"/>
          <w:sz w:val="24"/>
          <w:szCs w:val="24"/>
        </w:rPr>
        <w:t>Cash Flow is crucial to determine financial flexibility, enabling companies to fund operations, service their debt, reinvest in growth and distribute capital to shareholders. In this regard, the ability to generate positive free cash flow (FCF) while managing capital expenditures (</w:t>
      </w:r>
      <w:proofErr w:type="spellStart"/>
      <w:r w:rsidR="00A65CF8" w:rsidRPr="00456405">
        <w:rPr>
          <w:rFonts w:ascii="Cambria" w:hAnsi="Cambria"/>
          <w:sz w:val="24"/>
          <w:szCs w:val="24"/>
        </w:rPr>
        <w:t>CapEx</w:t>
      </w:r>
      <w:proofErr w:type="spellEnd"/>
      <w:r w:rsidR="00A65CF8" w:rsidRPr="00456405">
        <w:rPr>
          <w:rFonts w:ascii="Cambria" w:hAnsi="Cambria"/>
          <w:sz w:val="24"/>
          <w:szCs w:val="24"/>
        </w:rPr>
        <w:t xml:space="preserve">) is a key factor in long-term sustainability of the company and navigating economic downturns. </w:t>
      </w:r>
    </w:p>
    <w:p w14:paraId="7D875C5D" w14:textId="1C8A3F92" w:rsidR="00DD4CED" w:rsidRPr="00456405" w:rsidRDefault="00063F80" w:rsidP="00730709">
      <w:pPr>
        <w:spacing w:beforeLines="20" w:before="48" w:afterLines="40" w:after="96" w:line="240" w:lineRule="auto"/>
        <w:jc w:val="both"/>
        <w:rPr>
          <w:rFonts w:ascii="Cambria" w:hAnsi="Cambria"/>
          <w:sz w:val="24"/>
          <w:szCs w:val="24"/>
        </w:rPr>
      </w:pPr>
      <w:r w:rsidRPr="00456405">
        <w:rPr>
          <w:rFonts w:ascii="Cambria" w:hAnsi="Cambria"/>
          <w:b/>
          <w:bCs/>
          <w:sz w:val="24"/>
          <w:szCs w:val="24"/>
        </w:rPr>
        <w:t>6.1 Operating Cash Flow Generation</w:t>
      </w:r>
      <w:r w:rsidRPr="00456405">
        <w:rPr>
          <w:rFonts w:ascii="Cambria" w:hAnsi="Cambria"/>
          <w:b/>
          <w:bCs/>
          <w:sz w:val="24"/>
          <w:szCs w:val="24"/>
        </w:rPr>
        <w:tab/>
      </w:r>
      <w:r w:rsidRPr="00456405">
        <w:rPr>
          <w:rFonts w:ascii="Cambria" w:hAnsi="Cambria"/>
          <w:b/>
          <w:bCs/>
          <w:sz w:val="24"/>
          <w:szCs w:val="24"/>
        </w:rPr>
        <w:br/>
      </w:r>
      <w:r w:rsidRPr="00456405">
        <w:rPr>
          <w:rFonts w:ascii="Cambria" w:hAnsi="Cambria"/>
          <w:sz w:val="24"/>
          <w:szCs w:val="24"/>
        </w:rPr>
        <w:t>In the given period, Walmart has demonstrated the strongest cash flow generation, with an average of $36.1</w:t>
      </w:r>
      <w:r w:rsidR="0074429A">
        <w:rPr>
          <w:rFonts w:ascii="Cambria" w:hAnsi="Cambria"/>
          <w:sz w:val="24"/>
          <w:szCs w:val="24"/>
        </w:rPr>
        <w:t xml:space="preserve">B </w:t>
      </w:r>
      <w:r w:rsidRPr="00456405">
        <w:rPr>
          <w:rFonts w:ascii="Cambria" w:hAnsi="Cambria"/>
          <w:sz w:val="24"/>
          <w:szCs w:val="24"/>
        </w:rPr>
        <w:t xml:space="preserve">annually in operating cash flow. </w:t>
      </w:r>
      <w:r w:rsidR="005553E0" w:rsidRPr="00456405">
        <w:rPr>
          <w:rFonts w:ascii="Cambria" w:hAnsi="Cambria"/>
          <w:sz w:val="24"/>
          <w:szCs w:val="24"/>
        </w:rPr>
        <w:t>This has allowed Walmart to purse large-scale investments in modernisation of logistics networks, shareholder distributions and pursue future proofing investments such as those made for digital transformations</w:t>
      </w:r>
      <w:r w:rsidR="00F20586" w:rsidRPr="00456405">
        <w:rPr>
          <w:rFonts w:ascii="Cambria" w:hAnsi="Cambria"/>
          <w:sz w:val="24"/>
          <w:szCs w:val="24"/>
        </w:rPr>
        <w:t xml:space="preserve">. These differentiation investments whilst maintaining ample liquidity for debt-servicing is testament to Walmart’s robust FCF generation. </w:t>
      </w:r>
      <w:r w:rsidR="00CB4426" w:rsidRPr="00456405">
        <w:rPr>
          <w:rFonts w:ascii="Cambria" w:hAnsi="Cambria"/>
          <w:sz w:val="24"/>
          <w:szCs w:val="24"/>
        </w:rPr>
        <w:tab/>
      </w:r>
      <w:r w:rsidR="00CB4426" w:rsidRPr="00456405">
        <w:rPr>
          <w:rFonts w:ascii="Cambria" w:hAnsi="Cambria"/>
          <w:sz w:val="24"/>
          <w:szCs w:val="24"/>
        </w:rPr>
        <w:br/>
        <w:t>Alibaba closely follows, generating around $29</w:t>
      </w:r>
      <w:r w:rsidR="0074429A">
        <w:rPr>
          <w:rFonts w:ascii="Cambria" w:hAnsi="Cambria"/>
          <w:sz w:val="24"/>
          <w:szCs w:val="24"/>
        </w:rPr>
        <w:t xml:space="preserve">B </w:t>
      </w:r>
      <w:r w:rsidR="00CB4426" w:rsidRPr="00456405">
        <w:rPr>
          <w:rFonts w:ascii="Cambria" w:hAnsi="Cambria"/>
          <w:sz w:val="24"/>
          <w:szCs w:val="24"/>
        </w:rPr>
        <w:t>in operating cash flow, largely derived from their high-margin e-commerce and cloud computing segments. Notably, they face increased regulatory complexity and margin contraction in the highly saturated Chinese market, despite which they maintain one of the most liquid balance sheets amongst their peers in the industry.</w:t>
      </w:r>
      <w:r w:rsidR="00DA5ED4" w:rsidRPr="00456405">
        <w:rPr>
          <w:rFonts w:ascii="Cambria" w:hAnsi="Cambria"/>
          <w:sz w:val="24"/>
          <w:szCs w:val="24"/>
        </w:rPr>
        <w:t xml:space="preserve"> This positions them well for strategic reinvestment and value creation for their shareholder’s. </w:t>
      </w:r>
      <w:r w:rsidR="00383851" w:rsidRPr="00456405">
        <w:rPr>
          <w:rFonts w:ascii="Cambria" w:hAnsi="Cambria"/>
          <w:sz w:val="24"/>
          <w:szCs w:val="24"/>
        </w:rPr>
        <w:br/>
        <w:t xml:space="preserve">Costco operates on thinner margins compared to their </w:t>
      </w:r>
      <w:proofErr w:type="gramStart"/>
      <w:r w:rsidR="000C7B96" w:rsidRPr="00456405">
        <w:rPr>
          <w:rFonts w:ascii="Cambria" w:hAnsi="Cambria"/>
          <w:sz w:val="24"/>
          <w:szCs w:val="24"/>
        </w:rPr>
        <w:t>above</w:t>
      </w:r>
      <w:r w:rsidR="001D4E9D" w:rsidRPr="00456405">
        <w:rPr>
          <w:rFonts w:ascii="Cambria" w:hAnsi="Cambria"/>
          <w:sz w:val="24"/>
          <w:szCs w:val="24"/>
        </w:rPr>
        <w:t xml:space="preserve"> </w:t>
      </w:r>
      <w:r w:rsidR="000C7B96" w:rsidRPr="00456405">
        <w:rPr>
          <w:rFonts w:ascii="Cambria" w:hAnsi="Cambria"/>
          <w:sz w:val="24"/>
          <w:szCs w:val="24"/>
        </w:rPr>
        <w:t>mentioned</w:t>
      </w:r>
      <w:proofErr w:type="gramEnd"/>
      <w:r w:rsidR="00383851" w:rsidRPr="00456405">
        <w:rPr>
          <w:rFonts w:ascii="Cambria" w:hAnsi="Cambria"/>
          <w:sz w:val="24"/>
          <w:szCs w:val="24"/>
        </w:rPr>
        <w:t xml:space="preserve"> peers, but consistently generates strong operating cash flows, averaging around $6.1</w:t>
      </w:r>
      <w:r w:rsidR="0074429A">
        <w:rPr>
          <w:rFonts w:ascii="Cambria" w:hAnsi="Cambria"/>
          <w:sz w:val="24"/>
          <w:szCs w:val="24"/>
        </w:rPr>
        <w:t xml:space="preserve">B </w:t>
      </w:r>
      <w:r w:rsidR="00383851" w:rsidRPr="00456405">
        <w:rPr>
          <w:rFonts w:ascii="Cambria" w:hAnsi="Cambria"/>
          <w:sz w:val="24"/>
          <w:szCs w:val="24"/>
        </w:rPr>
        <w:t xml:space="preserve">annually. </w:t>
      </w:r>
      <w:r w:rsidR="008274FC" w:rsidRPr="00456405">
        <w:rPr>
          <w:rFonts w:ascii="Cambria" w:hAnsi="Cambria"/>
          <w:sz w:val="24"/>
          <w:szCs w:val="24"/>
        </w:rPr>
        <w:t xml:space="preserve">Their ability to convert revenue into cash flow is among the highest observed in the retail sector, primarily credited to their membership-driven revenue model and strong membership retention capabilities. </w:t>
      </w:r>
      <w:r w:rsidR="001D4E9D" w:rsidRPr="00456405">
        <w:rPr>
          <w:rFonts w:ascii="Cambria" w:hAnsi="Cambria"/>
          <w:sz w:val="24"/>
          <w:szCs w:val="24"/>
        </w:rPr>
        <w:br/>
        <w:t xml:space="preserve">Carrefour and Magazine Luiza </w:t>
      </w:r>
      <w:proofErr w:type="gramStart"/>
      <w:r w:rsidR="001D4E9D" w:rsidRPr="00456405">
        <w:rPr>
          <w:rFonts w:ascii="Cambria" w:hAnsi="Cambria"/>
          <w:sz w:val="24"/>
          <w:szCs w:val="24"/>
        </w:rPr>
        <w:t>are in contrast to</w:t>
      </w:r>
      <w:proofErr w:type="gramEnd"/>
      <w:r w:rsidR="001D4E9D" w:rsidRPr="00456405">
        <w:rPr>
          <w:rFonts w:ascii="Cambria" w:hAnsi="Cambria"/>
          <w:sz w:val="24"/>
          <w:szCs w:val="24"/>
        </w:rPr>
        <w:t xml:space="preserve"> their peers, facing severe challenges in maintaining robust cash flow generation. Carrefour’s $2.3</w:t>
      </w:r>
      <w:r w:rsidR="0074429A">
        <w:rPr>
          <w:rFonts w:ascii="Cambria" w:hAnsi="Cambria"/>
          <w:sz w:val="24"/>
          <w:szCs w:val="24"/>
        </w:rPr>
        <w:t>7B</w:t>
      </w:r>
      <w:r w:rsidR="001D4E9D" w:rsidRPr="00456405">
        <w:rPr>
          <w:rFonts w:ascii="Cambria" w:hAnsi="Cambria"/>
          <w:sz w:val="24"/>
          <w:szCs w:val="24"/>
        </w:rPr>
        <w:t xml:space="preserve">, although positive, is unfavourably influenced by their alarming debt-servicing requirements and relatively thin margins. Their cash conversion cycle is also longer than their North American counterparts. </w:t>
      </w:r>
      <w:r w:rsidR="00CB4F44" w:rsidRPr="00456405">
        <w:rPr>
          <w:rFonts w:ascii="Cambria" w:hAnsi="Cambria"/>
          <w:sz w:val="24"/>
          <w:szCs w:val="24"/>
        </w:rPr>
        <w:t xml:space="preserve">Magazine Luiza presents the most unsuitable cash flow profile, having experienced negative cash flow in FY 2021 and FY 2022. </w:t>
      </w:r>
      <w:r w:rsidR="00027F3A" w:rsidRPr="00456405">
        <w:rPr>
          <w:rFonts w:ascii="Cambria" w:hAnsi="Cambria"/>
          <w:sz w:val="24"/>
          <w:szCs w:val="24"/>
        </w:rPr>
        <w:t xml:space="preserve">While the company returned to positive cash flow of $200 million in FY 2024, there are concerns regarding their ability to sustain this momentum, given fierce competition from international entrants into the Brazilian retail space. </w:t>
      </w:r>
      <w:r w:rsidR="00952767" w:rsidRPr="00456405">
        <w:rPr>
          <w:rFonts w:ascii="Cambria" w:hAnsi="Cambria"/>
          <w:sz w:val="24"/>
          <w:szCs w:val="24"/>
        </w:rPr>
        <w:t xml:space="preserve">Their ongoing leverage constraints, high debt-servicing costs and reliance on short-term borrowing to fund working capital needs are highly concerning. </w:t>
      </w:r>
      <w:r w:rsidR="001105BD" w:rsidRPr="00456405">
        <w:rPr>
          <w:rFonts w:ascii="Cambria" w:hAnsi="Cambria"/>
          <w:sz w:val="24"/>
          <w:szCs w:val="24"/>
        </w:rPr>
        <w:tab/>
      </w:r>
      <w:r w:rsidR="001105BD" w:rsidRPr="00456405">
        <w:rPr>
          <w:rFonts w:ascii="Cambria" w:hAnsi="Cambria"/>
          <w:sz w:val="24"/>
          <w:szCs w:val="24"/>
        </w:rPr>
        <w:br/>
      </w:r>
      <w:r w:rsidR="003008A1" w:rsidRPr="00456405">
        <w:rPr>
          <w:rFonts w:ascii="Cambria" w:hAnsi="Cambria"/>
          <w:b/>
          <w:bCs/>
          <w:sz w:val="24"/>
          <w:szCs w:val="24"/>
        </w:rPr>
        <w:br/>
      </w:r>
      <w:r w:rsidR="001105BD" w:rsidRPr="00456405">
        <w:rPr>
          <w:rFonts w:ascii="Cambria" w:hAnsi="Cambria"/>
          <w:b/>
          <w:bCs/>
          <w:sz w:val="24"/>
          <w:szCs w:val="24"/>
        </w:rPr>
        <w:t>6.2 Capital Expenditure and FCF</w:t>
      </w:r>
      <w:r w:rsidR="001105BD" w:rsidRPr="00456405">
        <w:rPr>
          <w:rFonts w:ascii="Cambria" w:hAnsi="Cambria"/>
          <w:b/>
          <w:bCs/>
          <w:sz w:val="24"/>
          <w:szCs w:val="24"/>
        </w:rPr>
        <w:tab/>
      </w:r>
      <w:r w:rsidR="001105BD" w:rsidRPr="00456405">
        <w:rPr>
          <w:rFonts w:ascii="Cambria" w:hAnsi="Cambria"/>
          <w:b/>
          <w:bCs/>
          <w:sz w:val="24"/>
          <w:szCs w:val="24"/>
        </w:rPr>
        <w:br/>
      </w:r>
      <w:r w:rsidR="001105BD" w:rsidRPr="00456405">
        <w:rPr>
          <w:rFonts w:ascii="Cambria" w:hAnsi="Cambria"/>
          <w:sz w:val="24"/>
          <w:szCs w:val="24"/>
        </w:rPr>
        <w:t xml:space="preserve">Providing insight into cash utilisation strategies, Walmart invariably has maintained the highest </w:t>
      </w:r>
      <w:proofErr w:type="spellStart"/>
      <w:r w:rsidR="001105BD" w:rsidRPr="00456405">
        <w:rPr>
          <w:rFonts w:ascii="Cambria" w:hAnsi="Cambria"/>
          <w:sz w:val="24"/>
          <w:szCs w:val="24"/>
        </w:rPr>
        <w:t>CapEx</w:t>
      </w:r>
      <w:proofErr w:type="spellEnd"/>
      <w:r w:rsidR="001105BD" w:rsidRPr="00456405">
        <w:rPr>
          <w:rFonts w:ascii="Cambria" w:hAnsi="Cambria"/>
          <w:sz w:val="24"/>
          <w:szCs w:val="24"/>
        </w:rPr>
        <w:t xml:space="preserve"> levels, averaging around $10</w:t>
      </w:r>
      <w:r w:rsidR="0074429A">
        <w:rPr>
          <w:rFonts w:ascii="Cambria" w:hAnsi="Cambria"/>
          <w:sz w:val="24"/>
          <w:szCs w:val="24"/>
        </w:rPr>
        <w:t xml:space="preserve">B </w:t>
      </w:r>
      <w:r w:rsidR="001105BD" w:rsidRPr="00456405">
        <w:rPr>
          <w:rFonts w:ascii="Cambria" w:hAnsi="Cambria"/>
          <w:sz w:val="24"/>
          <w:szCs w:val="24"/>
        </w:rPr>
        <w:t xml:space="preserve">annually. </w:t>
      </w:r>
      <w:r w:rsidR="00A2106A" w:rsidRPr="00456405">
        <w:rPr>
          <w:rFonts w:ascii="Cambria" w:hAnsi="Cambria"/>
          <w:sz w:val="24"/>
          <w:szCs w:val="24"/>
        </w:rPr>
        <w:t xml:space="preserve">This as reported is primarily directed towards their technology advancements and logistics expansion. </w:t>
      </w:r>
      <w:r w:rsidR="001B1B0D" w:rsidRPr="00456405">
        <w:rPr>
          <w:rFonts w:ascii="Cambria" w:hAnsi="Cambria"/>
          <w:sz w:val="24"/>
          <w:szCs w:val="24"/>
        </w:rPr>
        <w:tab/>
      </w:r>
      <w:r w:rsidR="001B1B0D" w:rsidRPr="00456405">
        <w:rPr>
          <w:rFonts w:ascii="Cambria" w:hAnsi="Cambria"/>
          <w:sz w:val="24"/>
          <w:szCs w:val="24"/>
        </w:rPr>
        <w:br/>
        <w:t xml:space="preserve">Alibaba’s pioneering efforts into e-commerce and cloud computing since early 2000’s have continued momentum, leading to a higher </w:t>
      </w:r>
      <w:proofErr w:type="spellStart"/>
      <w:r w:rsidR="001B1B0D" w:rsidRPr="00456405">
        <w:rPr>
          <w:rFonts w:ascii="Cambria" w:hAnsi="Cambria"/>
          <w:sz w:val="24"/>
          <w:szCs w:val="24"/>
        </w:rPr>
        <w:t>CapEx</w:t>
      </w:r>
      <w:proofErr w:type="spellEnd"/>
      <w:r w:rsidR="001B1B0D" w:rsidRPr="00456405">
        <w:rPr>
          <w:rFonts w:ascii="Cambria" w:hAnsi="Cambria"/>
          <w:sz w:val="24"/>
          <w:szCs w:val="24"/>
        </w:rPr>
        <w:t xml:space="preserve"> outlay compared to other more traditional retailers. </w:t>
      </w:r>
      <w:r w:rsidR="00ED175C" w:rsidRPr="00456405">
        <w:rPr>
          <w:rFonts w:ascii="Cambria" w:hAnsi="Cambria"/>
          <w:sz w:val="24"/>
          <w:szCs w:val="24"/>
        </w:rPr>
        <w:t xml:space="preserve">However, their ability to generate strong FCF’s despite high </w:t>
      </w:r>
      <w:proofErr w:type="spellStart"/>
      <w:r w:rsidR="00ED175C" w:rsidRPr="00456405">
        <w:rPr>
          <w:rFonts w:ascii="Cambria" w:hAnsi="Cambria"/>
          <w:sz w:val="24"/>
          <w:szCs w:val="24"/>
        </w:rPr>
        <w:t>CapEx</w:t>
      </w:r>
      <w:proofErr w:type="spellEnd"/>
      <w:r w:rsidR="00ED175C" w:rsidRPr="00456405">
        <w:rPr>
          <w:rFonts w:ascii="Cambria" w:hAnsi="Cambria"/>
          <w:sz w:val="24"/>
          <w:szCs w:val="24"/>
        </w:rPr>
        <w:t xml:space="preserve"> reinforces their resilience and adaptability of their business model to varying economic cycles. </w:t>
      </w:r>
      <w:r w:rsidR="001E0FF0" w:rsidRPr="00456405">
        <w:rPr>
          <w:rFonts w:ascii="Cambria" w:hAnsi="Cambria"/>
          <w:sz w:val="24"/>
          <w:szCs w:val="24"/>
        </w:rPr>
        <w:tab/>
      </w:r>
      <w:r w:rsidR="001E0FF0" w:rsidRPr="00456405">
        <w:rPr>
          <w:rFonts w:ascii="Cambria" w:hAnsi="Cambria"/>
          <w:sz w:val="24"/>
          <w:szCs w:val="24"/>
        </w:rPr>
        <w:br/>
        <w:t xml:space="preserve">Costco has consistently demonstrated a highly disciplined </w:t>
      </w:r>
      <w:proofErr w:type="spellStart"/>
      <w:r w:rsidR="001E0FF0" w:rsidRPr="00456405">
        <w:rPr>
          <w:rFonts w:ascii="Cambria" w:hAnsi="Cambria"/>
          <w:sz w:val="24"/>
          <w:szCs w:val="24"/>
        </w:rPr>
        <w:t>CapEx</w:t>
      </w:r>
      <w:proofErr w:type="spellEnd"/>
      <w:r w:rsidR="001E0FF0" w:rsidRPr="00456405">
        <w:rPr>
          <w:rFonts w:ascii="Cambria" w:hAnsi="Cambria"/>
          <w:sz w:val="24"/>
          <w:szCs w:val="24"/>
        </w:rPr>
        <w:t xml:space="preserve"> strategy, allowing to generate significant FCF while expanding their physical footprint and entering new international markets. </w:t>
      </w:r>
      <w:r w:rsidR="00273E49" w:rsidRPr="00456405">
        <w:rPr>
          <w:rFonts w:ascii="Cambria" w:hAnsi="Cambria"/>
          <w:sz w:val="24"/>
          <w:szCs w:val="24"/>
        </w:rPr>
        <w:t xml:space="preserve">Carrefour and Magazine Luiza are constrained by lower profitability wherein the former </w:t>
      </w:r>
      <w:r w:rsidR="00273E49" w:rsidRPr="00456405">
        <w:rPr>
          <w:rFonts w:ascii="Cambria" w:hAnsi="Cambria"/>
          <w:sz w:val="24"/>
          <w:szCs w:val="24"/>
        </w:rPr>
        <w:lastRenderedPageBreak/>
        <w:t xml:space="preserve">operates in a mature market without scope for aggressive expansionary strategies prompting them to maintain a conservative </w:t>
      </w:r>
      <w:proofErr w:type="spellStart"/>
      <w:r w:rsidR="00273E49" w:rsidRPr="00456405">
        <w:rPr>
          <w:rFonts w:ascii="Cambria" w:hAnsi="Cambria"/>
          <w:sz w:val="24"/>
          <w:szCs w:val="24"/>
        </w:rPr>
        <w:t>CapEx</w:t>
      </w:r>
      <w:proofErr w:type="spellEnd"/>
      <w:r w:rsidR="00273E49" w:rsidRPr="00456405">
        <w:rPr>
          <w:rFonts w:ascii="Cambria" w:hAnsi="Cambria"/>
          <w:sz w:val="24"/>
          <w:szCs w:val="24"/>
        </w:rPr>
        <w:t xml:space="preserve"> strategy. </w:t>
      </w:r>
      <w:r w:rsidR="007B2DA7" w:rsidRPr="00456405">
        <w:rPr>
          <w:rFonts w:ascii="Cambria" w:hAnsi="Cambria"/>
          <w:sz w:val="24"/>
          <w:szCs w:val="24"/>
        </w:rPr>
        <w:t xml:space="preserve">The latter has historically seen their </w:t>
      </w:r>
      <w:proofErr w:type="spellStart"/>
      <w:r w:rsidR="007B2DA7" w:rsidRPr="00456405">
        <w:rPr>
          <w:rFonts w:ascii="Cambria" w:hAnsi="Cambria"/>
          <w:sz w:val="24"/>
          <w:szCs w:val="24"/>
        </w:rPr>
        <w:t>CapEx</w:t>
      </w:r>
      <w:proofErr w:type="spellEnd"/>
      <w:r w:rsidR="007B2DA7" w:rsidRPr="00456405">
        <w:rPr>
          <w:rFonts w:ascii="Cambria" w:hAnsi="Cambria"/>
          <w:sz w:val="24"/>
          <w:szCs w:val="24"/>
        </w:rPr>
        <w:t xml:space="preserve"> levels outpace their cash flows, leading to negative free cash flows in prior years. </w:t>
      </w:r>
      <w:r w:rsidR="00165320" w:rsidRPr="00456405">
        <w:rPr>
          <w:rFonts w:ascii="Cambria" w:hAnsi="Cambria"/>
          <w:sz w:val="24"/>
          <w:szCs w:val="24"/>
        </w:rPr>
        <w:t xml:space="preserve">Recent optimisation efforts have helped the company’s cash flows to positive levels, concerns emerge due to their exposure to liquidity pressures, necessitating highly prudent capital and debt management strategies to maintain profitability and competitiveness. </w:t>
      </w:r>
      <w:r w:rsidR="00A216EB" w:rsidRPr="00456405">
        <w:rPr>
          <w:rFonts w:ascii="Cambria" w:hAnsi="Cambria"/>
          <w:sz w:val="24"/>
          <w:szCs w:val="24"/>
        </w:rPr>
        <w:tab/>
      </w:r>
      <w:r w:rsidR="00DD4CED" w:rsidRPr="00456405">
        <w:rPr>
          <w:rFonts w:ascii="Cambria" w:hAnsi="Cambria"/>
          <w:sz w:val="24"/>
          <w:szCs w:val="24"/>
        </w:rPr>
        <w:br/>
      </w:r>
    </w:p>
    <w:p w14:paraId="6ADC5071" w14:textId="74938EAF" w:rsidR="00DD4CED" w:rsidRPr="00456405" w:rsidRDefault="00272285" w:rsidP="00730709">
      <w:pPr>
        <w:spacing w:beforeLines="20" w:before="48" w:afterLines="40" w:after="96" w:line="240" w:lineRule="auto"/>
        <w:jc w:val="both"/>
        <w:rPr>
          <w:rFonts w:ascii="Cambria" w:hAnsi="Cambria"/>
          <w:b/>
          <w:bCs/>
          <w:sz w:val="24"/>
          <w:szCs w:val="24"/>
        </w:rPr>
      </w:pPr>
      <w:r w:rsidRPr="00456405">
        <w:rPr>
          <w:rFonts w:ascii="Cambria" w:hAnsi="Cambria"/>
          <w:noProof/>
          <w:sz w:val="24"/>
          <w:szCs w:val="24"/>
        </w:rPr>
        <mc:AlternateContent>
          <mc:Choice Requires="wps">
            <w:drawing>
              <wp:anchor distT="45720" distB="45720" distL="114300" distR="114300" simplePos="0" relativeHeight="251671552" behindDoc="0" locked="0" layoutInCell="1" allowOverlap="1" wp14:anchorId="70F43D68" wp14:editId="6CAB2E1D">
                <wp:simplePos x="0" y="0"/>
                <wp:positionH relativeFrom="margin">
                  <wp:posOffset>-198120</wp:posOffset>
                </wp:positionH>
                <wp:positionV relativeFrom="paragraph">
                  <wp:posOffset>1908175</wp:posOffset>
                </wp:positionV>
                <wp:extent cx="6522720" cy="5448300"/>
                <wp:effectExtent l="0" t="0" r="0" b="0"/>
                <wp:wrapSquare wrapText="bothSides"/>
                <wp:docPr id="1319763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448300"/>
                        </a:xfrm>
                        <a:prstGeom prst="rect">
                          <a:avLst/>
                        </a:prstGeom>
                        <a:noFill/>
                        <a:ln w="9525">
                          <a:noFill/>
                          <a:miter lim="800000"/>
                          <a:headEnd/>
                          <a:tailEnd/>
                        </a:ln>
                      </wps:spPr>
                      <wps:txbx>
                        <w:txbxContent>
                          <w:tbl>
                            <w:tblPr>
                              <w:tblStyle w:val="TableGrid"/>
                              <w:tblW w:w="9877" w:type="dxa"/>
                              <w:tblInd w:w="137" w:type="dxa"/>
                              <w:tblLook w:val="04A0" w:firstRow="1" w:lastRow="0" w:firstColumn="1" w:lastColumn="0" w:noHBand="0" w:noVBand="1"/>
                            </w:tblPr>
                            <w:tblGrid>
                              <w:gridCol w:w="1276"/>
                              <w:gridCol w:w="4027"/>
                              <w:gridCol w:w="4574"/>
                            </w:tblGrid>
                            <w:tr w:rsidR="00272285" w:rsidRPr="001B2405" w14:paraId="7F2A1096" w14:textId="77777777" w:rsidTr="007D1A59">
                              <w:trPr>
                                <w:trHeight w:val="1915"/>
                              </w:trPr>
                              <w:tc>
                                <w:tcPr>
                                  <w:tcW w:w="1276" w:type="dxa"/>
                                </w:tcPr>
                                <w:p w14:paraId="3C797C63" w14:textId="63270AE1" w:rsidR="003B2EA6" w:rsidRPr="00407032" w:rsidRDefault="0017069A" w:rsidP="003B2EA6">
                                  <w:pPr>
                                    <w:rPr>
                                      <w:rFonts w:ascii="Cambria" w:hAnsi="Cambria"/>
                                      <w:b/>
                                      <w:bCs/>
                                    </w:rPr>
                                  </w:pPr>
                                  <w:r w:rsidRPr="00407032">
                                    <w:rPr>
                                      <w:rFonts w:ascii="Cambria" w:hAnsi="Cambria"/>
                                      <w:b/>
                                      <w:bCs/>
                                    </w:rPr>
                                    <w:t>Walmart</w:t>
                                  </w:r>
                                </w:p>
                              </w:tc>
                              <w:tc>
                                <w:tcPr>
                                  <w:tcW w:w="4027" w:type="dxa"/>
                                </w:tcPr>
                                <w:p w14:paraId="6AFC53A7" w14:textId="77777777" w:rsidR="0017069A" w:rsidRPr="00407032" w:rsidRDefault="0017069A" w:rsidP="0017069A">
                                  <w:pPr>
                                    <w:rPr>
                                      <w:rFonts w:ascii="Cambria" w:hAnsi="Cambria"/>
                                    </w:rPr>
                                  </w:pPr>
                                  <w:r w:rsidRPr="00407032">
                                    <w:rPr>
                                      <w:rFonts w:ascii="Cambria" w:hAnsi="Cambria"/>
                                    </w:rPr>
                                    <w:t>- Largest global retailer with extensive logistics and omnichannel presence.</w:t>
                                  </w:r>
                                </w:p>
                                <w:p w14:paraId="6D221AD6" w14:textId="77777777" w:rsidR="0017069A" w:rsidRPr="00407032" w:rsidRDefault="0017069A" w:rsidP="0017069A">
                                  <w:pPr>
                                    <w:rPr>
                                      <w:rFonts w:ascii="Cambria" w:hAnsi="Cambria"/>
                                    </w:rPr>
                                  </w:pPr>
                                  <w:r w:rsidRPr="00407032">
                                    <w:rPr>
                                      <w:rFonts w:ascii="Cambria" w:hAnsi="Cambria"/>
                                    </w:rPr>
                                    <w:t>- Competitive pricing and strong supply chain capabilities.</w:t>
                                  </w:r>
                                </w:p>
                                <w:p w14:paraId="1BA5C8D8" w14:textId="506C769B" w:rsidR="003B2EA6" w:rsidRPr="00407032" w:rsidRDefault="0017069A" w:rsidP="0017069A">
                                  <w:pPr>
                                    <w:rPr>
                                      <w:rFonts w:ascii="Cambria" w:hAnsi="Cambria"/>
                                    </w:rPr>
                                  </w:pPr>
                                  <w:r w:rsidRPr="00407032">
                                    <w:rPr>
                                      <w:rFonts w:ascii="Cambria" w:hAnsi="Cambria"/>
                                    </w:rPr>
                                    <w:t>- Expansion in emerging markets (China, Mexico, India).</w:t>
                                  </w:r>
                                </w:p>
                              </w:tc>
                              <w:tc>
                                <w:tcPr>
                                  <w:tcW w:w="4574" w:type="dxa"/>
                                </w:tcPr>
                                <w:p w14:paraId="252C4D14" w14:textId="77777777" w:rsidR="0017069A" w:rsidRPr="00407032" w:rsidRDefault="0017069A" w:rsidP="0017069A">
                                  <w:pPr>
                                    <w:rPr>
                                      <w:rFonts w:ascii="Cambria" w:hAnsi="Cambria"/>
                                    </w:rPr>
                                  </w:pPr>
                                  <w:r w:rsidRPr="00407032">
                                    <w:rPr>
                                      <w:rFonts w:ascii="Cambria" w:hAnsi="Cambria"/>
                                    </w:rPr>
                                    <w:t>- Intense competition from Amazon’s superior logistics and marketplace model.</w:t>
                                  </w:r>
                                </w:p>
                                <w:p w14:paraId="2F95C9A4" w14:textId="77777777" w:rsidR="0017069A" w:rsidRPr="00407032" w:rsidRDefault="0017069A" w:rsidP="0017069A">
                                  <w:pPr>
                                    <w:rPr>
                                      <w:rFonts w:ascii="Cambria" w:hAnsi="Cambria"/>
                                    </w:rPr>
                                  </w:pPr>
                                  <w:r w:rsidRPr="00407032">
                                    <w:rPr>
                                      <w:rFonts w:ascii="Cambria" w:hAnsi="Cambria"/>
                                    </w:rPr>
                                    <w:t xml:space="preserve">- Margin pressures from rising </w:t>
                                  </w:r>
                                  <w:r w:rsidRPr="00407032">
                                    <w:rPr>
                                      <w:rFonts w:ascii="Cambria" w:hAnsi="Cambria"/>
                                    </w:rPr>
                                    <w:t>labor costs &amp; supply chain disruptions.</w:t>
                                  </w:r>
                                </w:p>
                                <w:p w14:paraId="4216C901" w14:textId="20655619" w:rsidR="003B2EA6" w:rsidRPr="00407032" w:rsidRDefault="0017069A" w:rsidP="0017069A">
                                  <w:pPr>
                                    <w:rPr>
                                      <w:rFonts w:ascii="Cambria" w:hAnsi="Cambria"/>
                                    </w:rPr>
                                  </w:pPr>
                                  <w:r w:rsidRPr="00407032">
                                    <w:rPr>
                                      <w:rFonts w:ascii="Cambria" w:hAnsi="Cambria"/>
                                    </w:rPr>
                                    <w:t>- Exposure to geopolitical uncertainty and currency fluctuations.</w:t>
                                  </w:r>
                                </w:p>
                              </w:tc>
                            </w:tr>
                            <w:tr w:rsidR="00272285" w:rsidRPr="001B2405" w14:paraId="46472E05" w14:textId="77777777" w:rsidTr="007D1A59">
                              <w:trPr>
                                <w:trHeight w:val="1618"/>
                              </w:trPr>
                              <w:tc>
                                <w:tcPr>
                                  <w:tcW w:w="1276" w:type="dxa"/>
                                </w:tcPr>
                                <w:p w14:paraId="0BCB59E9" w14:textId="52338D73" w:rsidR="003B2EA6" w:rsidRPr="00407032" w:rsidRDefault="0017069A" w:rsidP="003B2EA6">
                                  <w:pPr>
                                    <w:rPr>
                                      <w:rFonts w:ascii="Cambria" w:hAnsi="Cambria"/>
                                      <w:b/>
                                      <w:bCs/>
                                    </w:rPr>
                                  </w:pPr>
                                  <w:r w:rsidRPr="00407032">
                                    <w:rPr>
                                      <w:rFonts w:ascii="Cambria" w:hAnsi="Cambria"/>
                                      <w:b/>
                                      <w:bCs/>
                                    </w:rPr>
                                    <w:t>Costco</w:t>
                                  </w:r>
                                </w:p>
                              </w:tc>
                              <w:tc>
                                <w:tcPr>
                                  <w:tcW w:w="4027" w:type="dxa"/>
                                </w:tcPr>
                                <w:p w14:paraId="4D7762AC" w14:textId="77777777" w:rsidR="0017069A" w:rsidRPr="00407032" w:rsidRDefault="0017069A" w:rsidP="0017069A">
                                  <w:pPr>
                                    <w:rPr>
                                      <w:rFonts w:ascii="Cambria" w:hAnsi="Cambria"/>
                                    </w:rPr>
                                  </w:pPr>
                                  <w:r w:rsidRPr="00407032">
                                    <w:rPr>
                                      <w:rFonts w:ascii="Cambria" w:hAnsi="Cambria"/>
                                    </w:rPr>
                                    <w:t>- Strong membership-based model ensuring recurring revenue and customer loyalty.</w:t>
                                  </w:r>
                                </w:p>
                                <w:p w14:paraId="1344E63C" w14:textId="78114F13" w:rsidR="003B2EA6" w:rsidRPr="00407032" w:rsidRDefault="0017069A" w:rsidP="0017069A">
                                  <w:pPr>
                                    <w:rPr>
                                      <w:rFonts w:ascii="Cambria" w:hAnsi="Cambria"/>
                                    </w:rPr>
                                  </w:pPr>
                                  <w:r w:rsidRPr="00407032">
                                    <w:rPr>
                                      <w:rFonts w:ascii="Cambria" w:hAnsi="Cambria"/>
                                    </w:rPr>
                                    <w:t>- Bulk purchasing and high inventory turnover provide pricing advantage.</w:t>
                                  </w:r>
                                </w:p>
                              </w:tc>
                              <w:tc>
                                <w:tcPr>
                                  <w:tcW w:w="4574" w:type="dxa"/>
                                </w:tcPr>
                                <w:p w14:paraId="2A993694" w14:textId="77777777" w:rsidR="0017069A" w:rsidRPr="00407032" w:rsidRDefault="0017069A" w:rsidP="0017069A">
                                  <w:pPr>
                                    <w:rPr>
                                      <w:rFonts w:ascii="Cambria" w:hAnsi="Cambria"/>
                                    </w:rPr>
                                  </w:pPr>
                                  <w:r w:rsidRPr="00407032">
                                    <w:rPr>
                                      <w:rFonts w:ascii="Cambria" w:hAnsi="Cambria"/>
                                    </w:rPr>
                                    <w:t>- Lagging in digital transformation compared to Walmart &amp; Amazon.</w:t>
                                  </w:r>
                                </w:p>
                                <w:p w14:paraId="52CF9D5D" w14:textId="77777777" w:rsidR="0017069A" w:rsidRPr="00407032" w:rsidRDefault="0017069A" w:rsidP="0017069A">
                                  <w:pPr>
                                    <w:rPr>
                                      <w:rFonts w:ascii="Cambria" w:hAnsi="Cambria"/>
                                    </w:rPr>
                                  </w:pPr>
                                  <w:r w:rsidRPr="00407032">
                                    <w:rPr>
                                      <w:rFonts w:ascii="Cambria" w:hAnsi="Cambria"/>
                                    </w:rPr>
                                    <w:t>- Smaller international footprint limits long-term growth potential.</w:t>
                                  </w:r>
                                </w:p>
                                <w:p w14:paraId="5541542D" w14:textId="01D4CB36" w:rsidR="003B2EA6" w:rsidRPr="00407032" w:rsidRDefault="0017069A" w:rsidP="0017069A">
                                  <w:pPr>
                                    <w:rPr>
                                      <w:rFonts w:ascii="Cambria" w:hAnsi="Cambria"/>
                                    </w:rPr>
                                  </w:pPr>
                                  <w:r w:rsidRPr="00407032">
                                    <w:rPr>
                                      <w:rFonts w:ascii="Cambria" w:hAnsi="Cambria"/>
                                    </w:rPr>
                                    <w:t>- Increasing competition in global expansion efforts.</w:t>
                                  </w:r>
                                </w:p>
                              </w:tc>
                            </w:tr>
                            <w:tr w:rsidR="00272285" w:rsidRPr="001B2405" w14:paraId="65D41C40" w14:textId="77777777" w:rsidTr="007D1A59">
                              <w:trPr>
                                <w:trHeight w:val="1896"/>
                              </w:trPr>
                              <w:tc>
                                <w:tcPr>
                                  <w:tcW w:w="1276" w:type="dxa"/>
                                </w:tcPr>
                                <w:p w14:paraId="26A1E581" w14:textId="0015FBC9" w:rsidR="0017069A" w:rsidRPr="00407032" w:rsidRDefault="001B2405" w:rsidP="003B2EA6">
                                  <w:pPr>
                                    <w:rPr>
                                      <w:rFonts w:ascii="Cambria" w:hAnsi="Cambria"/>
                                      <w:b/>
                                      <w:bCs/>
                                    </w:rPr>
                                  </w:pPr>
                                  <w:r w:rsidRPr="00407032">
                                    <w:rPr>
                                      <w:rFonts w:ascii="Cambria" w:hAnsi="Cambria"/>
                                      <w:b/>
                                      <w:bCs/>
                                    </w:rPr>
                                    <w:t>Carrefour</w:t>
                                  </w:r>
                                </w:p>
                              </w:tc>
                              <w:tc>
                                <w:tcPr>
                                  <w:tcW w:w="4027" w:type="dxa"/>
                                </w:tcPr>
                                <w:p w14:paraId="37D76FF3" w14:textId="77777777" w:rsidR="001B2405" w:rsidRPr="00407032" w:rsidRDefault="001B2405" w:rsidP="001B2405">
                                  <w:pPr>
                                    <w:rPr>
                                      <w:rFonts w:ascii="Cambria" w:hAnsi="Cambria"/>
                                    </w:rPr>
                                  </w:pPr>
                                  <w:r w:rsidRPr="00407032">
                                    <w:rPr>
                                      <w:rFonts w:ascii="Cambria" w:hAnsi="Cambria"/>
                                    </w:rPr>
                                    <w:t>- European retail giant with a strong physical store presence.</w:t>
                                  </w:r>
                                </w:p>
                                <w:p w14:paraId="2BEE4A6D" w14:textId="5EEE8EA6" w:rsidR="0017069A" w:rsidRPr="00407032" w:rsidRDefault="001B2405" w:rsidP="001B2405">
                                  <w:pPr>
                                    <w:rPr>
                                      <w:rFonts w:ascii="Cambria" w:hAnsi="Cambria"/>
                                    </w:rPr>
                                  </w:pPr>
                                  <w:r w:rsidRPr="00407032">
                                    <w:rPr>
                                      <w:rFonts w:ascii="Cambria" w:hAnsi="Cambria"/>
                                    </w:rPr>
                                    <w:t>- Expanding into emerging markets (Latin America, Middle East).</w:t>
                                  </w:r>
                                </w:p>
                              </w:tc>
                              <w:tc>
                                <w:tcPr>
                                  <w:tcW w:w="4574" w:type="dxa"/>
                                </w:tcPr>
                                <w:p w14:paraId="37B86123" w14:textId="77777777" w:rsidR="001B2405" w:rsidRPr="00407032" w:rsidRDefault="001B2405" w:rsidP="001B2405">
                                  <w:pPr>
                                    <w:rPr>
                                      <w:rFonts w:ascii="Cambria" w:hAnsi="Cambria"/>
                                    </w:rPr>
                                  </w:pPr>
                                  <w:r w:rsidRPr="00407032">
                                    <w:rPr>
                                      <w:rFonts w:ascii="Cambria" w:hAnsi="Cambria"/>
                                    </w:rPr>
                                    <w:t>- Low-margin operations &amp; inefficiencies, especially in Europe.</w:t>
                                  </w:r>
                                </w:p>
                                <w:p w14:paraId="37735C86" w14:textId="27209653" w:rsidR="001B2405" w:rsidRPr="00407032" w:rsidRDefault="001B2405" w:rsidP="001B2405">
                                  <w:pPr>
                                    <w:rPr>
                                      <w:rFonts w:ascii="Cambria" w:hAnsi="Cambria"/>
                                    </w:rPr>
                                  </w:pPr>
                                  <w:r w:rsidRPr="00407032">
                                    <w:rPr>
                                      <w:rFonts w:ascii="Cambria" w:hAnsi="Cambria"/>
                                    </w:rPr>
                                    <w:t>- Price-sensitive model limits flexibility against inflation and rising labo</w:t>
                                  </w:r>
                                  <w:r w:rsidR="00C54036" w:rsidRPr="00407032">
                                    <w:rPr>
                                      <w:rFonts w:ascii="Cambria" w:hAnsi="Cambria"/>
                                    </w:rPr>
                                    <w:t>u</w:t>
                                  </w:r>
                                  <w:r w:rsidRPr="00407032">
                                    <w:rPr>
                                      <w:rFonts w:ascii="Cambria" w:hAnsi="Cambria"/>
                                    </w:rPr>
                                    <w:t>r/raw material costs.</w:t>
                                  </w:r>
                                </w:p>
                                <w:p w14:paraId="6FA9F2CA" w14:textId="5FB14E3B" w:rsidR="0017069A" w:rsidRPr="00407032" w:rsidRDefault="001B2405" w:rsidP="001B2405">
                                  <w:pPr>
                                    <w:rPr>
                                      <w:rFonts w:ascii="Cambria" w:hAnsi="Cambria"/>
                                    </w:rPr>
                                  </w:pPr>
                                  <w:r w:rsidRPr="00407032">
                                    <w:rPr>
                                      <w:rFonts w:ascii="Cambria" w:hAnsi="Cambria"/>
                                    </w:rPr>
                                    <w:t>- Weak e-commerce penetration compared to peers.</w:t>
                                  </w:r>
                                </w:p>
                              </w:tc>
                            </w:tr>
                            <w:tr w:rsidR="00272285" w:rsidRPr="001B2405" w14:paraId="173FDECE" w14:textId="77777777" w:rsidTr="007D1A59">
                              <w:trPr>
                                <w:trHeight w:val="1909"/>
                              </w:trPr>
                              <w:tc>
                                <w:tcPr>
                                  <w:tcW w:w="1276" w:type="dxa"/>
                                </w:tcPr>
                                <w:p w14:paraId="47C82BBD" w14:textId="354679B2" w:rsidR="001B2405" w:rsidRPr="00407032" w:rsidRDefault="001B2405" w:rsidP="001B2405">
                                  <w:pPr>
                                    <w:rPr>
                                      <w:rFonts w:ascii="Cambria" w:hAnsi="Cambria"/>
                                      <w:b/>
                                      <w:bCs/>
                                    </w:rPr>
                                  </w:pPr>
                                  <w:r w:rsidRPr="00407032">
                                    <w:rPr>
                                      <w:rFonts w:ascii="Cambria" w:hAnsi="Cambria"/>
                                      <w:b/>
                                      <w:bCs/>
                                    </w:rPr>
                                    <w:t>Magazine Luiza</w:t>
                                  </w:r>
                                </w:p>
                              </w:tc>
                              <w:tc>
                                <w:tcPr>
                                  <w:tcW w:w="4027" w:type="dxa"/>
                                </w:tcPr>
                                <w:p w14:paraId="5443F0D7" w14:textId="77777777" w:rsidR="001B2405" w:rsidRPr="00407032" w:rsidRDefault="001B2405" w:rsidP="001B2405">
                                  <w:pPr>
                                    <w:rPr>
                                      <w:rFonts w:ascii="Cambria" w:hAnsi="Cambria"/>
                                    </w:rPr>
                                  </w:pPr>
                                  <w:r w:rsidRPr="00407032">
                                    <w:rPr>
                                      <w:rFonts w:ascii="Cambria" w:hAnsi="Cambria"/>
                                    </w:rPr>
                                    <w:t>- Leading digital retailer in Brazil with strong online retail presence.</w:t>
                                  </w:r>
                                </w:p>
                                <w:p w14:paraId="6542D8E9" w14:textId="4D7B470A" w:rsidR="001B2405" w:rsidRPr="00407032" w:rsidRDefault="001B2405" w:rsidP="001B2405">
                                  <w:pPr>
                                    <w:rPr>
                                      <w:rFonts w:ascii="Cambria" w:hAnsi="Cambria"/>
                                    </w:rPr>
                                  </w:pPr>
                                  <w:r w:rsidRPr="00407032">
                                    <w:rPr>
                                      <w:rFonts w:ascii="Cambria" w:hAnsi="Cambria"/>
                                    </w:rPr>
                                    <w:t>- Capitalizing on Brazil’s rapid digital expansion.</w:t>
                                  </w:r>
                                </w:p>
                              </w:tc>
                              <w:tc>
                                <w:tcPr>
                                  <w:tcW w:w="4574" w:type="dxa"/>
                                </w:tcPr>
                                <w:p w14:paraId="346A3F87" w14:textId="77777777" w:rsidR="001B2405" w:rsidRPr="00407032" w:rsidRDefault="001B2405" w:rsidP="001B2405">
                                  <w:pPr>
                                    <w:rPr>
                                      <w:rFonts w:ascii="Cambria" w:hAnsi="Cambria"/>
                                    </w:rPr>
                                  </w:pPr>
                                  <w:r w:rsidRPr="00407032">
                                    <w:rPr>
                                      <w:rFonts w:ascii="Cambria" w:hAnsi="Cambria"/>
                                    </w:rPr>
                                    <w:t>- Highly vulnerable to Brazil’s economic downturn, rising inflation &amp; high interest rates (2% in 2020 to 13.75% in 2023).</w:t>
                                  </w:r>
                                </w:p>
                                <w:p w14:paraId="6B13F196" w14:textId="77777777" w:rsidR="001B2405" w:rsidRPr="00407032" w:rsidRDefault="001B2405" w:rsidP="001B2405">
                                  <w:pPr>
                                    <w:rPr>
                                      <w:rFonts w:ascii="Cambria" w:hAnsi="Cambria"/>
                                    </w:rPr>
                                  </w:pPr>
                                  <w:r w:rsidRPr="00407032">
                                    <w:rPr>
                                      <w:rFonts w:ascii="Cambria" w:hAnsi="Cambria"/>
                                    </w:rPr>
                                    <w:t>- Reliance on credit financing increases financial risk.</w:t>
                                  </w:r>
                                </w:p>
                                <w:p w14:paraId="50884806" w14:textId="7727F5A2" w:rsidR="001B2405" w:rsidRPr="00407032" w:rsidRDefault="001B2405" w:rsidP="001B2405">
                                  <w:pPr>
                                    <w:rPr>
                                      <w:rFonts w:ascii="Cambria" w:hAnsi="Cambria"/>
                                    </w:rPr>
                                  </w:pPr>
                                  <w:r w:rsidRPr="00407032">
                                    <w:rPr>
                                      <w:rFonts w:ascii="Cambria" w:hAnsi="Cambria"/>
                                    </w:rPr>
                                    <w:t>- Intensifying competition from MercadoLibre &amp; Amazon Brazil in logistics &amp; fintech.</w:t>
                                  </w:r>
                                </w:p>
                              </w:tc>
                            </w:tr>
                          </w:tbl>
                          <w:p w14:paraId="33DB26A7" w14:textId="07CF47A4" w:rsidR="003B2EA6" w:rsidRPr="004E69C5" w:rsidRDefault="00CD4810" w:rsidP="003B2EA6">
                            <w:pPr>
                              <w:rPr>
                                <w:rFonts w:ascii="Cambria" w:hAnsi="Cambria"/>
                                <w:i/>
                                <w:iCs/>
                                <w:sz w:val="20"/>
                                <w:szCs w:val="20"/>
                              </w:rPr>
                            </w:pPr>
                            <w:r>
                              <w:br/>
                            </w:r>
                            <w:r w:rsidR="004E69C5" w:rsidRPr="004E69C5">
                              <w:rPr>
                                <w:rFonts w:ascii="Cambria" w:hAnsi="Cambria"/>
                                <w:b/>
                                <w:bCs/>
                                <w:i/>
                                <w:iCs/>
                                <w:sz w:val="20"/>
                                <w:szCs w:val="20"/>
                              </w:rPr>
                              <w:t>Table 5</w:t>
                            </w:r>
                            <w:r w:rsidR="004E69C5" w:rsidRPr="004E69C5">
                              <w:rPr>
                                <w:rFonts w:ascii="Cambria" w:hAnsi="Cambria"/>
                                <w:i/>
                                <w:iCs/>
                                <w:sz w:val="20"/>
                                <w:szCs w:val="20"/>
                              </w:rPr>
                              <w:t>: Market Perception and Credit Risk – This table provides an overview of the credit ratings, market perception, and credit risk assessments for five major retailers, highlighting their relative creditworthiness, investor confidence, and risk exposure.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43D68" id="_x0000_s1030" type="#_x0000_t202" style="position:absolute;left:0;text-align:left;margin-left:-15.6pt;margin-top:150.25pt;width:513.6pt;height:42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" filled="f" stroked="f">
                <v:textbox>
                  <w:txbxContent>
                    <w:tbl>
                      <w:tblPr>
                        <w:tblStyle w:val="TableGrid"/>
                        <w:tblW w:w="9877" w:type="dxa"/>
                        <w:tblInd w:w="137" w:type="dxa"/>
                        <w:tblLook w:val="04A0" w:firstRow="1" w:lastRow="0" w:firstColumn="1" w:lastColumn="0" w:noHBand="0" w:noVBand="1"/>
                      </w:tblPr>
                      <w:tblGrid>
                        <w:gridCol w:w="1276"/>
                        <w:gridCol w:w="4027"/>
                        <w:gridCol w:w="4574"/>
                      </w:tblGrid>
                      <w:tr w:rsidR="00272285" w:rsidRPr="001B2405" w14:paraId="7F2A1096" w14:textId="77777777" w:rsidTr="007D1A59">
                        <w:trPr>
                          <w:trHeight w:val="1915"/>
                        </w:trPr>
                        <w:tc>
                          <w:tcPr>
                            <w:tcW w:w="1276" w:type="dxa"/>
                          </w:tcPr>
                          <w:p w14:paraId="3C797C63" w14:textId="63270AE1" w:rsidR="003B2EA6" w:rsidRPr="00407032" w:rsidRDefault="0017069A" w:rsidP="003B2EA6">
                            <w:pPr>
                              <w:rPr>
                                <w:rFonts w:ascii="Cambria" w:hAnsi="Cambria"/>
                                <w:b/>
                                <w:bCs/>
                              </w:rPr>
                            </w:pPr>
                            <w:r w:rsidRPr="00407032">
                              <w:rPr>
                                <w:rFonts w:ascii="Cambria" w:hAnsi="Cambria"/>
                                <w:b/>
                                <w:bCs/>
                              </w:rPr>
                              <w:t>Walmart</w:t>
                            </w:r>
                          </w:p>
                        </w:tc>
                        <w:tc>
                          <w:tcPr>
                            <w:tcW w:w="4027" w:type="dxa"/>
                          </w:tcPr>
                          <w:p w14:paraId="6AFC53A7" w14:textId="77777777" w:rsidR="0017069A" w:rsidRPr="00407032" w:rsidRDefault="0017069A" w:rsidP="0017069A">
                            <w:pPr>
                              <w:rPr>
                                <w:rFonts w:ascii="Cambria" w:hAnsi="Cambria"/>
                              </w:rPr>
                            </w:pPr>
                            <w:r w:rsidRPr="00407032">
                              <w:rPr>
                                <w:rFonts w:ascii="Cambria" w:hAnsi="Cambria"/>
                              </w:rPr>
                              <w:t>- Largest global retailer with extensive logistics and omnichannel presence.</w:t>
                            </w:r>
                          </w:p>
                          <w:p w14:paraId="6D221AD6" w14:textId="77777777" w:rsidR="0017069A" w:rsidRPr="00407032" w:rsidRDefault="0017069A" w:rsidP="0017069A">
                            <w:pPr>
                              <w:rPr>
                                <w:rFonts w:ascii="Cambria" w:hAnsi="Cambria"/>
                              </w:rPr>
                            </w:pPr>
                            <w:r w:rsidRPr="00407032">
                              <w:rPr>
                                <w:rFonts w:ascii="Cambria" w:hAnsi="Cambria"/>
                              </w:rPr>
                              <w:t>- Competitive pricing and strong supply chain capabilities.</w:t>
                            </w:r>
                          </w:p>
                          <w:p w14:paraId="1BA5C8D8" w14:textId="506C769B" w:rsidR="003B2EA6" w:rsidRPr="00407032" w:rsidRDefault="0017069A" w:rsidP="0017069A">
                            <w:pPr>
                              <w:rPr>
                                <w:rFonts w:ascii="Cambria" w:hAnsi="Cambria"/>
                              </w:rPr>
                            </w:pPr>
                            <w:r w:rsidRPr="00407032">
                              <w:rPr>
                                <w:rFonts w:ascii="Cambria" w:hAnsi="Cambria"/>
                              </w:rPr>
                              <w:t>- Expansion in emerging markets (China, Mexico, India).</w:t>
                            </w:r>
                          </w:p>
                        </w:tc>
                        <w:tc>
                          <w:tcPr>
                            <w:tcW w:w="4574" w:type="dxa"/>
                          </w:tcPr>
                          <w:p w14:paraId="252C4D14" w14:textId="77777777" w:rsidR="0017069A" w:rsidRPr="00407032" w:rsidRDefault="0017069A" w:rsidP="0017069A">
                            <w:pPr>
                              <w:rPr>
                                <w:rFonts w:ascii="Cambria" w:hAnsi="Cambria"/>
                              </w:rPr>
                            </w:pPr>
                            <w:r w:rsidRPr="00407032">
                              <w:rPr>
                                <w:rFonts w:ascii="Cambria" w:hAnsi="Cambria"/>
                              </w:rPr>
                              <w:t>- Intense competition from Amazon’s superior logistics and marketplace model.</w:t>
                            </w:r>
                          </w:p>
                          <w:p w14:paraId="2F95C9A4" w14:textId="77777777" w:rsidR="0017069A" w:rsidRPr="00407032" w:rsidRDefault="0017069A" w:rsidP="0017069A">
                            <w:pPr>
                              <w:rPr>
                                <w:rFonts w:ascii="Cambria" w:hAnsi="Cambria"/>
                              </w:rPr>
                            </w:pPr>
                            <w:r w:rsidRPr="00407032">
                              <w:rPr>
                                <w:rFonts w:ascii="Cambria" w:hAnsi="Cambria"/>
                              </w:rPr>
                              <w:t xml:space="preserve">- Margin pressures from rising </w:t>
                            </w:r>
                            <w:r w:rsidRPr="00407032">
                              <w:rPr>
                                <w:rFonts w:ascii="Cambria" w:hAnsi="Cambria"/>
                              </w:rPr>
                              <w:t>labor costs &amp; supply chain disruptions.</w:t>
                            </w:r>
                          </w:p>
                          <w:p w14:paraId="4216C901" w14:textId="20655619" w:rsidR="003B2EA6" w:rsidRPr="00407032" w:rsidRDefault="0017069A" w:rsidP="0017069A">
                            <w:pPr>
                              <w:rPr>
                                <w:rFonts w:ascii="Cambria" w:hAnsi="Cambria"/>
                              </w:rPr>
                            </w:pPr>
                            <w:r w:rsidRPr="00407032">
                              <w:rPr>
                                <w:rFonts w:ascii="Cambria" w:hAnsi="Cambria"/>
                              </w:rPr>
                              <w:t>- Exposure to geopolitical uncertainty and currency fluctuations.</w:t>
                            </w:r>
                          </w:p>
                        </w:tc>
                      </w:tr>
                      <w:tr w:rsidR="00272285" w:rsidRPr="001B2405" w14:paraId="46472E05" w14:textId="77777777" w:rsidTr="007D1A59">
                        <w:trPr>
                          <w:trHeight w:val="1618"/>
                        </w:trPr>
                        <w:tc>
                          <w:tcPr>
                            <w:tcW w:w="1276" w:type="dxa"/>
                          </w:tcPr>
                          <w:p w14:paraId="0BCB59E9" w14:textId="52338D73" w:rsidR="003B2EA6" w:rsidRPr="00407032" w:rsidRDefault="0017069A" w:rsidP="003B2EA6">
                            <w:pPr>
                              <w:rPr>
                                <w:rFonts w:ascii="Cambria" w:hAnsi="Cambria"/>
                                <w:b/>
                                <w:bCs/>
                              </w:rPr>
                            </w:pPr>
                            <w:r w:rsidRPr="00407032">
                              <w:rPr>
                                <w:rFonts w:ascii="Cambria" w:hAnsi="Cambria"/>
                                <w:b/>
                                <w:bCs/>
                              </w:rPr>
                              <w:t>Costco</w:t>
                            </w:r>
                          </w:p>
                        </w:tc>
                        <w:tc>
                          <w:tcPr>
                            <w:tcW w:w="4027" w:type="dxa"/>
                          </w:tcPr>
                          <w:p w14:paraId="4D7762AC" w14:textId="77777777" w:rsidR="0017069A" w:rsidRPr="00407032" w:rsidRDefault="0017069A" w:rsidP="0017069A">
                            <w:pPr>
                              <w:rPr>
                                <w:rFonts w:ascii="Cambria" w:hAnsi="Cambria"/>
                              </w:rPr>
                            </w:pPr>
                            <w:r w:rsidRPr="00407032">
                              <w:rPr>
                                <w:rFonts w:ascii="Cambria" w:hAnsi="Cambria"/>
                              </w:rPr>
                              <w:t>- Strong membership-based model ensuring recurring revenue and customer loyalty.</w:t>
                            </w:r>
                          </w:p>
                          <w:p w14:paraId="1344E63C" w14:textId="78114F13" w:rsidR="003B2EA6" w:rsidRPr="00407032" w:rsidRDefault="0017069A" w:rsidP="0017069A">
                            <w:pPr>
                              <w:rPr>
                                <w:rFonts w:ascii="Cambria" w:hAnsi="Cambria"/>
                              </w:rPr>
                            </w:pPr>
                            <w:r w:rsidRPr="00407032">
                              <w:rPr>
                                <w:rFonts w:ascii="Cambria" w:hAnsi="Cambria"/>
                              </w:rPr>
                              <w:t>- Bulk purchasing and high inventory turnover provide pricing advantage.</w:t>
                            </w:r>
                          </w:p>
                        </w:tc>
                        <w:tc>
                          <w:tcPr>
                            <w:tcW w:w="4574" w:type="dxa"/>
                          </w:tcPr>
                          <w:p w14:paraId="2A993694" w14:textId="77777777" w:rsidR="0017069A" w:rsidRPr="00407032" w:rsidRDefault="0017069A" w:rsidP="0017069A">
                            <w:pPr>
                              <w:rPr>
                                <w:rFonts w:ascii="Cambria" w:hAnsi="Cambria"/>
                              </w:rPr>
                            </w:pPr>
                            <w:r w:rsidRPr="00407032">
                              <w:rPr>
                                <w:rFonts w:ascii="Cambria" w:hAnsi="Cambria"/>
                              </w:rPr>
                              <w:t>- Lagging in digital transformation compared to Walmart &amp; Amazon.</w:t>
                            </w:r>
                          </w:p>
                          <w:p w14:paraId="52CF9D5D" w14:textId="77777777" w:rsidR="0017069A" w:rsidRPr="00407032" w:rsidRDefault="0017069A" w:rsidP="0017069A">
                            <w:pPr>
                              <w:rPr>
                                <w:rFonts w:ascii="Cambria" w:hAnsi="Cambria"/>
                              </w:rPr>
                            </w:pPr>
                            <w:r w:rsidRPr="00407032">
                              <w:rPr>
                                <w:rFonts w:ascii="Cambria" w:hAnsi="Cambria"/>
                              </w:rPr>
                              <w:t>- Smaller international footprint limits long-term growth potential.</w:t>
                            </w:r>
                          </w:p>
                          <w:p w14:paraId="5541542D" w14:textId="01D4CB36" w:rsidR="003B2EA6" w:rsidRPr="00407032" w:rsidRDefault="0017069A" w:rsidP="0017069A">
                            <w:pPr>
                              <w:rPr>
                                <w:rFonts w:ascii="Cambria" w:hAnsi="Cambria"/>
                              </w:rPr>
                            </w:pPr>
                            <w:r w:rsidRPr="00407032">
                              <w:rPr>
                                <w:rFonts w:ascii="Cambria" w:hAnsi="Cambria"/>
                              </w:rPr>
                              <w:t>- Increasing competition in global expansion efforts.</w:t>
                            </w:r>
                          </w:p>
                        </w:tc>
                      </w:tr>
                      <w:tr w:rsidR="00272285" w:rsidRPr="001B2405" w14:paraId="65D41C40" w14:textId="77777777" w:rsidTr="007D1A59">
                        <w:trPr>
                          <w:trHeight w:val="1896"/>
                        </w:trPr>
                        <w:tc>
                          <w:tcPr>
                            <w:tcW w:w="1276" w:type="dxa"/>
                          </w:tcPr>
                          <w:p w14:paraId="26A1E581" w14:textId="0015FBC9" w:rsidR="0017069A" w:rsidRPr="00407032" w:rsidRDefault="001B2405" w:rsidP="003B2EA6">
                            <w:pPr>
                              <w:rPr>
                                <w:rFonts w:ascii="Cambria" w:hAnsi="Cambria"/>
                                <w:b/>
                                <w:bCs/>
                              </w:rPr>
                            </w:pPr>
                            <w:r w:rsidRPr="00407032">
                              <w:rPr>
                                <w:rFonts w:ascii="Cambria" w:hAnsi="Cambria"/>
                                <w:b/>
                                <w:bCs/>
                              </w:rPr>
                              <w:t>Carrefour</w:t>
                            </w:r>
                          </w:p>
                        </w:tc>
                        <w:tc>
                          <w:tcPr>
                            <w:tcW w:w="4027" w:type="dxa"/>
                          </w:tcPr>
                          <w:p w14:paraId="37D76FF3" w14:textId="77777777" w:rsidR="001B2405" w:rsidRPr="00407032" w:rsidRDefault="001B2405" w:rsidP="001B2405">
                            <w:pPr>
                              <w:rPr>
                                <w:rFonts w:ascii="Cambria" w:hAnsi="Cambria"/>
                              </w:rPr>
                            </w:pPr>
                            <w:r w:rsidRPr="00407032">
                              <w:rPr>
                                <w:rFonts w:ascii="Cambria" w:hAnsi="Cambria"/>
                              </w:rPr>
                              <w:t>- European retail giant with a strong physical store presence.</w:t>
                            </w:r>
                          </w:p>
                          <w:p w14:paraId="2BEE4A6D" w14:textId="5EEE8EA6" w:rsidR="0017069A" w:rsidRPr="00407032" w:rsidRDefault="001B2405" w:rsidP="001B2405">
                            <w:pPr>
                              <w:rPr>
                                <w:rFonts w:ascii="Cambria" w:hAnsi="Cambria"/>
                              </w:rPr>
                            </w:pPr>
                            <w:r w:rsidRPr="00407032">
                              <w:rPr>
                                <w:rFonts w:ascii="Cambria" w:hAnsi="Cambria"/>
                              </w:rPr>
                              <w:t>- Expanding into emerging markets (Latin America, Middle East).</w:t>
                            </w:r>
                          </w:p>
                        </w:tc>
                        <w:tc>
                          <w:tcPr>
                            <w:tcW w:w="4574" w:type="dxa"/>
                          </w:tcPr>
                          <w:p w14:paraId="37B86123" w14:textId="77777777" w:rsidR="001B2405" w:rsidRPr="00407032" w:rsidRDefault="001B2405" w:rsidP="001B2405">
                            <w:pPr>
                              <w:rPr>
                                <w:rFonts w:ascii="Cambria" w:hAnsi="Cambria"/>
                              </w:rPr>
                            </w:pPr>
                            <w:r w:rsidRPr="00407032">
                              <w:rPr>
                                <w:rFonts w:ascii="Cambria" w:hAnsi="Cambria"/>
                              </w:rPr>
                              <w:t>- Low-margin operations &amp; inefficiencies, especially in Europe.</w:t>
                            </w:r>
                          </w:p>
                          <w:p w14:paraId="37735C86" w14:textId="27209653" w:rsidR="001B2405" w:rsidRPr="00407032" w:rsidRDefault="001B2405" w:rsidP="001B2405">
                            <w:pPr>
                              <w:rPr>
                                <w:rFonts w:ascii="Cambria" w:hAnsi="Cambria"/>
                              </w:rPr>
                            </w:pPr>
                            <w:r w:rsidRPr="00407032">
                              <w:rPr>
                                <w:rFonts w:ascii="Cambria" w:hAnsi="Cambria"/>
                              </w:rPr>
                              <w:t>- Price-sensitive model limits flexibility against inflation and rising labo</w:t>
                            </w:r>
                            <w:r w:rsidR="00C54036" w:rsidRPr="00407032">
                              <w:rPr>
                                <w:rFonts w:ascii="Cambria" w:hAnsi="Cambria"/>
                              </w:rPr>
                              <w:t>u</w:t>
                            </w:r>
                            <w:r w:rsidRPr="00407032">
                              <w:rPr>
                                <w:rFonts w:ascii="Cambria" w:hAnsi="Cambria"/>
                              </w:rPr>
                              <w:t>r/raw material costs.</w:t>
                            </w:r>
                          </w:p>
                          <w:p w14:paraId="6FA9F2CA" w14:textId="5FB14E3B" w:rsidR="0017069A" w:rsidRPr="00407032" w:rsidRDefault="001B2405" w:rsidP="001B2405">
                            <w:pPr>
                              <w:rPr>
                                <w:rFonts w:ascii="Cambria" w:hAnsi="Cambria"/>
                              </w:rPr>
                            </w:pPr>
                            <w:r w:rsidRPr="00407032">
                              <w:rPr>
                                <w:rFonts w:ascii="Cambria" w:hAnsi="Cambria"/>
                              </w:rPr>
                              <w:t>- Weak e-commerce penetration compared to peers.</w:t>
                            </w:r>
                          </w:p>
                        </w:tc>
                      </w:tr>
                      <w:tr w:rsidR="00272285" w:rsidRPr="001B2405" w14:paraId="173FDECE" w14:textId="77777777" w:rsidTr="007D1A59">
                        <w:trPr>
                          <w:trHeight w:val="1909"/>
                        </w:trPr>
                        <w:tc>
                          <w:tcPr>
                            <w:tcW w:w="1276" w:type="dxa"/>
                          </w:tcPr>
                          <w:p w14:paraId="47C82BBD" w14:textId="354679B2" w:rsidR="001B2405" w:rsidRPr="00407032" w:rsidRDefault="001B2405" w:rsidP="001B2405">
                            <w:pPr>
                              <w:rPr>
                                <w:rFonts w:ascii="Cambria" w:hAnsi="Cambria"/>
                                <w:b/>
                                <w:bCs/>
                              </w:rPr>
                            </w:pPr>
                            <w:r w:rsidRPr="00407032">
                              <w:rPr>
                                <w:rFonts w:ascii="Cambria" w:hAnsi="Cambria"/>
                                <w:b/>
                                <w:bCs/>
                              </w:rPr>
                              <w:t>Magazine Luiza</w:t>
                            </w:r>
                          </w:p>
                        </w:tc>
                        <w:tc>
                          <w:tcPr>
                            <w:tcW w:w="4027" w:type="dxa"/>
                          </w:tcPr>
                          <w:p w14:paraId="5443F0D7" w14:textId="77777777" w:rsidR="001B2405" w:rsidRPr="00407032" w:rsidRDefault="001B2405" w:rsidP="001B2405">
                            <w:pPr>
                              <w:rPr>
                                <w:rFonts w:ascii="Cambria" w:hAnsi="Cambria"/>
                              </w:rPr>
                            </w:pPr>
                            <w:r w:rsidRPr="00407032">
                              <w:rPr>
                                <w:rFonts w:ascii="Cambria" w:hAnsi="Cambria"/>
                              </w:rPr>
                              <w:t>- Leading digital retailer in Brazil with strong online retail presence.</w:t>
                            </w:r>
                          </w:p>
                          <w:p w14:paraId="6542D8E9" w14:textId="4D7B470A" w:rsidR="001B2405" w:rsidRPr="00407032" w:rsidRDefault="001B2405" w:rsidP="001B2405">
                            <w:pPr>
                              <w:rPr>
                                <w:rFonts w:ascii="Cambria" w:hAnsi="Cambria"/>
                              </w:rPr>
                            </w:pPr>
                            <w:r w:rsidRPr="00407032">
                              <w:rPr>
                                <w:rFonts w:ascii="Cambria" w:hAnsi="Cambria"/>
                              </w:rPr>
                              <w:t>- Capitalizing on Brazil’s rapid digital expansion.</w:t>
                            </w:r>
                          </w:p>
                        </w:tc>
                        <w:tc>
                          <w:tcPr>
                            <w:tcW w:w="4574" w:type="dxa"/>
                          </w:tcPr>
                          <w:p w14:paraId="346A3F87" w14:textId="77777777" w:rsidR="001B2405" w:rsidRPr="00407032" w:rsidRDefault="001B2405" w:rsidP="001B2405">
                            <w:pPr>
                              <w:rPr>
                                <w:rFonts w:ascii="Cambria" w:hAnsi="Cambria"/>
                              </w:rPr>
                            </w:pPr>
                            <w:r w:rsidRPr="00407032">
                              <w:rPr>
                                <w:rFonts w:ascii="Cambria" w:hAnsi="Cambria"/>
                              </w:rPr>
                              <w:t>- Highly vulnerable to Brazil’s economic downturn, rising inflation &amp; high interest rates (2% in 2020 to 13.75% in 2023).</w:t>
                            </w:r>
                          </w:p>
                          <w:p w14:paraId="6B13F196" w14:textId="77777777" w:rsidR="001B2405" w:rsidRPr="00407032" w:rsidRDefault="001B2405" w:rsidP="001B2405">
                            <w:pPr>
                              <w:rPr>
                                <w:rFonts w:ascii="Cambria" w:hAnsi="Cambria"/>
                              </w:rPr>
                            </w:pPr>
                            <w:r w:rsidRPr="00407032">
                              <w:rPr>
                                <w:rFonts w:ascii="Cambria" w:hAnsi="Cambria"/>
                              </w:rPr>
                              <w:t>- Reliance on credit financing increases financial risk.</w:t>
                            </w:r>
                          </w:p>
                          <w:p w14:paraId="50884806" w14:textId="7727F5A2" w:rsidR="001B2405" w:rsidRPr="00407032" w:rsidRDefault="001B2405" w:rsidP="001B2405">
                            <w:pPr>
                              <w:rPr>
                                <w:rFonts w:ascii="Cambria" w:hAnsi="Cambria"/>
                              </w:rPr>
                            </w:pPr>
                            <w:r w:rsidRPr="00407032">
                              <w:rPr>
                                <w:rFonts w:ascii="Cambria" w:hAnsi="Cambria"/>
                              </w:rPr>
                              <w:t>- Intensifying competition from MercadoLibre &amp; Amazon Brazil in logistics &amp; fintech.</w:t>
                            </w:r>
                          </w:p>
                        </w:tc>
                      </w:tr>
                    </w:tbl>
                    <w:p w14:paraId="33DB26A7" w14:textId="07CF47A4" w:rsidR="003B2EA6" w:rsidRPr="004E69C5" w:rsidRDefault="00CD4810" w:rsidP="003B2EA6">
                      <w:pPr>
                        <w:rPr>
                          <w:rFonts w:ascii="Cambria" w:hAnsi="Cambria"/>
                          <w:i/>
                          <w:iCs/>
                          <w:sz w:val="20"/>
                          <w:szCs w:val="20"/>
                        </w:rPr>
                      </w:pPr>
                      <w:r>
                        <w:br/>
                      </w:r>
                      <w:r w:rsidR="004E69C5" w:rsidRPr="004E69C5">
                        <w:rPr>
                          <w:rFonts w:ascii="Cambria" w:hAnsi="Cambria"/>
                          <w:b/>
                          <w:bCs/>
                          <w:i/>
                          <w:iCs/>
                          <w:sz w:val="20"/>
                          <w:szCs w:val="20"/>
                        </w:rPr>
                        <w:t>Table 5</w:t>
                      </w:r>
                      <w:r w:rsidR="004E69C5" w:rsidRPr="004E69C5">
                        <w:rPr>
                          <w:rFonts w:ascii="Cambria" w:hAnsi="Cambria"/>
                          <w:i/>
                          <w:iCs/>
                          <w:sz w:val="20"/>
                          <w:szCs w:val="20"/>
                        </w:rPr>
                        <w:t>: Market Perception and Credit Risk – This table provides an overview of the credit ratings, market perception, and credit risk assessments for five major retailers, highlighting their relative creditworthiness, investor confidence, and risk exposure.</w:t>
                      </w:r>
                    </w:p>
                  </w:txbxContent>
                </v:textbox>
                <w10:wrap type="square" anchorx="margin"/>
              </v:shape>
            </w:pict>
          </mc:Fallback>
        </mc:AlternateContent>
      </w:r>
      <w:r w:rsidR="001B2405" w:rsidRPr="00456405">
        <w:rPr>
          <w:rFonts w:ascii="Cambria" w:hAnsi="Cambria"/>
          <w:noProof/>
          <w:sz w:val="24"/>
          <w:szCs w:val="24"/>
        </w:rPr>
        <mc:AlternateContent>
          <mc:Choice Requires="wps">
            <w:drawing>
              <wp:anchor distT="45720" distB="45720" distL="114300" distR="114300" simplePos="0" relativeHeight="251669504" behindDoc="0" locked="0" layoutInCell="1" allowOverlap="1" wp14:anchorId="569470E9" wp14:editId="305DC769">
                <wp:simplePos x="0" y="0"/>
                <wp:positionH relativeFrom="margin">
                  <wp:posOffset>-184150</wp:posOffset>
                </wp:positionH>
                <wp:positionV relativeFrom="paragraph">
                  <wp:posOffset>412115</wp:posOffset>
                </wp:positionV>
                <wp:extent cx="6629400" cy="20726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072640"/>
                        </a:xfrm>
                        <a:prstGeom prst="rect">
                          <a:avLst/>
                        </a:prstGeom>
                        <a:noFill/>
                        <a:ln w="9525">
                          <a:noFill/>
                          <a:miter lim="800000"/>
                          <a:headEnd/>
                          <a:tailEnd/>
                        </a:ln>
                      </wps:spPr>
                      <wps:txbx>
                        <w:txbxContent>
                          <w:tbl>
                            <w:tblPr>
                              <w:tblStyle w:val="TableGrid"/>
                              <w:tblW w:w="0" w:type="auto"/>
                              <w:tblInd w:w="137" w:type="dxa"/>
                              <w:tblLook w:val="04A0" w:firstRow="1" w:lastRow="0" w:firstColumn="1" w:lastColumn="0" w:noHBand="0" w:noVBand="1"/>
                            </w:tblPr>
                            <w:tblGrid>
                              <w:gridCol w:w="1276"/>
                              <w:gridCol w:w="3993"/>
                              <w:gridCol w:w="4593"/>
                            </w:tblGrid>
                            <w:tr w:rsidR="003B2EA6" w:rsidRPr="00407032" w14:paraId="7DF7FD3F" w14:textId="77777777" w:rsidTr="007D1A59">
                              <w:trPr>
                                <w:trHeight w:val="291"/>
                              </w:trPr>
                              <w:tc>
                                <w:tcPr>
                                  <w:tcW w:w="1276" w:type="dxa"/>
                                </w:tcPr>
                                <w:p w14:paraId="28CC7049" w14:textId="3CC5B8B4" w:rsidR="003B2EA6" w:rsidRPr="00407032" w:rsidRDefault="003B2EA6">
                                  <w:pPr>
                                    <w:rPr>
                                      <w:rFonts w:ascii="Cambria" w:hAnsi="Cambria"/>
                                      <w:b/>
                                      <w:bCs/>
                                    </w:rPr>
                                  </w:pPr>
                                  <w:r w:rsidRPr="00407032">
                                    <w:rPr>
                                      <w:rFonts w:ascii="Cambria" w:hAnsi="Cambria"/>
                                      <w:b/>
                                      <w:bCs/>
                                    </w:rPr>
                                    <w:t>Company</w:t>
                                  </w:r>
                                </w:p>
                              </w:tc>
                              <w:tc>
                                <w:tcPr>
                                  <w:tcW w:w="3993" w:type="dxa"/>
                                </w:tcPr>
                                <w:p w14:paraId="45FC5ABD" w14:textId="6634B0BC" w:rsidR="003B2EA6" w:rsidRPr="00407032" w:rsidRDefault="003B2EA6">
                                  <w:pPr>
                                    <w:rPr>
                                      <w:rFonts w:ascii="Cambria" w:hAnsi="Cambria"/>
                                      <w:b/>
                                      <w:bCs/>
                                    </w:rPr>
                                  </w:pPr>
                                  <w:r w:rsidRPr="00407032">
                                    <w:rPr>
                                      <w:rFonts w:ascii="Cambria" w:hAnsi="Cambria"/>
                                      <w:b/>
                                      <w:bCs/>
                                    </w:rPr>
                                    <w:t>Competitive Strengths</w:t>
                                  </w:r>
                                </w:p>
                              </w:tc>
                              <w:tc>
                                <w:tcPr>
                                  <w:tcW w:w="4593" w:type="dxa"/>
                                </w:tcPr>
                                <w:p w14:paraId="7D31E3AA" w14:textId="48C27616" w:rsidR="003B2EA6" w:rsidRPr="00407032" w:rsidRDefault="003B2EA6">
                                  <w:pPr>
                                    <w:rPr>
                                      <w:rFonts w:ascii="Cambria" w:hAnsi="Cambria"/>
                                      <w:b/>
                                      <w:bCs/>
                                    </w:rPr>
                                  </w:pPr>
                                  <w:r w:rsidRPr="00407032">
                                    <w:rPr>
                                      <w:rFonts w:ascii="Cambria" w:hAnsi="Cambria"/>
                                      <w:b/>
                                      <w:bCs/>
                                    </w:rPr>
                                    <w:t>Challenges &amp; Risks</w:t>
                                  </w:r>
                                </w:p>
                              </w:tc>
                            </w:tr>
                            <w:tr w:rsidR="003B2EA6" w:rsidRPr="00407032" w14:paraId="140FB425" w14:textId="77777777" w:rsidTr="000F1926">
                              <w:trPr>
                                <w:trHeight w:val="1953"/>
                              </w:trPr>
                              <w:tc>
                                <w:tcPr>
                                  <w:tcW w:w="1276" w:type="dxa"/>
                                </w:tcPr>
                                <w:p w14:paraId="2DBB49E8" w14:textId="06643EBB" w:rsidR="003B2EA6" w:rsidRPr="00407032" w:rsidRDefault="003B2EA6">
                                  <w:pPr>
                                    <w:rPr>
                                      <w:rFonts w:ascii="Cambria" w:hAnsi="Cambria"/>
                                      <w:b/>
                                      <w:bCs/>
                                    </w:rPr>
                                  </w:pPr>
                                  <w:r w:rsidRPr="00407032">
                                    <w:rPr>
                                      <w:rFonts w:ascii="Cambria" w:hAnsi="Cambria"/>
                                      <w:b/>
                                      <w:bCs/>
                                    </w:rPr>
                                    <w:t>Alibaba</w:t>
                                  </w:r>
                                </w:p>
                              </w:tc>
                              <w:tc>
                                <w:tcPr>
                                  <w:tcW w:w="3993" w:type="dxa"/>
                                </w:tcPr>
                                <w:p w14:paraId="7D6D31A6" w14:textId="77777777" w:rsidR="003B2EA6" w:rsidRPr="00407032" w:rsidRDefault="003B2EA6" w:rsidP="003B2EA6">
                                  <w:pPr>
                                    <w:rPr>
                                      <w:rFonts w:ascii="Cambria" w:hAnsi="Cambria"/>
                                    </w:rPr>
                                  </w:pPr>
                                  <w:r w:rsidRPr="00407032">
                                    <w:rPr>
                                      <w:rFonts w:ascii="Cambria" w:hAnsi="Cambria"/>
                                    </w:rPr>
                                    <w:t>- Diversified business model with strong cloud computing growth (9% of revenue in FY 2024).</w:t>
                                  </w:r>
                                </w:p>
                                <w:p w14:paraId="050F120A" w14:textId="6116A14B" w:rsidR="003B2EA6" w:rsidRPr="00407032" w:rsidRDefault="003B2EA6" w:rsidP="003B2EA6">
                                  <w:pPr>
                                    <w:rPr>
                                      <w:rFonts w:ascii="Cambria" w:hAnsi="Cambria"/>
                                    </w:rPr>
                                  </w:pPr>
                                  <w:r w:rsidRPr="00407032">
                                    <w:rPr>
                                      <w:rFonts w:ascii="Cambria" w:hAnsi="Cambria"/>
                                    </w:rPr>
                                    <w:t>- Resilient in adapting to regulatory pressures and global expansion in Southeast Asia &amp; Europe.</w:t>
                                  </w:r>
                                </w:p>
                              </w:tc>
                              <w:tc>
                                <w:tcPr>
                                  <w:tcW w:w="4593" w:type="dxa"/>
                                </w:tcPr>
                                <w:p w14:paraId="179F7A68" w14:textId="77777777" w:rsidR="003B2EA6" w:rsidRPr="00407032" w:rsidRDefault="003B2EA6" w:rsidP="003B2EA6">
                                  <w:pPr>
                                    <w:rPr>
                                      <w:rFonts w:ascii="Cambria" w:hAnsi="Cambria"/>
                                    </w:rPr>
                                  </w:pPr>
                                  <w:r w:rsidRPr="00407032">
                                    <w:rPr>
                                      <w:rFonts w:ascii="Cambria" w:hAnsi="Cambria"/>
                                    </w:rPr>
                                    <w:t>- Regulatory crackdown leading to $2.8B antitrust fines and restructuring.</w:t>
                                  </w:r>
                                </w:p>
                                <w:p w14:paraId="5C27B688" w14:textId="02A3121A" w:rsidR="003B2EA6" w:rsidRPr="00407032" w:rsidRDefault="003B2EA6" w:rsidP="003B2EA6">
                                  <w:pPr>
                                    <w:rPr>
                                      <w:rFonts w:ascii="Cambria" w:hAnsi="Cambria"/>
                                    </w:rPr>
                                  </w:pPr>
                                  <w:r w:rsidRPr="00407032">
                                    <w:rPr>
                                      <w:rFonts w:ascii="Cambria" w:hAnsi="Cambria"/>
                                    </w:rPr>
                                    <w:t xml:space="preserve">- Erosion of e-commerce market share (55% </w:t>
                                  </w:r>
                                  <w:r w:rsidR="00F72C27" w:rsidRPr="00407032">
                                    <w:rPr>
                                      <w:rFonts w:ascii="Cambria" w:hAnsi="Cambria"/>
                                    </w:rPr>
                                    <w:t xml:space="preserve">       </w:t>
                                  </w:r>
                                  <w:r w:rsidRPr="00407032">
                                    <w:rPr>
                                      <w:rFonts w:ascii="Cambria" w:hAnsi="Cambria"/>
                                    </w:rPr>
                                    <w:t xml:space="preserve">to 47%) due to increased competition from JD.com &amp; </w:t>
                                  </w:r>
                                  <w:r w:rsidRPr="00407032">
                                    <w:rPr>
                                      <w:rFonts w:ascii="Cambria" w:hAnsi="Cambria"/>
                                    </w:rPr>
                                    <w:t>Pinduoduo.</w:t>
                                  </w:r>
                                </w:p>
                                <w:p w14:paraId="2E33CB6C" w14:textId="7A925592" w:rsidR="003B2EA6" w:rsidRPr="00407032" w:rsidRDefault="003B2EA6" w:rsidP="003B2EA6">
                                  <w:pPr>
                                    <w:rPr>
                                      <w:rFonts w:ascii="Cambria" w:hAnsi="Cambria"/>
                                    </w:rPr>
                                  </w:pPr>
                                  <w:r w:rsidRPr="00407032">
                                    <w:rPr>
                                      <w:rFonts w:ascii="Cambria" w:hAnsi="Cambria"/>
                                    </w:rPr>
                                    <w:t>- Struggles in sustaining dominance amidst regulatory and competitive pressures.</w:t>
                                  </w:r>
                                </w:p>
                              </w:tc>
                            </w:tr>
                          </w:tbl>
                          <w:p w14:paraId="11A8D147" w14:textId="6276304F" w:rsidR="003B2EA6" w:rsidRPr="00407032" w:rsidRDefault="003B2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70E9" id="_x0000_s1031" type="#_x0000_t202" style="position:absolute;left:0;text-align:left;margin-left:-14.5pt;margin-top:32.45pt;width:522pt;height:163.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" filled="f" stroked="f">
                <v:textbox>
                  <w:txbxContent>
                    <w:tbl>
                      <w:tblPr>
                        <w:tblStyle w:val="TableGrid"/>
                        <w:tblW w:w="0" w:type="auto"/>
                        <w:tblInd w:w="137" w:type="dxa"/>
                        <w:tblLook w:val="04A0" w:firstRow="1" w:lastRow="0" w:firstColumn="1" w:lastColumn="0" w:noHBand="0" w:noVBand="1"/>
                      </w:tblPr>
                      <w:tblGrid>
                        <w:gridCol w:w="1276"/>
                        <w:gridCol w:w="3993"/>
                        <w:gridCol w:w="4593"/>
                      </w:tblGrid>
                      <w:tr w:rsidR="003B2EA6" w:rsidRPr="00407032" w14:paraId="7DF7FD3F" w14:textId="77777777" w:rsidTr="007D1A59">
                        <w:trPr>
                          <w:trHeight w:val="291"/>
                        </w:trPr>
                        <w:tc>
                          <w:tcPr>
                            <w:tcW w:w="1276" w:type="dxa"/>
                          </w:tcPr>
                          <w:p w14:paraId="28CC7049" w14:textId="3CC5B8B4" w:rsidR="003B2EA6" w:rsidRPr="00407032" w:rsidRDefault="003B2EA6">
                            <w:pPr>
                              <w:rPr>
                                <w:rFonts w:ascii="Cambria" w:hAnsi="Cambria"/>
                                <w:b/>
                                <w:bCs/>
                              </w:rPr>
                            </w:pPr>
                            <w:r w:rsidRPr="00407032">
                              <w:rPr>
                                <w:rFonts w:ascii="Cambria" w:hAnsi="Cambria"/>
                                <w:b/>
                                <w:bCs/>
                              </w:rPr>
                              <w:t>Company</w:t>
                            </w:r>
                          </w:p>
                        </w:tc>
                        <w:tc>
                          <w:tcPr>
                            <w:tcW w:w="3993" w:type="dxa"/>
                          </w:tcPr>
                          <w:p w14:paraId="45FC5ABD" w14:textId="6634B0BC" w:rsidR="003B2EA6" w:rsidRPr="00407032" w:rsidRDefault="003B2EA6">
                            <w:pPr>
                              <w:rPr>
                                <w:rFonts w:ascii="Cambria" w:hAnsi="Cambria"/>
                                <w:b/>
                                <w:bCs/>
                              </w:rPr>
                            </w:pPr>
                            <w:r w:rsidRPr="00407032">
                              <w:rPr>
                                <w:rFonts w:ascii="Cambria" w:hAnsi="Cambria"/>
                                <w:b/>
                                <w:bCs/>
                              </w:rPr>
                              <w:t>Competitive Strengths</w:t>
                            </w:r>
                          </w:p>
                        </w:tc>
                        <w:tc>
                          <w:tcPr>
                            <w:tcW w:w="4593" w:type="dxa"/>
                          </w:tcPr>
                          <w:p w14:paraId="7D31E3AA" w14:textId="48C27616" w:rsidR="003B2EA6" w:rsidRPr="00407032" w:rsidRDefault="003B2EA6">
                            <w:pPr>
                              <w:rPr>
                                <w:rFonts w:ascii="Cambria" w:hAnsi="Cambria"/>
                                <w:b/>
                                <w:bCs/>
                              </w:rPr>
                            </w:pPr>
                            <w:r w:rsidRPr="00407032">
                              <w:rPr>
                                <w:rFonts w:ascii="Cambria" w:hAnsi="Cambria"/>
                                <w:b/>
                                <w:bCs/>
                              </w:rPr>
                              <w:t>Challenges &amp; Risks</w:t>
                            </w:r>
                          </w:p>
                        </w:tc>
                      </w:tr>
                      <w:tr w:rsidR="003B2EA6" w:rsidRPr="00407032" w14:paraId="140FB425" w14:textId="77777777" w:rsidTr="000F1926">
                        <w:trPr>
                          <w:trHeight w:val="1953"/>
                        </w:trPr>
                        <w:tc>
                          <w:tcPr>
                            <w:tcW w:w="1276" w:type="dxa"/>
                          </w:tcPr>
                          <w:p w14:paraId="2DBB49E8" w14:textId="06643EBB" w:rsidR="003B2EA6" w:rsidRPr="00407032" w:rsidRDefault="003B2EA6">
                            <w:pPr>
                              <w:rPr>
                                <w:rFonts w:ascii="Cambria" w:hAnsi="Cambria"/>
                                <w:b/>
                                <w:bCs/>
                              </w:rPr>
                            </w:pPr>
                            <w:r w:rsidRPr="00407032">
                              <w:rPr>
                                <w:rFonts w:ascii="Cambria" w:hAnsi="Cambria"/>
                                <w:b/>
                                <w:bCs/>
                              </w:rPr>
                              <w:t>Alibaba</w:t>
                            </w:r>
                          </w:p>
                        </w:tc>
                        <w:tc>
                          <w:tcPr>
                            <w:tcW w:w="3993" w:type="dxa"/>
                          </w:tcPr>
                          <w:p w14:paraId="7D6D31A6" w14:textId="77777777" w:rsidR="003B2EA6" w:rsidRPr="00407032" w:rsidRDefault="003B2EA6" w:rsidP="003B2EA6">
                            <w:pPr>
                              <w:rPr>
                                <w:rFonts w:ascii="Cambria" w:hAnsi="Cambria"/>
                              </w:rPr>
                            </w:pPr>
                            <w:r w:rsidRPr="00407032">
                              <w:rPr>
                                <w:rFonts w:ascii="Cambria" w:hAnsi="Cambria"/>
                              </w:rPr>
                              <w:t>- Diversified business model with strong cloud computing growth (9% of revenue in FY 2024).</w:t>
                            </w:r>
                          </w:p>
                          <w:p w14:paraId="050F120A" w14:textId="6116A14B" w:rsidR="003B2EA6" w:rsidRPr="00407032" w:rsidRDefault="003B2EA6" w:rsidP="003B2EA6">
                            <w:pPr>
                              <w:rPr>
                                <w:rFonts w:ascii="Cambria" w:hAnsi="Cambria"/>
                              </w:rPr>
                            </w:pPr>
                            <w:r w:rsidRPr="00407032">
                              <w:rPr>
                                <w:rFonts w:ascii="Cambria" w:hAnsi="Cambria"/>
                              </w:rPr>
                              <w:t>- Resilient in adapting to regulatory pressures and global expansion in Southeast Asia &amp; Europe.</w:t>
                            </w:r>
                          </w:p>
                        </w:tc>
                        <w:tc>
                          <w:tcPr>
                            <w:tcW w:w="4593" w:type="dxa"/>
                          </w:tcPr>
                          <w:p w14:paraId="179F7A68" w14:textId="77777777" w:rsidR="003B2EA6" w:rsidRPr="00407032" w:rsidRDefault="003B2EA6" w:rsidP="003B2EA6">
                            <w:pPr>
                              <w:rPr>
                                <w:rFonts w:ascii="Cambria" w:hAnsi="Cambria"/>
                              </w:rPr>
                            </w:pPr>
                            <w:r w:rsidRPr="00407032">
                              <w:rPr>
                                <w:rFonts w:ascii="Cambria" w:hAnsi="Cambria"/>
                              </w:rPr>
                              <w:t>- Regulatory crackdown leading to $2.8B antitrust fines and restructuring.</w:t>
                            </w:r>
                          </w:p>
                          <w:p w14:paraId="5C27B688" w14:textId="02A3121A" w:rsidR="003B2EA6" w:rsidRPr="00407032" w:rsidRDefault="003B2EA6" w:rsidP="003B2EA6">
                            <w:pPr>
                              <w:rPr>
                                <w:rFonts w:ascii="Cambria" w:hAnsi="Cambria"/>
                              </w:rPr>
                            </w:pPr>
                            <w:r w:rsidRPr="00407032">
                              <w:rPr>
                                <w:rFonts w:ascii="Cambria" w:hAnsi="Cambria"/>
                              </w:rPr>
                              <w:t xml:space="preserve">- Erosion of e-commerce market share (55% </w:t>
                            </w:r>
                            <w:r w:rsidR="00F72C27" w:rsidRPr="00407032">
                              <w:rPr>
                                <w:rFonts w:ascii="Cambria" w:hAnsi="Cambria"/>
                              </w:rPr>
                              <w:t xml:space="preserve">       </w:t>
                            </w:r>
                            <w:r w:rsidRPr="00407032">
                              <w:rPr>
                                <w:rFonts w:ascii="Cambria" w:hAnsi="Cambria"/>
                              </w:rPr>
                              <w:t xml:space="preserve">to 47%) due to increased competition from JD.com &amp; </w:t>
                            </w:r>
                            <w:r w:rsidRPr="00407032">
                              <w:rPr>
                                <w:rFonts w:ascii="Cambria" w:hAnsi="Cambria"/>
                              </w:rPr>
                              <w:t>Pinduoduo.</w:t>
                            </w:r>
                          </w:p>
                          <w:p w14:paraId="2E33CB6C" w14:textId="7A925592" w:rsidR="003B2EA6" w:rsidRPr="00407032" w:rsidRDefault="003B2EA6" w:rsidP="003B2EA6">
                            <w:pPr>
                              <w:rPr>
                                <w:rFonts w:ascii="Cambria" w:hAnsi="Cambria"/>
                              </w:rPr>
                            </w:pPr>
                            <w:r w:rsidRPr="00407032">
                              <w:rPr>
                                <w:rFonts w:ascii="Cambria" w:hAnsi="Cambria"/>
                              </w:rPr>
                              <w:t>- Struggles in sustaining dominance amidst regulatory and competitive pressures.</w:t>
                            </w:r>
                          </w:p>
                        </w:tc>
                      </w:tr>
                    </w:tbl>
                    <w:p w14:paraId="11A8D147" w14:textId="6276304F" w:rsidR="003B2EA6" w:rsidRPr="00407032" w:rsidRDefault="003B2EA6"/>
                  </w:txbxContent>
                </v:textbox>
                <w10:wrap type="square" anchorx="margin"/>
              </v:shape>
            </w:pict>
          </mc:Fallback>
        </mc:AlternateContent>
      </w:r>
      <w:r w:rsidR="00DD4CED" w:rsidRPr="00456405">
        <w:rPr>
          <w:rFonts w:ascii="Cambria" w:hAnsi="Cambria"/>
          <w:b/>
          <w:bCs/>
          <w:sz w:val="24"/>
          <w:szCs w:val="24"/>
        </w:rPr>
        <w:t>7. Business Risk and Competitive Advantage</w:t>
      </w:r>
      <w:r w:rsidR="00DD4CED" w:rsidRPr="00456405">
        <w:rPr>
          <w:rFonts w:ascii="Cambria" w:hAnsi="Cambria"/>
          <w:b/>
          <w:bCs/>
          <w:sz w:val="24"/>
          <w:szCs w:val="24"/>
        </w:rPr>
        <w:tab/>
      </w:r>
      <w:r w:rsidR="00DD4CED" w:rsidRPr="00456405">
        <w:rPr>
          <w:rFonts w:ascii="Cambria" w:hAnsi="Cambria"/>
          <w:b/>
          <w:bCs/>
          <w:sz w:val="24"/>
          <w:szCs w:val="24"/>
        </w:rPr>
        <w:br/>
      </w:r>
    </w:p>
    <w:p w14:paraId="0BBD4B61" w14:textId="64FAAB6B" w:rsidR="002514FE" w:rsidRPr="00456405" w:rsidRDefault="002F2D9B" w:rsidP="00730709">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679744" behindDoc="0" locked="0" layoutInCell="1" allowOverlap="1" wp14:anchorId="28DC7C59" wp14:editId="45CB360A">
                <wp:simplePos x="0" y="0"/>
                <wp:positionH relativeFrom="margin">
                  <wp:posOffset>-76200</wp:posOffset>
                </wp:positionH>
                <wp:positionV relativeFrom="paragraph">
                  <wp:posOffset>3779520</wp:posOffset>
                </wp:positionV>
                <wp:extent cx="6515100" cy="937260"/>
                <wp:effectExtent l="0" t="0" r="0" b="0"/>
                <wp:wrapSquare wrapText="bothSides"/>
                <wp:docPr id="1651441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3726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239"/>
                              <w:gridCol w:w="883"/>
                              <w:gridCol w:w="850"/>
                              <w:gridCol w:w="851"/>
                              <w:gridCol w:w="850"/>
                              <w:gridCol w:w="851"/>
                              <w:gridCol w:w="992"/>
                              <w:gridCol w:w="3242"/>
                            </w:tblGrid>
                            <w:tr w:rsidR="008D54BD" w14:paraId="53038F7E" w14:textId="77777777" w:rsidTr="00A41556">
                              <w:tc>
                                <w:tcPr>
                                  <w:tcW w:w="1239" w:type="dxa"/>
                                </w:tcPr>
                                <w:p w14:paraId="054EA778"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357B4CCF"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563E6D1A"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33EC585C"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0D069A11"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51512D15"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2023</w:t>
                                  </w:r>
                                </w:p>
                              </w:tc>
                              <w:tc>
                                <w:tcPr>
                                  <w:tcW w:w="992" w:type="dxa"/>
                                </w:tcPr>
                                <w:p w14:paraId="323B4D3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2024</w:t>
                                  </w:r>
                                </w:p>
                              </w:tc>
                              <w:tc>
                                <w:tcPr>
                                  <w:tcW w:w="3242" w:type="dxa"/>
                                </w:tcPr>
                                <w:p w14:paraId="280E98A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8D54BD" w14:paraId="5DB4DF1A" w14:textId="77777777" w:rsidTr="00A41556">
                              <w:tc>
                                <w:tcPr>
                                  <w:tcW w:w="1239" w:type="dxa"/>
                                </w:tcPr>
                                <w:p w14:paraId="4AA4B787" w14:textId="62C120E2"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Costco</w:t>
                                  </w:r>
                                  <w:r w:rsidR="00A41556">
                                    <w:rPr>
                                      <w:rFonts w:ascii="Cambria" w:hAnsi="Cambria"/>
                                      <w:b/>
                                      <w:bCs/>
                                      <w:sz w:val="24"/>
                                      <w:szCs w:val="24"/>
                                    </w:rPr>
                                    <w:t xml:space="preserve"> Z-Score</w:t>
                                  </w:r>
                                </w:p>
                              </w:tc>
                              <w:tc>
                                <w:tcPr>
                                  <w:tcW w:w="883" w:type="dxa"/>
                                </w:tcPr>
                                <w:p w14:paraId="2C219F5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6.66</w:t>
                                  </w:r>
                                </w:p>
                              </w:tc>
                              <w:tc>
                                <w:tcPr>
                                  <w:tcW w:w="850" w:type="dxa"/>
                                </w:tcPr>
                                <w:p w14:paraId="20E9C82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6.32</w:t>
                                  </w:r>
                                </w:p>
                              </w:tc>
                              <w:tc>
                                <w:tcPr>
                                  <w:tcW w:w="851" w:type="dxa"/>
                                </w:tcPr>
                                <w:p w14:paraId="43AF94CC"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6.84</w:t>
                                  </w:r>
                                </w:p>
                              </w:tc>
                              <w:tc>
                                <w:tcPr>
                                  <w:tcW w:w="850" w:type="dxa"/>
                                </w:tcPr>
                                <w:p w14:paraId="41EC24C9"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7.22</w:t>
                                  </w:r>
                                </w:p>
                              </w:tc>
                              <w:tc>
                                <w:tcPr>
                                  <w:tcW w:w="851" w:type="dxa"/>
                                </w:tcPr>
                                <w:p w14:paraId="1B4C0239"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7.77</w:t>
                                  </w:r>
                                </w:p>
                              </w:tc>
                              <w:tc>
                                <w:tcPr>
                                  <w:tcW w:w="992" w:type="dxa"/>
                                </w:tcPr>
                                <w:p w14:paraId="4DFDF7F5"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9.64</w:t>
                                  </w:r>
                                </w:p>
                              </w:tc>
                              <w:tc>
                                <w:tcPr>
                                  <w:tcW w:w="3242" w:type="dxa"/>
                                </w:tcPr>
                                <w:p w14:paraId="231E5523"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Very low risk, excellent credit standing</w:t>
                                  </w:r>
                                </w:p>
                              </w:tc>
                            </w:tr>
                          </w:tbl>
                          <w:p w14:paraId="673109AF" w14:textId="6A7A5666" w:rsidR="008D54BD" w:rsidRDefault="008D54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C7C59" id="_x0000_s1032" type="#_x0000_t202" style="position:absolute;left:0;text-align:left;margin-left:-6pt;margin-top:297.6pt;width:513pt;height:73.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" filled="f" stroked="f">
                <v:textbox>
                  <w:txbxContent>
                    <w:tbl>
                      <w:tblPr>
                        <w:tblStyle w:val="TableGrid"/>
                        <w:tblW w:w="0" w:type="auto"/>
                        <w:tblLook w:val="04A0" w:firstRow="1" w:lastRow="0" w:firstColumn="1" w:lastColumn="0" w:noHBand="0" w:noVBand="1"/>
                      </w:tblPr>
                      <w:tblGrid>
                        <w:gridCol w:w="1239"/>
                        <w:gridCol w:w="883"/>
                        <w:gridCol w:w="850"/>
                        <w:gridCol w:w="851"/>
                        <w:gridCol w:w="850"/>
                        <w:gridCol w:w="851"/>
                        <w:gridCol w:w="992"/>
                        <w:gridCol w:w="3242"/>
                      </w:tblGrid>
                      <w:tr w:rsidR="008D54BD" w14:paraId="53038F7E" w14:textId="77777777" w:rsidTr="00A41556">
                        <w:tc>
                          <w:tcPr>
                            <w:tcW w:w="1239" w:type="dxa"/>
                          </w:tcPr>
                          <w:p w14:paraId="054EA778"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357B4CCF"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563E6D1A"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33EC585C"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0D069A11"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51512D15"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2023</w:t>
                            </w:r>
                          </w:p>
                        </w:tc>
                        <w:tc>
                          <w:tcPr>
                            <w:tcW w:w="992" w:type="dxa"/>
                          </w:tcPr>
                          <w:p w14:paraId="323B4D3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2024</w:t>
                            </w:r>
                          </w:p>
                        </w:tc>
                        <w:tc>
                          <w:tcPr>
                            <w:tcW w:w="3242" w:type="dxa"/>
                          </w:tcPr>
                          <w:p w14:paraId="280E98A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8D54BD" w14:paraId="5DB4DF1A" w14:textId="77777777" w:rsidTr="00A41556">
                        <w:tc>
                          <w:tcPr>
                            <w:tcW w:w="1239" w:type="dxa"/>
                          </w:tcPr>
                          <w:p w14:paraId="4AA4B787" w14:textId="62C120E2"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Costco</w:t>
                            </w:r>
                            <w:r w:rsidR="00A41556">
                              <w:rPr>
                                <w:rFonts w:ascii="Cambria" w:hAnsi="Cambria"/>
                                <w:b/>
                                <w:bCs/>
                                <w:sz w:val="24"/>
                                <w:szCs w:val="24"/>
                              </w:rPr>
                              <w:t xml:space="preserve"> Z-Score</w:t>
                            </w:r>
                          </w:p>
                        </w:tc>
                        <w:tc>
                          <w:tcPr>
                            <w:tcW w:w="883" w:type="dxa"/>
                          </w:tcPr>
                          <w:p w14:paraId="2C219F5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6.66</w:t>
                            </w:r>
                          </w:p>
                        </w:tc>
                        <w:tc>
                          <w:tcPr>
                            <w:tcW w:w="850" w:type="dxa"/>
                          </w:tcPr>
                          <w:p w14:paraId="20E9C82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6.32</w:t>
                            </w:r>
                          </w:p>
                        </w:tc>
                        <w:tc>
                          <w:tcPr>
                            <w:tcW w:w="851" w:type="dxa"/>
                          </w:tcPr>
                          <w:p w14:paraId="43AF94CC"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6.84</w:t>
                            </w:r>
                          </w:p>
                        </w:tc>
                        <w:tc>
                          <w:tcPr>
                            <w:tcW w:w="850" w:type="dxa"/>
                          </w:tcPr>
                          <w:p w14:paraId="41EC24C9"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7.22</w:t>
                            </w:r>
                          </w:p>
                        </w:tc>
                        <w:tc>
                          <w:tcPr>
                            <w:tcW w:w="851" w:type="dxa"/>
                          </w:tcPr>
                          <w:p w14:paraId="1B4C0239"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7.77</w:t>
                            </w:r>
                          </w:p>
                        </w:tc>
                        <w:tc>
                          <w:tcPr>
                            <w:tcW w:w="992" w:type="dxa"/>
                          </w:tcPr>
                          <w:p w14:paraId="4DFDF7F5"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9.64</w:t>
                            </w:r>
                          </w:p>
                        </w:tc>
                        <w:tc>
                          <w:tcPr>
                            <w:tcW w:w="3242" w:type="dxa"/>
                          </w:tcPr>
                          <w:p w14:paraId="231E5523"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Very low risk, excellent credit standing</w:t>
                            </w:r>
                          </w:p>
                        </w:tc>
                      </w:tr>
                    </w:tbl>
                    <w:p w14:paraId="673109AF" w14:textId="6A7A5666" w:rsidR="008D54BD" w:rsidRDefault="008D54BD"/>
                  </w:txbxContent>
                </v:textbox>
                <w10:wrap type="square" anchorx="margin"/>
              </v:shape>
            </w:pict>
          </mc:Fallback>
        </mc:AlternateContent>
      </w:r>
      <w:r w:rsidR="00A41556" w:rsidRPr="00456405">
        <w:rPr>
          <w:rFonts w:ascii="Cambria" w:hAnsi="Cambria"/>
          <w:b/>
          <w:bCs/>
          <w:noProof/>
          <w:sz w:val="24"/>
          <w:szCs w:val="24"/>
        </w:rPr>
        <mc:AlternateContent>
          <mc:Choice Requires="wps">
            <w:drawing>
              <wp:anchor distT="45720" distB="45720" distL="114300" distR="114300" simplePos="0" relativeHeight="251681792" behindDoc="0" locked="0" layoutInCell="1" allowOverlap="1" wp14:anchorId="23BD1F69" wp14:editId="4D2463B8">
                <wp:simplePos x="0" y="0"/>
                <wp:positionH relativeFrom="margin">
                  <wp:align>center</wp:align>
                </wp:positionH>
                <wp:positionV relativeFrom="paragraph">
                  <wp:posOffset>6652260</wp:posOffset>
                </wp:positionV>
                <wp:extent cx="6324600" cy="906780"/>
                <wp:effectExtent l="0" t="0" r="0" b="0"/>
                <wp:wrapSquare wrapText="bothSides"/>
                <wp:docPr id="382448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0678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239"/>
                              <w:gridCol w:w="883"/>
                              <w:gridCol w:w="850"/>
                              <w:gridCol w:w="851"/>
                              <w:gridCol w:w="850"/>
                              <w:gridCol w:w="851"/>
                              <w:gridCol w:w="992"/>
                              <w:gridCol w:w="3132"/>
                            </w:tblGrid>
                            <w:tr w:rsidR="00336D3A" w14:paraId="14E531B3" w14:textId="77777777" w:rsidTr="00336D3A">
                              <w:tc>
                                <w:tcPr>
                                  <w:tcW w:w="1239" w:type="dxa"/>
                                </w:tcPr>
                                <w:p w14:paraId="0615CF5F" w14:textId="77777777" w:rsidR="00336D3A" w:rsidRPr="00C93493" w:rsidRDefault="00336D3A" w:rsidP="00336D3A">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0DC12670" w14:textId="77777777" w:rsidR="00336D3A" w:rsidRPr="00C93493"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45EC4FA2"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15B7D57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4885FBD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571C5D39"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2023</w:t>
                                  </w:r>
                                </w:p>
                              </w:tc>
                              <w:tc>
                                <w:tcPr>
                                  <w:tcW w:w="992" w:type="dxa"/>
                                </w:tcPr>
                                <w:p w14:paraId="76312AEC"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2024</w:t>
                                  </w:r>
                                </w:p>
                              </w:tc>
                              <w:tc>
                                <w:tcPr>
                                  <w:tcW w:w="3132" w:type="dxa"/>
                                </w:tcPr>
                                <w:p w14:paraId="57488A0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336D3A" w14:paraId="7B4E64D8" w14:textId="77777777" w:rsidTr="00336D3A">
                              <w:tc>
                                <w:tcPr>
                                  <w:tcW w:w="1239" w:type="dxa"/>
                                </w:tcPr>
                                <w:p w14:paraId="37B0681C" w14:textId="4B55634C"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Alibaba</w:t>
                                  </w:r>
                                  <w:r w:rsidR="00A41556">
                                    <w:rPr>
                                      <w:rFonts w:ascii="Cambria" w:hAnsi="Cambria"/>
                                      <w:b/>
                                      <w:bCs/>
                                      <w:sz w:val="24"/>
                                      <w:szCs w:val="24"/>
                                    </w:rPr>
                                    <w:t xml:space="preserve"> Z-Score</w:t>
                                  </w:r>
                                </w:p>
                              </w:tc>
                              <w:tc>
                                <w:tcPr>
                                  <w:tcW w:w="883" w:type="dxa"/>
                                </w:tcPr>
                                <w:p w14:paraId="0596C9F9"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5.52</w:t>
                                  </w:r>
                                </w:p>
                              </w:tc>
                              <w:tc>
                                <w:tcPr>
                                  <w:tcW w:w="850" w:type="dxa"/>
                                </w:tcPr>
                                <w:p w14:paraId="04CF1A18"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8.20</w:t>
                                  </w:r>
                                </w:p>
                              </w:tc>
                              <w:tc>
                                <w:tcPr>
                                  <w:tcW w:w="851" w:type="dxa"/>
                                </w:tcPr>
                                <w:p w14:paraId="1828CCE2"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4.57</w:t>
                                  </w:r>
                                </w:p>
                              </w:tc>
                              <w:tc>
                                <w:tcPr>
                                  <w:tcW w:w="850" w:type="dxa"/>
                                </w:tcPr>
                                <w:p w14:paraId="7048BC7C"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3.01</w:t>
                                  </w:r>
                                </w:p>
                              </w:tc>
                              <w:tc>
                                <w:tcPr>
                                  <w:tcW w:w="851" w:type="dxa"/>
                                </w:tcPr>
                                <w:p w14:paraId="3173DEB4"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2.93</w:t>
                                  </w:r>
                                </w:p>
                              </w:tc>
                              <w:tc>
                                <w:tcPr>
                                  <w:tcW w:w="992" w:type="dxa"/>
                                </w:tcPr>
                                <w:p w14:paraId="45336A65"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2.80</w:t>
                                  </w:r>
                                </w:p>
                              </w:tc>
                              <w:tc>
                                <w:tcPr>
                                  <w:tcW w:w="3132" w:type="dxa"/>
                                </w:tcPr>
                                <w:p w14:paraId="608577B6"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Declining credit strength, potential risk</w:t>
                                  </w:r>
                                </w:p>
                              </w:tc>
                            </w:tr>
                          </w:tbl>
                          <w:p w14:paraId="1D58FAC8" w14:textId="4107FC99" w:rsidR="00336D3A" w:rsidRDefault="00336D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D1F69" id="_x0000_s1033" type="#_x0000_t202" style="position:absolute;left:0;text-align:left;margin-left:0;margin-top:523.8pt;width:498pt;height:71.4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" filled="f" stroked="f">
                <v:textbox>
                  <w:txbxContent>
                    <w:tbl>
                      <w:tblPr>
                        <w:tblStyle w:val="TableGrid"/>
                        <w:tblW w:w="0" w:type="auto"/>
                        <w:tblLook w:val="04A0" w:firstRow="1" w:lastRow="0" w:firstColumn="1" w:lastColumn="0" w:noHBand="0" w:noVBand="1"/>
                      </w:tblPr>
                      <w:tblGrid>
                        <w:gridCol w:w="1239"/>
                        <w:gridCol w:w="883"/>
                        <w:gridCol w:w="850"/>
                        <w:gridCol w:w="851"/>
                        <w:gridCol w:w="850"/>
                        <w:gridCol w:w="851"/>
                        <w:gridCol w:w="992"/>
                        <w:gridCol w:w="3132"/>
                      </w:tblGrid>
                      <w:tr w:rsidR="00336D3A" w14:paraId="14E531B3" w14:textId="77777777" w:rsidTr="00336D3A">
                        <w:tc>
                          <w:tcPr>
                            <w:tcW w:w="1239" w:type="dxa"/>
                          </w:tcPr>
                          <w:p w14:paraId="0615CF5F" w14:textId="77777777" w:rsidR="00336D3A" w:rsidRPr="00C93493" w:rsidRDefault="00336D3A" w:rsidP="00336D3A">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0DC12670" w14:textId="77777777" w:rsidR="00336D3A" w:rsidRPr="00C93493"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45EC4FA2"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15B7D57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4885FBD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571C5D39"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2023</w:t>
                            </w:r>
                          </w:p>
                        </w:tc>
                        <w:tc>
                          <w:tcPr>
                            <w:tcW w:w="992" w:type="dxa"/>
                          </w:tcPr>
                          <w:p w14:paraId="76312AEC"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2024</w:t>
                            </w:r>
                          </w:p>
                        </w:tc>
                        <w:tc>
                          <w:tcPr>
                            <w:tcW w:w="3132" w:type="dxa"/>
                          </w:tcPr>
                          <w:p w14:paraId="57488A0E" w14:textId="77777777"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336D3A" w14:paraId="7B4E64D8" w14:textId="77777777" w:rsidTr="00336D3A">
                        <w:tc>
                          <w:tcPr>
                            <w:tcW w:w="1239" w:type="dxa"/>
                          </w:tcPr>
                          <w:p w14:paraId="37B0681C" w14:textId="4B55634C" w:rsidR="00336D3A" w:rsidRDefault="00336D3A" w:rsidP="00336D3A">
                            <w:pPr>
                              <w:spacing w:beforeLines="20" w:before="48" w:afterLines="40" w:after="96"/>
                              <w:jc w:val="both"/>
                              <w:rPr>
                                <w:rFonts w:ascii="Cambria" w:hAnsi="Cambria"/>
                                <w:b/>
                                <w:bCs/>
                                <w:sz w:val="24"/>
                                <w:szCs w:val="24"/>
                              </w:rPr>
                            </w:pPr>
                            <w:r>
                              <w:rPr>
                                <w:rFonts w:ascii="Cambria" w:hAnsi="Cambria"/>
                                <w:b/>
                                <w:bCs/>
                                <w:sz w:val="24"/>
                                <w:szCs w:val="24"/>
                              </w:rPr>
                              <w:t>Alibaba</w:t>
                            </w:r>
                            <w:r w:rsidR="00A41556">
                              <w:rPr>
                                <w:rFonts w:ascii="Cambria" w:hAnsi="Cambria"/>
                                <w:b/>
                                <w:bCs/>
                                <w:sz w:val="24"/>
                                <w:szCs w:val="24"/>
                              </w:rPr>
                              <w:t xml:space="preserve"> Z-Score</w:t>
                            </w:r>
                          </w:p>
                        </w:tc>
                        <w:tc>
                          <w:tcPr>
                            <w:tcW w:w="883" w:type="dxa"/>
                          </w:tcPr>
                          <w:p w14:paraId="0596C9F9"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5.52</w:t>
                            </w:r>
                          </w:p>
                        </w:tc>
                        <w:tc>
                          <w:tcPr>
                            <w:tcW w:w="850" w:type="dxa"/>
                          </w:tcPr>
                          <w:p w14:paraId="04CF1A18"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8.20</w:t>
                            </w:r>
                          </w:p>
                        </w:tc>
                        <w:tc>
                          <w:tcPr>
                            <w:tcW w:w="851" w:type="dxa"/>
                          </w:tcPr>
                          <w:p w14:paraId="1828CCE2"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4.57</w:t>
                            </w:r>
                          </w:p>
                        </w:tc>
                        <w:tc>
                          <w:tcPr>
                            <w:tcW w:w="850" w:type="dxa"/>
                          </w:tcPr>
                          <w:p w14:paraId="7048BC7C"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3.01</w:t>
                            </w:r>
                          </w:p>
                        </w:tc>
                        <w:tc>
                          <w:tcPr>
                            <w:tcW w:w="851" w:type="dxa"/>
                          </w:tcPr>
                          <w:p w14:paraId="3173DEB4"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2.93</w:t>
                            </w:r>
                          </w:p>
                        </w:tc>
                        <w:tc>
                          <w:tcPr>
                            <w:tcW w:w="992" w:type="dxa"/>
                          </w:tcPr>
                          <w:p w14:paraId="45336A65"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2.80</w:t>
                            </w:r>
                          </w:p>
                        </w:tc>
                        <w:tc>
                          <w:tcPr>
                            <w:tcW w:w="3132" w:type="dxa"/>
                          </w:tcPr>
                          <w:p w14:paraId="608577B6" w14:textId="77777777" w:rsidR="00336D3A" w:rsidRPr="00C93493" w:rsidRDefault="00336D3A" w:rsidP="00336D3A">
                            <w:pPr>
                              <w:spacing w:beforeLines="20" w:before="48" w:afterLines="40" w:after="96"/>
                              <w:jc w:val="both"/>
                              <w:rPr>
                                <w:rFonts w:ascii="Cambria" w:hAnsi="Cambria"/>
                                <w:sz w:val="24"/>
                                <w:szCs w:val="24"/>
                              </w:rPr>
                            </w:pPr>
                            <w:r>
                              <w:rPr>
                                <w:rFonts w:ascii="Cambria" w:hAnsi="Cambria"/>
                                <w:sz w:val="24"/>
                                <w:szCs w:val="24"/>
                              </w:rPr>
                              <w:t>Declining credit strength, potential risk</w:t>
                            </w:r>
                          </w:p>
                        </w:tc>
                      </w:tr>
                    </w:tbl>
                    <w:p w14:paraId="1D58FAC8" w14:textId="4107FC99" w:rsidR="00336D3A" w:rsidRDefault="00336D3A"/>
                  </w:txbxContent>
                </v:textbox>
                <w10:wrap type="square" anchorx="margin"/>
              </v:shape>
            </w:pict>
          </mc:Fallback>
        </mc:AlternateContent>
      </w:r>
      <w:r w:rsidR="00A41556" w:rsidRPr="00456405">
        <w:rPr>
          <w:rFonts w:ascii="Cambria" w:hAnsi="Cambria"/>
          <w:b/>
          <w:bCs/>
          <w:noProof/>
          <w:sz w:val="24"/>
          <w:szCs w:val="24"/>
        </w:rPr>
        <mc:AlternateContent>
          <mc:Choice Requires="wps">
            <w:drawing>
              <wp:anchor distT="45720" distB="45720" distL="114300" distR="114300" simplePos="0" relativeHeight="251677696" behindDoc="0" locked="0" layoutInCell="1" allowOverlap="1" wp14:anchorId="2F3E771F" wp14:editId="091A43F6">
                <wp:simplePos x="0" y="0"/>
                <wp:positionH relativeFrom="margin">
                  <wp:posOffset>-91440</wp:posOffset>
                </wp:positionH>
                <wp:positionV relativeFrom="paragraph">
                  <wp:posOffset>655320</wp:posOffset>
                </wp:positionV>
                <wp:extent cx="6484620" cy="853440"/>
                <wp:effectExtent l="0" t="0" r="0" b="3810"/>
                <wp:wrapSquare wrapText="bothSides"/>
                <wp:docPr id="777532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85344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239"/>
                              <w:gridCol w:w="883"/>
                              <w:gridCol w:w="850"/>
                              <w:gridCol w:w="851"/>
                              <w:gridCol w:w="850"/>
                              <w:gridCol w:w="851"/>
                              <w:gridCol w:w="850"/>
                              <w:gridCol w:w="3384"/>
                            </w:tblGrid>
                            <w:tr w:rsidR="008D54BD" w14:paraId="0EEF6A91" w14:textId="77777777" w:rsidTr="00CF0470">
                              <w:tc>
                                <w:tcPr>
                                  <w:tcW w:w="1239" w:type="dxa"/>
                                </w:tcPr>
                                <w:p w14:paraId="0A7C5B5D"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5FC9BAA7"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590A7787"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01984E3D"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4AFE259E"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12F605B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03468205"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2024</w:t>
                                  </w:r>
                                </w:p>
                              </w:tc>
                              <w:tc>
                                <w:tcPr>
                                  <w:tcW w:w="3384" w:type="dxa"/>
                                </w:tcPr>
                                <w:p w14:paraId="42F6BE4D"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8D54BD" w14:paraId="74FAB65B" w14:textId="77777777" w:rsidTr="00CF0470">
                              <w:tc>
                                <w:tcPr>
                                  <w:tcW w:w="1239" w:type="dxa"/>
                                </w:tcPr>
                                <w:p w14:paraId="11D7F7F2" w14:textId="722681C3"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Walmart</w:t>
                                  </w:r>
                                  <w:r w:rsidR="00A41556">
                                    <w:rPr>
                                      <w:rFonts w:ascii="Cambria" w:hAnsi="Cambria"/>
                                      <w:b/>
                                      <w:bCs/>
                                      <w:sz w:val="24"/>
                                      <w:szCs w:val="24"/>
                                    </w:rPr>
                                    <w:t xml:space="preserve"> Z-Score</w:t>
                                  </w:r>
                                </w:p>
                              </w:tc>
                              <w:tc>
                                <w:tcPr>
                                  <w:tcW w:w="883" w:type="dxa"/>
                                </w:tcPr>
                                <w:p w14:paraId="254FCC64"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4.30</w:t>
                                  </w:r>
                                </w:p>
                              </w:tc>
                              <w:tc>
                                <w:tcPr>
                                  <w:tcW w:w="850" w:type="dxa"/>
                                </w:tcPr>
                                <w:p w14:paraId="0160EB21"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4.18</w:t>
                                  </w:r>
                                </w:p>
                              </w:tc>
                              <w:tc>
                                <w:tcPr>
                                  <w:tcW w:w="851" w:type="dxa"/>
                                </w:tcPr>
                                <w:p w14:paraId="7E28F97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 xml:space="preserve">4.34 </w:t>
                                  </w:r>
                                </w:p>
                              </w:tc>
                              <w:tc>
                                <w:tcPr>
                                  <w:tcW w:w="850" w:type="dxa"/>
                                </w:tcPr>
                                <w:p w14:paraId="04F68DEB"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4.72</w:t>
                                  </w:r>
                                </w:p>
                              </w:tc>
                              <w:tc>
                                <w:tcPr>
                                  <w:tcW w:w="851" w:type="dxa"/>
                                </w:tcPr>
                                <w:p w14:paraId="01AF26FF"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4.66</w:t>
                                  </w:r>
                                </w:p>
                              </w:tc>
                              <w:tc>
                                <w:tcPr>
                                  <w:tcW w:w="850" w:type="dxa"/>
                                </w:tcPr>
                                <w:p w14:paraId="3777C813"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5.16</w:t>
                                  </w:r>
                                </w:p>
                              </w:tc>
                              <w:tc>
                                <w:tcPr>
                                  <w:tcW w:w="3384" w:type="dxa"/>
                                </w:tcPr>
                                <w:p w14:paraId="094346AB"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Low risk, stable credit</w:t>
                                  </w:r>
                                </w:p>
                              </w:tc>
                            </w:tr>
                          </w:tbl>
                          <w:p w14:paraId="2CF978EC" w14:textId="2690F37E" w:rsidR="008D54BD" w:rsidRDefault="008D54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771F" id="_x0000_s1034" type="#_x0000_t202" style="position:absolute;left:0;text-align:left;margin-left:-7.2pt;margin-top:51.6pt;width:510.6pt;height:67.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" filled="f" stroked="f">
                <v:textbox>
                  <w:txbxContent>
                    <w:tbl>
                      <w:tblPr>
                        <w:tblStyle w:val="TableGrid"/>
                        <w:tblW w:w="0" w:type="auto"/>
                        <w:tblLook w:val="04A0" w:firstRow="1" w:lastRow="0" w:firstColumn="1" w:lastColumn="0" w:noHBand="0" w:noVBand="1"/>
                      </w:tblPr>
                      <w:tblGrid>
                        <w:gridCol w:w="1239"/>
                        <w:gridCol w:w="883"/>
                        <w:gridCol w:w="850"/>
                        <w:gridCol w:w="851"/>
                        <w:gridCol w:w="850"/>
                        <w:gridCol w:w="851"/>
                        <w:gridCol w:w="850"/>
                        <w:gridCol w:w="3384"/>
                      </w:tblGrid>
                      <w:tr w:rsidR="008D54BD" w14:paraId="0EEF6A91" w14:textId="77777777" w:rsidTr="00CF0470">
                        <w:tc>
                          <w:tcPr>
                            <w:tcW w:w="1239" w:type="dxa"/>
                          </w:tcPr>
                          <w:p w14:paraId="0A7C5B5D"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83" w:type="dxa"/>
                          </w:tcPr>
                          <w:p w14:paraId="5FC9BAA7" w14:textId="77777777" w:rsidR="008D54BD" w:rsidRPr="00C93493"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590A7787"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01984E3D"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4AFE259E"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12F605BB"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03468205"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2024</w:t>
                            </w:r>
                          </w:p>
                        </w:tc>
                        <w:tc>
                          <w:tcPr>
                            <w:tcW w:w="3384" w:type="dxa"/>
                          </w:tcPr>
                          <w:p w14:paraId="42F6BE4D" w14:textId="77777777"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8D54BD" w14:paraId="74FAB65B" w14:textId="77777777" w:rsidTr="00CF0470">
                        <w:tc>
                          <w:tcPr>
                            <w:tcW w:w="1239" w:type="dxa"/>
                          </w:tcPr>
                          <w:p w14:paraId="11D7F7F2" w14:textId="722681C3" w:rsidR="008D54BD" w:rsidRDefault="008D54BD" w:rsidP="008D54BD">
                            <w:pPr>
                              <w:spacing w:beforeLines="20" w:before="48" w:afterLines="40" w:after="96"/>
                              <w:jc w:val="both"/>
                              <w:rPr>
                                <w:rFonts w:ascii="Cambria" w:hAnsi="Cambria"/>
                                <w:b/>
                                <w:bCs/>
                                <w:sz w:val="24"/>
                                <w:szCs w:val="24"/>
                              </w:rPr>
                            </w:pPr>
                            <w:r>
                              <w:rPr>
                                <w:rFonts w:ascii="Cambria" w:hAnsi="Cambria"/>
                                <w:b/>
                                <w:bCs/>
                                <w:sz w:val="24"/>
                                <w:szCs w:val="24"/>
                              </w:rPr>
                              <w:t>Walmart</w:t>
                            </w:r>
                            <w:r w:rsidR="00A41556">
                              <w:rPr>
                                <w:rFonts w:ascii="Cambria" w:hAnsi="Cambria"/>
                                <w:b/>
                                <w:bCs/>
                                <w:sz w:val="24"/>
                                <w:szCs w:val="24"/>
                              </w:rPr>
                              <w:t xml:space="preserve"> Z-Score</w:t>
                            </w:r>
                          </w:p>
                        </w:tc>
                        <w:tc>
                          <w:tcPr>
                            <w:tcW w:w="883" w:type="dxa"/>
                          </w:tcPr>
                          <w:p w14:paraId="254FCC64"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4.30</w:t>
                            </w:r>
                          </w:p>
                        </w:tc>
                        <w:tc>
                          <w:tcPr>
                            <w:tcW w:w="850" w:type="dxa"/>
                          </w:tcPr>
                          <w:p w14:paraId="0160EB21"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4.18</w:t>
                            </w:r>
                          </w:p>
                        </w:tc>
                        <w:tc>
                          <w:tcPr>
                            <w:tcW w:w="851" w:type="dxa"/>
                          </w:tcPr>
                          <w:p w14:paraId="7E28F972"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 xml:space="preserve">4.34 </w:t>
                            </w:r>
                          </w:p>
                        </w:tc>
                        <w:tc>
                          <w:tcPr>
                            <w:tcW w:w="850" w:type="dxa"/>
                          </w:tcPr>
                          <w:p w14:paraId="04F68DEB"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4.72</w:t>
                            </w:r>
                          </w:p>
                        </w:tc>
                        <w:tc>
                          <w:tcPr>
                            <w:tcW w:w="851" w:type="dxa"/>
                          </w:tcPr>
                          <w:p w14:paraId="01AF26FF"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4.66</w:t>
                            </w:r>
                          </w:p>
                        </w:tc>
                        <w:tc>
                          <w:tcPr>
                            <w:tcW w:w="850" w:type="dxa"/>
                          </w:tcPr>
                          <w:p w14:paraId="3777C813"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5.16</w:t>
                            </w:r>
                          </w:p>
                        </w:tc>
                        <w:tc>
                          <w:tcPr>
                            <w:tcW w:w="3384" w:type="dxa"/>
                          </w:tcPr>
                          <w:p w14:paraId="094346AB" w14:textId="77777777" w:rsidR="008D54BD" w:rsidRPr="00C93493" w:rsidRDefault="008D54BD" w:rsidP="008D54BD">
                            <w:pPr>
                              <w:spacing w:beforeLines="20" w:before="48" w:afterLines="40" w:after="96"/>
                              <w:jc w:val="both"/>
                              <w:rPr>
                                <w:rFonts w:ascii="Cambria" w:hAnsi="Cambria"/>
                                <w:sz w:val="24"/>
                                <w:szCs w:val="24"/>
                              </w:rPr>
                            </w:pPr>
                            <w:r>
                              <w:rPr>
                                <w:rFonts w:ascii="Cambria" w:hAnsi="Cambria"/>
                                <w:sz w:val="24"/>
                                <w:szCs w:val="24"/>
                              </w:rPr>
                              <w:t>Low risk, stable credit</w:t>
                            </w:r>
                          </w:p>
                        </w:tc>
                      </w:tr>
                    </w:tbl>
                    <w:p w14:paraId="2CF978EC" w14:textId="2690F37E" w:rsidR="008D54BD" w:rsidRDefault="008D54BD"/>
                  </w:txbxContent>
                </v:textbox>
                <w10:wrap type="square" anchorx="margin"/>
              </v:shape>
            </w:pict>
          </mc:Fallback>
        </mc:AlternateContent>
      </w:r>
      <w:r w:rsidR="00CA28F4" w:rsidRPr="00456405">
        <w:rPr>
          <w:rFonts w:ascii="Cambria" w:hAnsi="Cambria"/>
          <w:b/>
          <w:bCs/>
          <w:sz w:val="24"/>
          <w:szCs w:val="24"/>
        </w:rPr>
        <w:t xml:space="preserve">Altman Z- Scores </w:t>
      </w:r>
      <w:r w:rsidR="00CA28F4" w:rsidRPr="00456405">
        <w:rPr>
          <w:rStyle w:val="FootnoteReference"/>
          <w:rFonts w:ascii="Cambria" w:hAnsi="Cambria"/>
          <w:b/>
          <w:bCs/>
          <w:sz w:val="24"/>
          <w:szCs w:val="24"/>
        </w:rPr>
        <w:footnoteReference w:id="2"/>
      </w:r>
      <w:r w:rsidR="00CA28F4" w:rsidRPr="00456405">
        <w:rPr>
          <w:rFonts w:ascii="Cambria" w:hAnsi="Cambria"/>
          <w:b/>
          <w:bCs/>
          <w:sz w:val="24"/>
          <w:szCs w:val="24"/>
        </w:rPr>
        <w:tab/>
      </w:r>
      <w:r w:rsidR="00C647B0" w:rsidRPr="00456405">
        <w:rPr>
          <w:rFonts w:ascii="Cambria" w:hAnsi="Cambria"/>
          <w:sz w:val="24"/>
          <w:szCs w:val="24"/>
        </w:rPr>
        <w:br/>
      </w:r>
      <w:r w:rsidR="004C67FD" w:rsidRPr="00456405">
        <w:rPr>
          <w:rFonts w:ascii="Cambria" w:hAnsi="Cambria"/>
          <w:sz w:val="24"/>
          <w:szCs w:val="24"/>
        </w:rPr>
        <w:br/>
      </w:r>
      <w:r w:rsidR="006860E5" w:rsidRPr="00456405">
        <w:rPr>
          <w:rFonts w:ascii="Cambria" w:hAnsi="Cambria"/>
          <w:b/>
          <w:bCs/>
          <w:sz w:val="24"/>
          <w:szCs w:val="24"/>
        </w:rPr>
        <w:t>1. Walmart: Strengthened Creditworthiness with Minimal Default Risk</w:t>
      </w:r>
      <w:r w:rsidR="006860E5" w:rsidRPr="00456405">
        <w:rPr>
          <w:rFonts w:ascii="Cambria" w:hAnsi="Cambria"/>
          <w:b/>
          <w:bCs/>
          <w:sz w:val="24"/>
          <w:szCs w:val="24"/>
        </w:rPr>
        <w:tab/>
      </w:r>
      <w:r w:rsidR="00CF0470" w:rsidRPr="00456405">
        <w:rPr>
          <w:rFonts w:ascii="Cambria" w:hAnsi="Cambria"/>
          <w:b/>
          <w:bCs/>
          <w:sz w:val="24"/>
          <w:szCs w:val="24"/>
        </w:rPr>
        <w:br/>
      </w:r>
      <w:r w:rsidR="006860E5" w:rsidRPr="00456405">
        <w:rPr>
          <w:rFonts w:ascii="Cambria" w:hAnsi="Cambria"/>
          <w:sz w:val="24"/>
          <w:szCs w:val="24"/>
        </w:rPr>
        <w:t xml:space="preserve">Walmart’s Z-score consistently remains well above 4.0, reflecting a low financial risk profile, coterminous with its performance summary in prior years. The steady improvement from 4.30 in 2019 to 5.16 in 2024 is a signal of enhanced credit strength which is backed </w:t>
      </w:r>
      <w:r w:rsidR="00173382" w:rsidRPr="00456405">
        <w:rPr>
          <w:rFonts w:ascii="Cambria" w:hAnsi="Cambria"/>
          <w:sz w:val="24"/>
          <w:szCs w:val="24"/>
        </w:rPr>
        <w:t>by</w:t>
      </w:r>
      <w:r w:rsidR="006860E5" w:rsidRPr="00456405">
        <w:rPr>
          <w:rFonts w:ascii="Cambria" w:hAnsi="Cambria"/>
          <w:sz w:val="24"/>
          <w:szCs w:val="24"/>
        </w:rPr>
        <w:t xml:space="preserve"> stable earnings, strong liquidity position and highly effective working capital management. </w:t>
      </w:r>
      <w:r w:rsidR="006860E5" w:rsidRPr="00456405">
        <w:rPr>
          <w:rFonts w:ascii="Cambria" w:hAnsi="Cambria"/>
          <w:b/>
          <w:bCs/>
          <w:sz w:val="24"/>
          <w:szCs w:val="24"/>
        </w:rPr>
        <w:tab/>
      </w:r>
      <w:r w:rsidR="005960D3" w:rsidRPr="00456405">
        <w:rPr>
          <w:rFonts w:ascii="Cambria" w:hAnsi="Cambria"/>
          <w:b/>
          <w:bCs/>
          <w:sz w:val="24"/>
          <w:szCs w:val="24"/>
        </w:rPr>
        <w:br/>
      </w:r>
      <w:r w:rsidR="005960D3" w:rsidRPr="00456405">
        <w:rPr>
          <w:rFonts w:ascii="Cambria" w:hAnsi="Cambria"/>
          <w:sz w:val="24"/>
          <w:szCs w:val="24"/>
        </w:rPr>
        <w:t xml:space="preserve">From a credit perspective, they do not exhibit any signs of financial distress. The score’s gradual upward trajectory </w:t>
      </w:r>
      <w:r w:rsidR="00C656AB" w:rsidRPr="00456405">
        <w:rPr>
          <w:rFonts w:ascii="Cambria" w:hAnsi="Cambria"/>
          <w:sz w:val="24"/>
          <w:szCs w:val="24"/>
        </w:rPr>
        <w:t>suggest</w:t>
      </w:r>
      <w:r w:rsidR="005960D3" w:rsidRPr="00456405">
        <w:rPr>
          <w:rFonts w:ascii="Cambria" w:hAnsi="Cambria"/>
          <w:sz w:val="24"/>
          <w:szCs w:val="24"/>
        </w:rPr>
        <w:t xml:space="preserve"> operating efficiency and improving profitability, reinforcing their ability to service debt and maintain prudent financial stability. </w:t>
      </w:r>
      <w:r w:rsidR="00C72014" w:rsidRPr="00456405">
        <w:rPr>
          <w:rFonts w:ascii="Cambria" w:hAnsi="Cambria"/>
          <w:sz w:val="24"/>
          <w:szCs w:val="24"/>
        </w:rPr>
        <w:t xml:space="preserve">This is despite pressure from rising labour cost and increased e-commerce investments, indicating that Walmart’s high retained earnings and strong EBIT margins make them a low-risk borrower with excellent credit standing. </w:t>
      </w:r>
      <w:r w:rsidR="008A4150" w:rsidRPr="00456405">
        <w:rPr>
          <w:rFonts w:ascii="Cambria" w:hAnsi="Cambria"/>
          <w:sz w:val="24"/>
          <w:szCs w:val="24"/>
        </w:rPr>
        <w:br/>
      </w:r>
      <w:r w:rsidR="00487093" w:rsidRPr="00456405">
        <w:rPr>
          <w:rFonts w:ascii="Cambria" w:hAnsi="Cambria"/>
          <w:sz w:val="24"/>
          <w:szCs w:val="24"/>
        </w:rPr>
        <w:br/>
      </w:r>
      <w:r w:rsidR="00487093" w:rsidRPr="00456405">
        <w:rPr>
          <w:rFonts w:ascii="Cambria" w:hAnsi="Cambria"/>
          <w:b/>
          <w:bCs/>
          <w:sz w:val="24"/>
          <w:szCs w:val="24"/>
        </w:rPr>
        <w:t xml:space="preserve">2. </w:t>
      </w:r>
      <w:r w:rsidR="00173382" w:rsidRPr="00456405">
        <w:rPr>
          <w:rFonts w:ascii="Cambria" w:hAnsi="Cambria"/>
          <w:b/>
          <w:bCs/>
          <w:sz w:val="24"/>
          <w:szCs w:val="24"/>
        </w:rPr>
        <w:t>Costco:</w:t>
      </w:r>
      <w:r w:rsidR="00487093" w:rsidRPr="00456405">
        <w:rPr>
          <w:rFonts w:ascii="Cambria" w:hAnsi="Cambria"/>
          <w:b/>
          <w:bCs/>
          <w:sz w:val="24"/>
          <w:szCs w:val="24"/>
        </w:rPr>
        <w:t xml:space="preserve"> The Strongest Credit Profile with Zero Default Concern</w:t>
      </w:r>
      <w:r w:rsidR="00487093" w:rsidRPr="00456405">
        <w:rPr>
          <w:rFonts w:ascii="Cambria" w:hAnsi="Cambria"/>
          <w:b/>
          <w:bCs/>
          <w:sz w:val="24"/>
          <w:szCs w:val="24"/>
        </w:rPr>
        <w:tab/>
      </w:r>
      <w:r w:rsidR="00AF4C86" w:rsidRPr="00456405">
        <w:rPr>
          <w:rFonts w:ascii="Cambria" w:hAnsi="Cambria"/>
          <w:b/>
          <w:bCs/>
          <w:sz w:val="24"/>
          <w:szCs w:val="24"/>
        </w:rPr>
        <w:br/>
      </w:r>
      <w:r w:rsidR="00487093" w:rsidRPr="00456405">
        <w:rPr>
          <w:rFonts w:ascii="Cambria" w:hAnsi="Cambria"/>
          <w:sz w:val="24"/>
          <w:szCs w:val="24"/>
        </w:rPr>
        <w:t xml:space="preserve">Costco emerges as the most financially secure company, with a remarkable score, rising from 6.66 in 2019 to 9.64 in 2024. These values far exceed the default risk threshold, indicating they are proficiently capitalised and maintains extremely low leverage. </w:t>
      </w:r>
      <w:r w:rsidR="00110EF7" w:rsidRPr="00456405">
        <w:rPr>
          <w:rFonts w:ascii="Cambria" w:hAnsi="Cambria"/>
          <w:sz w:val="24"/>
          <w:szCs w:val="24"/>
        </w:rPr>
        <w:tab/>
      </w:r>
      <w:r w:rsidR="00110EF7" w:rsidRPr="00456405">
        <w:rPr>
          <w:rFonts w:ascii="Cambria" w:hAnsi="Cambria"/>
          <w:sz w:val="24"/>
          <w:szCs w:val="24"/>
        </w:rPr>
        <w:br/>
        <w:t xml:space="preserve">A Z-score above 7.0 is rare for major corporations, implying they have virtually zero financial distress risk. Their membership-based revenue model, strong asset turnover and minimal reliance on debt financing allow them to enjoy a status of negligible default risk. </w:t>
      </w:r>
      <w:r w:rsidR="00EB73DD" w:rsidRPr="00456405">
        <w:rPr>
          <w:rFonts w:ascii="Cambria" w:hAnsi="Cambria"/>
          <w:sz w:val="24"/>
          <w:szCs w:val="24"/>
        </w:rPr>
        <w:t xml:space="preserve">Given their robust financial fundamentals, they enjoy one of the highest levels of creditworthiness in the retail sector, making it an ideal candidate for </w:t>
      </w:r>
      <w:r w:rsidR="003C19AA" w:rsidRPr="00456405">
        <w:rPr>
          <w:rFonts w:ascii="Cambria" w:hAnsi="Cambria"/>
          <w:sz w:val="24"/>
          <w:szCs w:val="24"/>
        </w:rPr>
        <w:t>favourable</w:t>
      </w:r>
      <w:r w:rsidR="00EB73DD" w:rsidRPr="00456405">
        <w:rPr>
          <w:rFonts w:ascii="Cambria" w:hAnsi="Cambria"/>
          <w:sz w:val="24"/>
          <w:szCs w:val="24"/>
        </w:rPr>
        <w:t xml:space="preserve"> lending terms. </w:t>
      </w:r>
      <w:r w:rsidR="008F716D" w:rsidRPr="00456405">
        <w:rPr>
          <w:rFonts w:ascii="Cambria" w:hAnsi="Cambria"/>
          <w:sz w:val="24"/>
          <w:szCs w:val="24"/>
        </w:rPr>
        <w:tab/>
      </w:r>
      <w:r w:rsidR="008F716D" w:rsidRPr="00456405">
        <w:rPr>
          <w:rFonts w:ascii="Cambria" w:hAnsi="Cambria"/>
          <w:sz w:val="24"/>
          <w:szCs w:val="24"/>
        </w:rPr>
        <w:br/>
      </w:r>
      <w:r w:rsidR="008F716D" w:rsidRPr="00456405">
        <w:rPr>
          <w:rFonts w:ascii="Cambria" w:hAnsi="Cambria"/>
          <w:sz w:val="24"/>
          <w:szCs w:val="24"/>
        </w:rPr>
        <w:br/>
      </w:r>
      <w:r w:rsidR="008F716D" w:rsidRPr="00456405">
        <w:rPr>
          <w:rFonts w:ascii="Cambria" w:hAnsi="Cambria"/>
          <w:b/>
          <w:bCs/>
          <w:sz w:val="24"/>
          <w:szCs w:val="24"/>
        </w:rPr>
        <w:t>3. Alibaba: Declining Financial Strength and Rising Default Risk</w:t>
      </w:r>
      <w:r w:rsidR="008F716D" w:rsidRPr="00456405">
        <w:rPr>
          <w:rFonts w:ascii="Cambria" w:hAnsi="Cambria"/>
          <w:b/>
          <w:bCs/>
          <w:sz w:val="24"/>
          <w:szCs w:val="24"/>
        </w:rPr>
        <w:tab/>
      </w:r>
      <w:r w:rsidR="00C93493" w:rsidRPr="00456405">
        <w:rPr>
          <w:rFonts w:ascii="Cambria" w:hAnsi="Cambria"/>
          <w:b/>
          <w:bCs/>
          <w:sz w:val="24"/>
          <w:szCs w:val="24"/>
        </w:rPr>
        <w:br/>
      </w:r>
      <w:r w:rsidR="008F716D" w:rsidRPr="00456405">
        <w:rPr>
          <w:rFonts w:ascii="Cambria" w:hAnsi="Cambria"/>
          <w:sz w:val="24"/>
          <w:szCs w:val="24"/>
        </w:rPr>
        <w:t xml:space="preserve">Alibaba’s Z-score </w:t>
      </w:r>
      <w:r w:rsidR="00A41556" w:rsidRPr="00456405">
        <w:rPr>
          <w:rFonts w:ascii="Cambria" w:hAnsi="Cambria"/>
          <w:sz w:val="24"/>
          <w:szCs w:val="24"/>
        </w:rPr>
        <w:t>depicts</w:t>
      </w:r>
      <w:r w:rsidR="008F716D" w:rsidRPr="00456405">
        <w:rPr>
          <w:rFonts w:ascii="Cambria" w:hAnsi="Cambria"/>
          <w:sz w:val="24"/>
          <w:szCs w:val="24"/>
        </w:rPr>
        <w:t xml:space="preserve"> a concerning picture of declining financial stability. A sharp decline, </w:t>
      </w:r>
      <w:r w:rsidR="008F716D" w:rsidRPr="00456405">
        <w:rPr>
          <w:rFonts w:ascii="Cambria" w:hAnsi="Cambria"/>
          <w:sz w:val="24"/>
          <w:szCs w:val="24"/>
        </w:rPr>
        <w:lastRenderedPageBreak/>
        <w:t xml:space="preserve">from 5.52 in 2019 to 2.80 in 2024, puts them on the watchlist. </w:t>
      </w:r>
      <w:r w:rsidR="004B28F9" w:rsidRPr="00456405">
        <w:rPr>
          <w:rFonts w:ascii="Cambria" w:hAnsi="Cambria"/>
          <w:sz w:val="24"/>
          <w:szCs w:val="24"/>
        </w:rPr>
        <w:t xml:space="preserve">They exhibit substantial volatility, peaking at 8.21 in 2020 and spiralling downward to 2.80 in 2024. This </w:t>
      </w:r>
      <w:r w:rsidR="00B80C91" w:rsidRPr="00456405">
        <w:rPr>
          <w:rFonts w:ascii="Cambria" w:hAnsi="Cambria"/>
          <w:sz w:val="24"/>
          <w:szCs w:val="24"/>
        </w:rPr>
        <w:t>suggests</w:t>
      </w:r>
      <w:r w:rsidR="004B28F9" w:rsidRPr="00456405">
        <w:rPr>
          <w:rFonts w:ascii="Cambria" w:hAnsi="Cambria"/>
          <w:sz w:val="24"/>
          <w:szCs w:val="24"/>
        </w:rPr>
        <w:t xml:space="preserve"> a </w:t>
      </w:r>
      <w:r w:rsidR="001C5D44" w:rsidRPr="00456405">
        <w:rPr>
          <w:rFonts w:ascii="Cambria" w:hAnsi="Cambria"/>
          <w:sz w:val="24"/>
          <w:szCs w:val="24"/>
        </w:rPr>
        <w:t>transition</w:t>
      </w:r>
      <w:r w:rsidR="004B28F9" w:rsidRPr="00456405">
        <w:rPr>
          <w:rFonts w:ascii="Cambria" w:hAnsi="Cambria"/>
          <w:sz w:val="24"/>
          <w:szCs w:val="24"/>
        </w:rPr>
        <w:t xml:space="preserve"> from position of financial strength to an early warning zone. </w:t>
      </w:r>
      <w:r w:rsidR="005A511C" w:rsidRPr="00456405">
        <w:rPr>
          <w:rFonts w:ascii="Cambria" w:hAnsi="Cambria"/>
          <w:sz w:val="24"/>
          <w:szCs w:val="24"/>
        </w:rPr>
        <w:t>A sharp decline in retained earnings relative to total assets coupled with fluctuations in EBIT margins have driven this deterioration. This decline coincides with China’s stringent regulatory actions on tech companies leading to anti-trust fines</w:t>
      </w:r>
      <w:r w:rsidR="005414B0" w:rsidRPr="00456405">
        <w:rPr>
          <w:rFonts w:ascii="Cambria" w:hAnsi="Cambria"/>
          <w:sz w:val="24"/>
          <w:szCs w:val="24"/>
        </w:rPr>
        <w:t xml:space="preserve">, restructuring requirements and restricted market expansion. </w:t>
      </w:r>
      <w:r w:rsidR="001C5D44" w:rsidRPr="00456405">
        <w:rPr>
          <w:rFonts w:ascii="Cambria" w:hAnsi="Cambria"/>
          <w:sz w:val="24"/>
          <w:szCs w:val="24"/>
        </w:rPr>
        <w:t xml:space="preserve">While the company is not yet in severe distress, it is </w:t>
      </w:r>
      <w:proofErr w:type="gramStart"/>
      <w:r w:rsidR="001C5D44" w:rsidRPr="00456405">
        <w:rPr>
          <w:rFonts w:ascii="Cambria" w:hAnsi="Cambria"/>
          <w:sz w:val="24"/>
          <w:szCs w:val="24"/>
        </w:rPr>
        <w:t>definitely in</w:t>
      </w:r>
      <w:proofErr w:type="gramEnd"/>
      <w:r w:rsidR="001C5D44" w:rsidRPr="00456405">
        <w:rPr>
          <w:rFonts w:ascii="Cambria" w:hAnsi="Cambria"/>
          <w:sz w:val="24"/>
          <w:szCs w:val="24"/>
        </w:rPr>
        <w:t xml:space="preserve"> the alert category raising concerns about their long-term solvency and ability to maintain strong credit ratings. If profitability and asset efficiency do not improve, a revaluation of their risk profile may be prompted leading to tighter lending conditions and increased borrowing costs. </w:t>
      </w:r>
      <w:r w:rsidR="008F716D" w:rsidRPr="00456405">
        <w:rPr>
          <w:rFonts w:ascii="Cambria" w:hAnsi="Cambria"/>
          <w:sz w:val="24"/>
          <w:szCs w:val="24"/>
        </w:rPr>
        <w:tab/>
      </w:r>
      <w:r w:rsidR="008F716D" w:rsidRPr="00456405">
        <w:rPr>
          <w:rFonts w:ascii="Cambria" w:hAnsi="Cambria"/>
          <w:sz w:val="24"/>
          <w:szCs w:val="24"/>
        </w:rPr>
        <w:br/>
      </w:r>
      <w:r w:rsidR="008F716D" w:rsidRPr="00456405">
        <w:rPr>
          <w:rFonts w:ascii="Cambria" w:hAnsi="Cambria"/>
          <w:sz w:val="24"/>
          <w:szCs w:val="24"/>
        </w:rPr>
        <w:br/>
      </w:r>
      <w:r w:rsidR="00443523" w:rsidRPr="00456405">
        <w:rPr>
          <w:rFonts w:ascii="Cambria" w:hAnsi="Cambria"/>
          <w:noProof/>
          <w:sz w:val="24"/>
          <w:szCs w:val="24"/>
        </w:rPr>
        <mc:AlternateContent>
          <mc:Choice Requires="wps">
            <w:drawing>
              <wp:anchor distT="45720" distB="45720" distL="114300" distR="114300" simplePos="0" relativeHeight="251683840" behindDoc="0" locked="0" layoutInCell="1" allowOverlap="1" wp14:anchorId="4BB5FB46" wp14:editId="17AF6DAE">
                <wp:simplePos x="0" y="0"/>
                <wp:positionH relativeFrom="margin">
                  <wp:align>center</wp:align>
                </wp:positionH>
                <wp:positionV relativeFrom="paragraph">
                  <wp:posOffset>2209800</wp:posOffset>
                </wp:positionV>
                <wp:extent cx="6339840" cy="891540"/>
                <wp:effectExtent l="0" t="0" r="0" b="3810"/>
                <wp:wrapSquare wrapText="bothSides"/>
                <wp:docPr id="2095991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89154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298"/>
                              <w:gridCol w:w="824"/>
                              <w:gridCol w:w="850"/>
                              <w:gridCol w:w="851"/>
                              <w:gridCol w:w="850"/>
                              <w:gridCol w:w="851"/>
                              <w:gridCol w:w="850"/>
                              <w:gridCol w:w="3298"/>
                            </w:tblGrid>
                            <w:tr w:rsidR="00604B66" w14:paraId="2FB78CEC" w14:textId="77777777" w:rsidTr="00604B66">
                              <w:tc>
                                <w:tcPr>
                                  <w:tcW w:w="1298" w:type="dxa"/>
                                </w:tcPr>
                                <w:p w14:paraId="6365679C"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24" w:type="dxa"/>
                                </w:tcPr>
                                <w:p w14:paraId="4444A8A8"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19071ED5"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4136972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6650F7AC"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4B3A7925"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1D465D5B"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2024</w:t>
                                  </w:r>
                                </w:p>
                              </w:tc>
                              <w:tc>
                                <w:tcPr>
                                  <w:tcW w:w="3298" w:type="dxa"/>
                                </w:tcPr>
                                <w:p w14:paraId="2F782887"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604B66" w14:paraId="6340FDC3" w14:textId="77777777" w:rsidTr="00604B66">
                              <w:tc>
                                <w:tcPr>
                                  <w:tcW w:w="1298" w:type="dxa"/>
                                </w:tcPr>
                                <w:p w14:paraId="2FA61752" w14:textId="4EFC7BFF"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Carrefour</w:t>
                                  </w:r>
                                  <w:r w:rsidR="00443523">
                                    <w:rPr>
                                      <w:rFonts w:ascii="Cambria" w:hAnsi="Cambria"/>
                                      <w:b/>
                                      <w:bCs/>
                                      <w:sz w:val="24"/>
                                      <w:szCs w:val="24"/>
                                    </w:rPr>
                                    <w:t xml:space="preserve"> Z-Score</w:t>
                                  </w:r>
                                </w:p>
                              </w:tc>
                              <w:tc>
                                <w:tcPr>
                                  <w:tcW w:w="824" w:type="dxa"/>
                                </w:tcPr>
                                <w:p w14:paraId="11D9799C"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1.84</w:t>
                                  </w:r>
                                </w:p>
                              </w:tc>
                              <w:tc>
                                <w:tcPr>
                                  <w:tcW w:w="850" w:type="dxa"/>
                                </w:tcPr>
                                <w:p w14:paraId="5F1B20D3"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1.97</w:t>
                                  </w:r>
                                </w:p>
                              </w:tc>
                              <w:tc>
                                <w:tcPr>
                                  <w:tcW w:w="851" w:type="dxa"/>
                                </w:tcPr>
                                <w:p w14:paraId="2EC71F9C"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2.02</w:t>
                                  </w:r>
                                </w:p>
                              </w:tc>
                              <w:tc>
                                <w:tcPr>
                                  <w:tcW w:w="850" w:type="dxa"/>
                                </w:tcPr>
                                <w:p w14:paraId="28147F29"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1.94</w:t>
                                  </w:r>
                                </w:p>
                              </w:tc>
                              <w:tc>
                                <w:tcPr>
                                  <w:tcW w:w="851" w:type="dxa"/>
                                </w:tcPr>
                                <w:p w14:paraId="355F196B"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1.98</w:t>
                                  </w:r>
                                </w:p>
                              </w:tc>
                              <w:tc>
                                <w:tcPr>
                                  <w:tcW w:w="850" w:type="dxa"/>
                                </w:tcPr>
                                <w:p w14:paraId="1C5EE954"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1.91</w:t>
                                  </w:r>
                                </w:p>
                              </w:tc>
                              <w:tc>
                                <w:tcPr>
                                  <w:tcW w:w="3298" w:type="dxa"/>
                                </w:tcPr>
                                <w:p w14:paraId="0029EBA0"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Moderate default risk, credit fragility</w:t>
                                  </w:r>
                                </w:p>
                              </w:tc>
                            </w:tr>
                          </w:tbl>
                          <w:p w14:paraId="44BB73E1" w14:textId="46BC2B4D" w:rsidR="00604B66" w:rsidRDefault="00604B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5FB46" id="_x0000_s1035" type="#_x0000_t202" style="position:absolute;left:0;text-align:left;margin-left:0;margin-top:174pt;width:499.2pt;height:70.2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" filled="f" stroked="f">
                <v:textbox>
                  <w:txbxContent>
                    <w:tbl>
                      <w:tblPr>
                        <w:tblStyle w:val="TableGrid"/>
                        <w:tblW w:w="0" w:type="auto"/>
                        <w:tblLook w:val="04A0" w:firstRow="1" w:lastRow="0" w:firstColumn="1" w:lastColumn="0" w:noHBand="0" w:noVBand="1"/>
                      </w:tblPr>
                      <w:tblGrid>
                        <w:gridCol w:w="1298"/>
                        <w:gridCol w:w="824"/>
                        <w:gridCol w:w="850"/>
                        <w:gridCol w:w="851"/>
                        <w:gridCol w:w="850"/>
                        <w:gridCol w:w="851"/>
                        <w:gridCol w:w="850"/>
                        <w:gridCol w:w="3298"/>
                      </w:tblGrid>
                      <w:tr w:rsidR="00604B66" w14:paraId="2FB78CEC" w14:textId="77777777" w:rsidTr="00604B66">
                        <w:tc>
                          <w:tcPr>
                            <w:tcW w:w="1298" w:type="dxa"/>
                          </w:tcPr>
                          <w:p w14:paraId="6365679C"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24" w:type="dxa"/>
                          </w:tcPr>
                          <w:p w14:paraId="4444A8A8"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19071ED5"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4136972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6650F7AC"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4B3A7925"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1D465D5B"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2024</w:t>
                            </w:r>
                          </w:p>
                        </w:tc>
                        <w:tc>
                          <w:tcPr>
                            <w:tcW w:w="3298" w:type="dxa"/>
                          </w:tcPr>
                          <w:p w14:paraId="2F782887"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604B66" w14:paraId="6340FDC3" w14:textId="77777777" w:rsidTr="00604B66">
                        <w:tc>
                          <w:tcPr>
                            <w:tcW w:w="1298" w:type="dxa"/>
                          </w:tcPr>
                          <w:p w14:paraId="2FA61752" w14:textId="4EFC7BFF"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Carrefour</w:t>
                            </w:r>
                            <w:r w:rsidR="00443523">
                              <w:rPr>
                                <w:rFonts w:ascii="Cambria" w:hAnsi="Cambria"/>
                                <w:b/>
                                <w:bCs/>
                                <w:sz w:val="24"/>
                                <w:szCs w:val="24"/>
                              </w:rPr>
                              <w:t xml:space="preserve"> Z-Score</w:t>
                            </w:r>
                          </w:p>
                        </w:tc>
                        <w:tc>
                          <w:tcPr>
                            <w:tcW w:w="824" w:type="dxa"/>
                          </w:tcPr>
                          <w:p w14:paraId="11D9799C"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1.84</w:t>
                            </w:r>
                          </w:p>
                        </w:tc>
                        <w:tc>
                          <w:tcPr>
                            <w:tcW w:w="850" w:type="dxa"/>
                          </w:tcPr>
                          <w:p w14:paraId="5F1B20D3"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1.97</w:t>
                            </w:r>
                          </w:p>
                        </w:tc>
                        <w:tc>
                          <w:tcPr>
                            <w:tcW w:w="851" w:type="dxa"/>
                          </w:tcPr>
                          <w:p w14:paraId="2EC71F9C"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2.02</w:t>
                            </w:r>
                          </w:p>
                        </w:tc>
                        <w:tc>
                          <w:tcPr>
                            <w:tcW w:w="850" w:type="dxa"/>
                          </w:tcPr>
                          <w:p w14:paraId="28147F29"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1.94</w:t>
                            </w:r>
                          </w:p>
                        </w:tc>
                        <w:tc>
                          <w:tcPr>
                            <w:tcW w:w="851" w:type="dxa"/>
                          </w:tcPr>
                          <w:p w14:paraId="355F196B"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1.98</w:t>
                            </w:r>
                          </w:p>
                        </w:tc>
                        <w:tc>
                          <w:tcPr>
                            <w:tcW w:w="850" w:type="dxa"/>
                          </w:tcPr>
                          <w:p w14:paraId="1C5EE954"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1.91</w:t>
                            </w:r>
                          </w:p>
                        </w:tc>
                        <w:tc>
                          <w:tcPr>
                            <w:tcW w:w="3298" w:type="dxa"/>
                          </w:tcPr>
                          <w:p w14:paraId="0029EBA0"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Moderate default risk, credit fragility</w:t>
                            </w:r>
                          </w:p>
                        </w:tc>
                      </w:tr>
                    </w:tbl>
                    <w:p w14:paraId="44BB73E1" w14:textId="46BC2B4D" w:rsidR="00604B66" w:rsidRDefault="00604B66"/>
                  </w:txbxContent>
                </v:textbox>
                <w10:wrap type="square" anchorx="margin"/>
              </v:shape>
            </w:pict>
          </mc:Fallback>
        </mc:AlternateContent>
      </w:r>
      <w:r w:rsidR="008F716D" w:rsidRPr="00456405">
        <w:rPr>
          <w:rFonts w:ascii="Cambria" w:hAnsi="Cambria"/>
          <w:b/>
          <w:bCs/>
          <w:sz w:val="24"/>
          <w:szCs w:val="24"/>
        </w:rPr>
        <w:t>4. Carrefour: Persistent Credit Weakness and Moderate Default Risk</w:t>
      </w:r>
      <w:r w:rsidR="008F716D" w:rsidRPr="00456405">
        <w:rPr>
          <w:rFonts w:ascii="Cambria" w:hAnsi="Cambria"/>
          <w:b/>
          <w:bCs/>
          <w:sz w:val="24"/>
          <w:szCs w:val="24"/>
        </w:rPr>
        <w:tab/>
      </w:r>
      <w:r w:rsidR="00C93493" w:rsidRPr="00456405">
        <w:rPr>
          <w:rFonts w:ascii="Cambria" w:hAnsi="Cambria"/>
          <w:b/>
          <w:bCs/>
          <w:sz w:val="24"/>
          <w:szCs w:val="24"/>
        </w:rPr>
        <w:br/>
      </w:r>
      <w:r w:rsidR="008F716D" w:rsidRPr="00456405">
        <w:rPr>
          <w:rFonts w:ascii="Cambria" w:hAnsi="Cambria"/>
          <w:sz w:val="24"/>
          <w:szCs w:val="24"/>
        </w:rPr>
        <w:t>Carrefour’s Z-score remains below 2.0 for most the analysed period, signalling consistent financial weakness. A slight improvement in 2021 (2.02)</w:t>
      </w:r>
      <w:r w:rsidR="00B80C91" w:rsidRPr="00456405">
        <w:rPr>
          <w:rFonts w:ascii="Cambria" w:hAnsi="Cambria"/>
          <w:sz w:val="24"/>
          <w:szCs w:val="24"/>
        </w:rPr>
        <w:t>,</w:t>
      </w:r>
      <w:r w:rsidR="008F716D" w:rsidRPr="00456405">
        <w:rPr>
          <w:rFonts w:ascii="Cambria" w:hAnsi="Cambria"/>
          <w:sz w:val="24"/>
          <w:szCs w:val="24"/>
        </w:rPr>
        <w:t xml:space="preserve"> was not sustained, reinforcing concerns of structural inefficiencies. The score’s position near the distress threshold (1.8) indicates that despite not being in immediate danger of bankruptcy, thin profit margins, price wars in Europe and high operating costs render them financially fragile</w:t>
      </w:r>
      <w:r w:rsidR="004D3575" w:rsidRPr="00456405">
        <w:rPr>
          <w:rFonts w:ascii="Cambria" w:hAnsi="Cambria"/>
          <w:sz w:val="24"/>
          <w:szCs w:val="24"/>
        </w:rPr>
        <w:t xml:space="preserve"> and limitations in strengthening their Balance Sheet. </w:t>
      </w:r>
      <w:r w:rsidR="00B05E64" w:rsidRPr="00456405">
        <w:rPr>
          <w:rFonts w:ascii="Cambria" w:hAnsi="Cambria"/>
          <w:sz w:val="24"/>
          <w:szCs w:val="24"/>
        </w:rPr>
        <w:t xml:space="preserve">They are a borderline case of financial distress which could materialise if calibrated intervention measures are not executed </w:t>
      </w:r>
      <w:proofErr w:type="gramStart"/>
      <w:r w:rsidR="00B05E64" w:rsidRPr="00456405">
        <w:rPr>
          <w:rFonts w:ascii="Cambria" w:hAnsi="Cambria"/>
          <w:sz w:val="24"/>
          <w:szCs w:val="24"/>
        </w:rPr>
        <w:t>in light of</w:t>
      </w:r>
      <w:proofErr w:type="gramEnd"/>
      <w:r w:rsidR="00B05E64" w:rsidRPr="00456405">
        <w:rPr>
          <w:rFonts w:ascii="Cambria" w:hAnsi="Cambria"/>
          <w:sz w:val="24"/>
          <w:szCs w:val="24"/>
        </w:rPr>
        <w:t xml:space="preserve"> recessionary positions. They are viewed as a moderate risk borrower, requiring higher interest rates and stricter lending terms compared to their peers. </w:t>
      </w:r>
      <w:r w:rsidR="00B05E64" w:rsidRPr="00456405">
        <w:rPr>
          <w:rFonts w:ascii="Cambria" w:hAnsi="Cambria"/>
          <w:sz w:val="24"/>
          <w:szCs w:val="24"/>
        </w:rPr>
        <w:tab/>
      </w:r>
      <w:r w:rsidR="00B05E64" w:rsidRPr="00456405">
        <w:rPr>
          <w:rFonts w:ascii="Cambria" w:hAnsi="Cambria"/>
          <w:sz w:val="24"/>
          <w:szCs w:val="24"/>
        </w:rPr>
        <w:br/>
      </w:r>
      <w:r w:rsidR="00B05E64" w:rsidRPr="00456405">
        <w:rPr>
          <w:rFonts w:ascii="Cambria" w:hAnsi="Cambria"/>
          <w:sz w:val="24"/>
          <w:szCs w:val="24"/>
        </w:rPr>
        <w:br/>
      </w:r>
      <w:r w:rsidR="008B34B3" w:rsidRPr="00456405">
        <w:rPr>
          <w:rFonts w:ascii="Cambria" w:hAnsi="Cambria"/>
          <w:noProof/>
          <w:sz w:val="24"/>
          <w:szCs w:val="24"/>
        </w:rPr>
        <mc:AlternateContent>
          <mc:Choice Requires="wps">
            <w:drawing>
              <wp:anchor distT="45720" distB="45720" distL="114300" distR="114300" simplePos="0" relativeHeight="251685888" behindDoc="0" locked="0" layoutInCell="1" allowOverlap="1" wp14:anchorId="7CDBBFEC" wp14:editId="544938C0">
                <wp:simplePos x="0" y="0"/>
                <wp:positionH relativeFrom="margin">
                  <wp:posOffset>-91440</wp:posOffset>
                </wp:positionH>
                <wp:positionV relativeFrom="paragraph">
                  <wp:posOffset>5166360</wp:posOffset>
                </wp:positionV>
                <wp:extent cx="6446520" cy="1028700"/>
                <wp:effectExtent l="0" t="0" r="0" b="0"/>
                <wp:wrapSquare wrapText="bothSides"/>
                <wp:docPr id="414573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02870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262"/>
                              <w:gridCol w:w="860"/>
                              <w:gridCol w:w="850"/>
                              <w:gridCol w:w="851"/>
                              <w:gridCol w:w="850"/>
                              <w:gridCol w:w="851"/>
                              <w:gridCol w:w="850"/>
                              <w:gridCol w:w="3407"/>
                            </w:tblGrid>
                            <w:tr w:rsidR="00604B66" w14:paraId="2323168E" w14:textId="77777777" w:rsidTr="00604B66">
                              <w:tc>
                                <w:tcPr>
                                  <w:tcW w:w="1262" w:type="dxa"/>
                                </w:tcPr>
                                <w:p w14:paraId="0FFFCEF7"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60" w:type="dxa"/>
                                </w:tcPr>
                                <w:p w14:paraId="63B38051"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784E922B"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794A674A"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366982D6"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08CD167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3EE2F0ED"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2024</w:t>
                                  </w:r>
                                </w:p>
                              </w:tc>
                              <w:tc>
                                <w:tcPr>
                                  <w:tcW w:w="3407" w:type="dxa"/>
                                </w:tcPr>
                                <w:p w14:paraId="234181F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604B66" w14:paraId="62AC9129" w14:textId="77777777" w:rsidTr="00604B66">
                              <w:tc>
                                <w:tcPr>
                                  <w:tcW w:w="1262" w:type="dxa"/>
                                </w:tcPr>
                                <w:p w14:paraId="1424FFCF" w14:textId="57EC78C9"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Magazine Luiza</w:t>
                                  </w:r>
                                  <w:r w:rsidR="008B34B3">
                                    <w:rPr>
                                      <w:rFonts w:ascii="Cambria" w:hAnsi="Cambria"/>
                                      <w:b/>
                                      <w:bCs/>
                                      <w:sz w:val="24"/>
                                      <w:szCs w:val="24"/>
                                    </w:rPr>
                                    <w:t xml:space="preserve"> Z- Score</w:t>
                                  </w:r>
                                </w:p>
                              </w:tc>
                              <w:tc>
                                <w:tcPr>
                                  <w:tcW w:w="860" w:type="dxa"/>
                                </w:tcPr>
                                <w:p w14:paraId="6A7660D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5.89</w:t>
                                  </w:r>
                                </w:p>
                              </w:tc>
                              <w:tc>
                                <w:tcPr>
                                  <w:tcW w:w="850" w:type="dxa"/>
                                </w:tcPr>
                                <w:p w14:paraId="5A6E249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6.21</w:t>
                                  </w:r>
                                </w:p>
                              </w:tc>
                              <w:tc>
                                <w:tcPr>
                                  <w:tcW w:w="851" w:type="dxa"/>
                                </w:tcPr>
                                <w:p w14:paraId="4E7ECB29"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2.15</w:t>
                                  </w:r>
                                </w:p>
                              </w:tc>
                              <w:tc>
                                <w:tcPr>
                                  <w:tcW w:w="850" w:type="dxa"/>
                                </w:tcPr>
                                <w:p w14:paraId="7144CBF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1.89</w:t>
                                  </w:r>
                                </w:p>
                              </w:tc>
                              <w:tc>
                                <w:tcPr>
                                  <w:tcW w:w="851" w:type="dxa"/>
                                </w:tcPr>
                                <w:p w14:paraId="7751CE65"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1.30</w:t>
                                  </w:r>
                                </w:p>
                              </w:tc>
                              <w:tc>
                                <w:tcPr>
                                  <w:tcW w:w="850" w:type="dxa"/>
                                </w:tcPr>
                                <w:p w14:paraId="1867E8B6"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1.42</w:t>
                                  </w:r>
                                </w:p>
                              </w:tc>
                              <w:tc>
                                <w:tcPr>
                                  <w:tcW w:w="3407" w:type="dxa"/>
                                </w:tcPr>
                                <w:p w14:paraId="655756DF"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Severe distress, high risk of default</w:t>
                                  </w:r>
                                </w:p>
                              </w:tc>
                            </w:tr>
                          </w:tbl>
                          <w:p w14:paraId="6C67B0B7" w14:textId="062A339B" w:rsidR="00604B66" w:rsidRDefault="00604B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BFEC" id="_x0000_s1036" type="#_x0000_t202" style="position:absolute;left:0;text-align:left;margin-left:-7.2pt;margin-top:406.8pt;width:507.6pt;height:8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" filled="f" stroked="f">
                <v:textbox>
                  <w:txbxContent>
                    <w:tbl>
                      <w:tblPr>
                        <w:tblStyle w:val="TableGrid"/>
                        <w:tblW w:w="0" w:type="auto"/>
                        <w:tblLook w:val="04A0" w:firstRow="1" w:lastRow="0" w:firstColumn="1" w:lastColumn="0" w:noHBand="0" w:noVBand="1"/>
                      </w:tblPr>
                      <w:tblGrid>
                        <w:gridCol w:w="1262"/>
                        <w:gridCol w:w="860"/>
                        <w:gridCol w:w="850"/>
                        <w:gridCol w:w="851"/>
                        <w:gridCol w:w="850"/>
                        <w:gridCol w:w="851"/>
                        <w:gridCol w:w="850"/>
                        <w:gridCol w:w="3407"/>
                      </w:tblGrid>
                      <w:tr w:rsidR="00604B66" w14:paraId="2323168E" w14:textId="77777777" w:rsidTr="00604B66">
                        <w:tc>
                          <w:tcPr>
                            <w:tcW w:w="1262" w:type="dxa"/>
                          </w:tcPr>
                          <w:p w14:paraId="0FFFCEF7"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Company</w:t>
                            </w:r>
                          </w:p>
                        </w:tc>
                        <w:tc>
                          <w:tcPr>
                            <w:tcW w:w="860" w:type="dxa"/>
                          </w:tcPr>
                          <w:p w14:paraId="63B38051" w14:textId="77777777" w:rsidR="00604B66" w:rsidRPr="00C93493"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2019</w:t>
                            </w:r>
                          </w:p>
                        </w:tc>
                        <w:tc>
                          <w:tcPr>
                            <w:tcW w:w="850" w:type="dxa"/>
                          </w:tcPr>
                          <w:p w14:paraId="784E922B"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2020</w:t>
                            </w:r>
                          </w:p>
                        </w:tc>
                        <w:tc>
                          <w:tcPr>
                            <w:tcW w:w="851" w:type="dxa"/>
                          </w:tcPr>
                          <w:p w14:paraId="794A674A"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2021</w:t>
                            </w:r>
                          </w:p>
                        </w:tc>
                        <w:tc>
                          <w:tcPr>
                            <w:tcW w:w="850" w:type="dxa"/>
                          </w:tcPr>
                          <w:p w14:paraId="366982D6"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2022</w:t>
                            </w:r>
                          </w:p>
                        </w:tc>
                        <w:tc>
                          <w:tcPr>
                            <w:tcW w:w="851" w:type="dxa"/>
                          </w:tcPr>
                          <w:p w14:paraId="08CD167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2023</w:t>
                            </w:r>
                          </w:p>
                        </w:tc>
                        <w:tc>
                          <w:tcPr>
                            <w:tcW w:w="850" w:type="dxa"/>
                          </w:tcPr>
                          <w:p w14:paraId="3EE2F0ED"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2024</w:t>
                            </w:r>
                          </w:p>
                        </w:tc>
                        <w:tc>
                          <w:tcPr>
                            <w:tcW w:w="3407" w:type="dxa"/>
                          </w:tcPr>
                          <w:p w14:paraId="234181F3" w14:textId="77777777"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Credit Risk Outlook</w:t>
                            </w:r>
                          </w:p>
                        </w:tc>
                      </w:tr>
                      <w:tr w:rsidR="00604B66" w14:paraId="62AC9129" w14:textId="77777777" w:rsidTr="00604B66">
                        <w:tc>
                          <w:tcPr>
                            <w:tcW w:w="1262" w:type="dxa"/>
                          </w:tcPr>
                          <w:p w14:paraId="1424FFCF" w14:textId="57EC78C9" w:rsidR="00604B66" w:rsidRDefault="00604B66" w:rsidP="00604B66">
                            <w:pPr>
                              <w:spacing w:beforeLines="20" w:before="48" w:afterLines="40" w:after="96"/>
                              <w:jc w:val="both"/>
                              <w:rPr>
                                <w:rFonts w:ascii="Cambria" w:hAnsi="Cambria"/>
                                <w:b/>
                                <w:bCs/>
                                <w:sz w:val="24"/>
                                <w:szCs w:val="24"/>
                              </w:rPr>
                            </w:pPr>
                            <w:r>
                              <w:rPr>
                                <w:rFonts w:ascii="Cambria" w:hAnsi="Cambria"/>
                                <w:b/>
                                <w:bCs/>
                                <w:sz w:val="24"/>
                                <w:szCs w:val="24"/>
                              </w:rPr>
                              <w:t>Magazine Luiza</w:t>
                            </w:r>
                            <w:r w:rsidR="008B34B3">
                              <w:rPr>
                                <w:rFonts w:ascii="Cambria" w:hAnsi="Cambria"/>
                                <w:b/>
                                <w:bCs/>
                                <w:sz w:val="24"/>
                                <w:szCs w:val="24"/>
                              </w:rPr>
                              <w:t xml:space="preserve"> Z- Score</w:t>
                            </w:r>
                          </w:p>
                        </w:tc>
                        <w:tc>
                          <w:tcPr>
                            <w:tcW w:w="860" w:type="dxa"/>
                          </w:tcPr>
                          <w:p w14:paraId="6A7660D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5.89</w:t>
                            </w:r>
                          </w:p>
                        </w:tc>
                        <w:tc>
                          <w:tcPr>
                            <w:tcW w:w="850" w:type="dxa"/>
                          </w:tcPr>
                          <w:p w14:paraId="5A6E249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6.21</w:t>
                            </w:r>
                          </w:p>
                        </w:tc>
                        <w:tc>
                          <w:tcPr>
                            <w:tcW w:w="851" w:type="dxa"/>
                          </w:tcPr>
                          <w:p w14:paraId="4E7ECB29"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2.15</w:t>
                            </w:r>
                          </w:p>
                        </w:tc>
                        <w:tc>
                          <w:tcPr>
                            <w:tcW w:w="850" w:type="dxa"/>
                          </w:tcPr>
                          <w:p w14:paraId="7144CBF8"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1.89</w:t>
                            </w:r>
                          </w:p>
                        </w:tc>
                        <w:tc>
                          <w:tcPr>
                            <w:tcW w:w="851" w:type="dxa"/>
                          </w:tcPr>
                          <w:p w14:paraId="7751CE65"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1.30</w:t>
                            </w:r>
                          </w:p>
                        </w:tc>
                        <w:tc>
                          <w:tcPr>
                            <w:tcW w:w="850" w:type="dxa"/>
                          </w:tcPr>
                          <w:p w14:paraId="1867E8B6"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1.42</w:t>
                            </w:r>
                          </w:p>
                        </w:tc>
                        <w:tc>
                          <w:tcPr>
                            <w:tcW w:w="3407" w:type="dxa"/>
                          </w:tcPr>
                          <w:p w14:paraId="655756DF" w14:textId="77777777" w:rsidR="00604B66" w:rsidRPr="00C93493" w:rsidRDefault="00604B66" w:rsidP="00604B66">
                            <w:pPr>
                              <w:spacing w:beforeLines="20" w:before="48" w:afterLines="40" w:after="96"/>
                              <w:jc w:val="both"/>
                              <w:rPr>
                                <w:rFonts w:ascii="Cambria" w:hAnsi="Cambria"/>
                                <w:sz w:val="24"/>
                                <w:szCs w:val="24"/>
                              </w:rPr>
                            </w:pPr>
                            <w:r>
                              <w:rPr>
                                <w:rFonts w:ascii="Cambria" w:hAnsi="Cambria"/>
                                <w:sz w:val="24"/>
                                <w:szCs w:val="24"/>
                              </w:rPr>
                              <w:t>Severe distress, high risk of default</w:t>
                            </w:r>
                          </w:p>
                        </w:tc>
                      </w:tr>
                    </w:tbl>
                    <w:p w14:paraId="6C67B0B7" w14:textId="062A339B" w:rsidR="00604B66" w:rsidRDefault="00604B66"/>
                  </w:txbxContent>
                </v:textbox>
                <w10:wrap type="square" anchorx="margin"/>
              </v:shape>
            </w:pict>
          </mc:Fallback>
        </mc:AlternateContent>
      </w:r>
      <w:r w:rsidR="00B05E64" w:rsidRPr="00456405">
        <w:rPr>
          <w:rFonts w:ascii="Cambria" w:hAnsi="Cambria"/>
          <w:b/>
          <w:bCs/>
          <w:sz w:val="24"/>
          <w:szCs w:val="24"/>
        </w:rPr>
        <w:t>5. Magazine Luiza: The Most Distressed with High Default Probability</w:t>
      </w:r>
      <w:r w:rsidR="00B05E64" w:rsidRPr="00456405">
        <w:rPr>
          <w:rFonts w:ascii="Cambria" w:hAnsi="Cambria"/>
          <w:b/>
          <w:bCs/>
          <w:sz w:val="24"/>
          <w:szCs w:val="24"/>
        </w:rPr>
        <w:tab/>
      </w:r>
      <w:r w:rsidR="00C93493" w:rsidRPr="00456405">
        <w:rPr>
          <w:rFonts w:ascii="Cambria" w:hAnsi="Cambria"/>
          <w:b/>
          <w:bCs/>
          <w:sz w:val="24"/>
          <w:szCs w:val="24"/>
        </w:rPr>
        <w:br/>
      </w:r>
      <w:r w:rsidR="00B05E64" w:rsidRPr="00456405">
        <w:rPr>
          <w:rFonts w:ascii="Cambria" w:hAnsi="Cambria"/>
          <w:sz w:val="24"/>
          <w:szCs w:val="24"/>
        </w:rPr>
        <w:t xml:space="preserve">Their financial decline is the most alarming with score’s plummeting from 5.89 in 2019 to just 1.42 in 2024, crossing the safety thresholds. This firmly places them in the high-risk category. </w:t>
      </w:r>
      <w:r w:rsidR="00B05E64" w:rsidRPr="00456405">
        <w:rPr>
          <w:rFonts w:ascii="Cambria" w:hAnsi="Cambria"/>
          <w:sz w:val="24"/>
          <w:szCs w:val="24"/>
        </w:rPr>
        <w:br/>
        <w:t xml:space="preserve">The sharp decline’s key drivers include heavy reliance on credit financed sales which became unsustainable as Brazil’s interest rates surged to 13.75% in 2023. Furthermore, intense competition exacerbated the problem, resulting in rising debt burdens and weak cash flows. Lenders and investors view the company as a high-risk borrower facing restricted access to capital and higher financing costs prompting urgent restructuring of capital and cost-cutting measures to prevent further deterioration of credit health. </w:t>
      </w:r>
      <w:r w:rsidR="005369EC" w:rsidRPr="00456405">
        <w:rPr>
          <w:rFonts w:ascii="Cambria" w:hAnsi="Cambria"/>
          <w:sz w:val="24"/>
          <w:szCs w:val="24"/>
        </w:rPr>
        <w:tab/>
      </w:r>
      <w:r w:rsidR="005369EC" w:rsidRPr="00456405">
        <w:rPr>
          <w:rFonts w:ascii="Cambria" w:hAnsi="Cambria"/>
          <w:sz w:val="24"/>
          <w:szCs w:val="24"/>
        </w:rPr>
        <w:br/>
      </w:r>
      <w:r w:rsidR="005369EC" w:rsidRPr="00456405">
        <w:rPr>
          <w:rFonts w:ascii="Cambria" w:hAnsi="Cambria"/>
          <w:sz w:val="24"/>
          <w:szCs w:val="24"/>
        </w:rPr>
        <w:br/>
      </w:r>
      <w:r w:rsidR="005369EC" w:rsidRPr="00456405">
        <w:rPr>
          <w:rFonts w:ascii="Cambria" w:hAnsi="Cambria"/>
          <w:sz w:val="24"/>
          <w:szCs w:val="24"/>
        </w:rPr>
        <w:br/>
      </w:r>
    </w:p>
    <w:p w14:paraId="5375172C" w14:textId="4A67CD4C" w:rsidR="003831A2" w:rsidRPr="00456405" w:rsidRDefault="0007430D" w:rsidP="00730709">
      <w:pPr>
        <w:spacing w:beforeLines="20" w:before="48" w:afterLines="40" w:after="96" w:line="240" w:lineRule="auto"/>
        <w:jc w:val="both"/>
        <w:rPr>
          <w:rFonts w:ascii="Cambria" w:hAnsi="Cambria"/>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665408" behindDoc="0" locked="0" layoutInCell="1" allowOverlap="1" wp14:anchorId="62D7ADC7" wp14:editId="62D3606A">
                <wp:simplePos x="0" y="0"/>
                <wp:positionH relativeFrom="margin">
                  <wp:align>center</wp:align>
                </wp:positionH>
                <wp:positionV relativeFrom="paragraph">
                  <wp:posOffset>3238712</wp:posOffset>
                </wp:positionV>
                <wp:extent cx="6358255" cy="4800600"/>
                <wp:effectExtent l="0" t="0" r="0" b="0"/>
                <wp:wrapSquare wrapText="bothSides"/>
                <wp:docPr id="203902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80060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852"/>
                              <w:gridCol w:w="4849"/>
                            </w:tblGrid>
                            <w:tr w:rsidR="0007430D" w14:paraId="2C7BD61F" w14:textId="77777777" w:rsidTr="0007430D">
                              <w:tc>
                                <w:tcPr>
                                  <w:tcW w:w="9701" w:type="dxa"/>
                                  <w:gridSpan w:val="2"/>
                                </w:tcPr>
                                <w:p w14:paraId="5A27307B" w14:textId="77777777" w:rsidR="0007430D" w:rsidRPr="00E32109" w:rsidRDefault="0007430D" w:rsidP="0007430D">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07430D" w14:paraId="51F2464F" w14:textId="77777777" w:rsidTr="0007430D">
                              <w:tc>
                                <w:tcPr>
                                  <w:tcW w:w="4852" w:type="dxa"/>
                                </w:tcPr>
                                <w:p w14:paraId="25D22B45"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Stable but Moderate Credit Risk</w:t>
                                  </w:r>
                                  <w:r>
                                    <w:rPr>
                                      <w:rFonts w:ascii="Cambria" w:hAnsi="Cambria"/>
                                      <w:sz w:val="24"/>
                                      <w:szCs w:val="24"/>
                                    </w:rPr>
                                    <w:t xml:space="preserve"> -</w:t>
                                  </w:r>
                                  <w:r>
                                    <w:rPr>
                                      <w:rFonts w:ascii="Cambria" w:hAnsi="Cambria"/>
                                      <w:sz w:val="24"/>
                                      <w:szCs w:val="24"/>
                                    </w:rPr>
                                    <w:br/>
                                  </w:r>
                                  <w:r w:rsidRPr="00E32109">
                                    <w:rPr>
                                      <w:rFonts w:ascii="Cambria" w:hAnsi="Cambria"/>
                                      <w:sz w:val="24"/>
                                      <w:szCs w:val="24"/>
                                    </w:rPr>
                                    <w:t>Walmart's Distance to Default (DD) remained relatively stable, reflecting a strong but moderately leveraged position.</w:t>
                                  </w:r>
                                </w:p>
                              </w:tc>
                              <w:tc>
                                <w:tcPr>
                                  <w:tcW w:w="4849" w:type="dxa"/>
                                </w:tcPr>
                                <w:p w14:paraId="0AD2BEE6"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Walmart remains financially resilient but should monitor any gradual DD decline.</w:t>
                                  </w:r>
                                </w:p>
                              </w:tc>
                            </w:tr>
                            <w:tr w:rsidR="0007430D" w14:paraId="18776A58" w14:textId="77777777" w:rsidTr="0007430D">
                              <w:tc>
                                <w:tcPr>
                                  <w:tcW w:w="4852" w:type="dxa"/>
                                </w:tcPr>
                                <w:p w14:paraId="56802CD9"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Market Value &amp; Liabilities Growth</w:t>
                                  </w:r>
                                  <w:r>
                                    <w:rPr>
                                      <w:rFonts w:ascii="Cambria" w:hAnsi="Cambria"/>
                                      <w:sz w:val="24"/>
                                      <w:szCs w:val="24"/>
                                    </w:rPr>
                                    <w:t xml:space="preserve"> - </w:t>
                                  </w:r>
                                  <w:r>
                                    <w:rPr>
                                      <w:rFonts w:ascii="Cambria" w:hAnsi="Cambria"/>
                                      <w:sz w:val="24"/>
                                      <w:szCs w:val="24"/>
                                    </w:rPr>
                                    <w:br/>
                                  </w:r>
                                  <w:r w:rsidRPr="00E32109">
                                    <w:rPr>
                                      <w:rFonts w:ascii="Cambria" w:hAnsi="Cambria"/>
                                      <w:sz w:val="24"/>
                                      <w:szCs w:val="24"/>
                                    </w:rPr>
                                    <w:t>Market capitalization has increased, but liabilities have also grown, keeping leverage ratios moderately high.</w:t>
                                  </w:r>
                                </w:p>
                              </w:tc>
                              <w:tc>
                                <w:tcPr>
                                  <w:tcW w:w="4849" w:type="dxa"/>
                                </w:tcPr>
                                <w:p w14:paraId="0E456D1B"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Debt management remains crucial; increasing leverage may lead to higher borrowing costs if interest rates rise.</w:t>
                                  </w:r>
                                </w:p>
                              </w:tc>
                            </w:tr>
                            <w:tr w:rsidR="0007430D" w14:paraId="587D7DE4" w14:textId="77777777" w:rsidTr="0007430D">
                              <w:tc>
                                <w:tcPr>
                                  <w:tcW w:w="4852" w:type="dxa"/>
                                </w:tcPr>
                                <w:p w14:paraId="38377B06"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Strong Cash Flows &amp; Liquidity Position</w:t>
                                  </w:r>
                                  <w:r>
                                    <w:rPr>
                                      <w:rFonts w:ascii="Cambria" w:hAnsi="Cambria"/>
                                      <w:sz w:val="24"/>
                                      <w:szCs w:val="24"/>
                                    </w:rPr>
                                    <w:t xml:space="preserve"> - </w:t>
                                  </w:r>
                                  <w:r>
                                    <w:rPr>
                                      <w:rFonts w:ascii="Cambria" w:hAnsi="Cambria"/>
                                      <w:sz w:val="24"/>
                                      <w:szCs w:val="24"/>
                                    </w:rPr>
                                    <w:br/>
                                  </w:r>
                                  <w:r w:rsidRPr="00E32109">
                                    <w:rPr>
                                      <w:rFonts w:ascii="Cambria" w:hAnsi="Cambria"/>
                                      <w:sz w:val="24"/>
                                      <w:szCs w:val="24"/>
                                    </w:rPr>
                                    <w:t>Walmart maintains robust cash flows, supporting consistent dividend payouts and share buybacks.</w:t>
                                  </w:r>
                                </w:p>
                              </w:tc>
                              <w:tc>
                                <w:tcPr>
                                  <w:tcW w:w="4849" w:type="dxa"/>
                                </w:tcPr>
                                <w:p w14:paraId="437772D7"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A key strength for investors, ensuring stable returns and strong debt servicing capabilities.</w:t>
                                  </w:r>
                                </w:p>
                              </w:tc>
                            </w:tr>
                            <w:tr w:rsidR="0007430D" w14:paraId="6FABDC99" w14:textId="77777777" w:rsidTr="0007430D">
                              <w:tc>
                                <w:tcPr>
                                  <w:tcW w:w="4852" w:type="dxa"/>
                                </w:tcPr>
                                <w:p w14:paraId="61538139"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Macroeconomic Sensitivity</w:t>
                                  </w:r>
                                  <w:r>
                                    <w:rPr>
                                      <w:rFonts w:ascii="Cambria" w:hAnsi="Cambria"/>
                                      <w:sz w:val="24"/>
                                      <w:szCs w:val="24"/>
                                    </w:rPr>
                                    <w:t xml:space="preserve"> - </w:t>
                                  </w:r>
                                  <w:r>
                                    <w:rPr>
                                      <w:rFonts w:ascii="Cambria" w:hAnsi="Cambria"/>
                                      <w:sz w:val="24"/>
                                      <w:szCs w:val="24"/>
                                    </w:rPr>
                                    <w:br/>
                                  </w:r>
                                  <w:r w:rsidRPr="0016202D">
                                    <w:rPr>
                                      <w:rFonts w:ascii="Cambria" w:hAnsi="Cambria"/>
                                      <w:sz w:val="24"/>
                                      <w:szCs w:val="24"/>
                                    </w:rPr>
                                    <w:t>Inflation, supply chain disruptions, and consumer spending shifts pose external risks.</w:t>
                                  </w:r>
                                </w:p>
                              </w:tc>
                              <w:tc>
                                <w:tcPr>
                                  <w:tcW w:w="4849" w:type="dxa"/>
                                </w:tcPr>
                                <w:p w14:paraId="5B91490A" w14:textId="77777777" w:rsidR="0007430D" w:rsidRDefault="0007430D" w:rsidP="0007430D">
                                  <w:pPr>
                                    <w:spacing w:beforeLines="20" w:before="48" w:afterLines="40" w:after="96"/>
                                    <w:jc w:val="both"/>
                                    <w:rPr>
                                      <w:rFonts w:ascii="Cambria" w:hAnsi="Cambria"/>
                                      <w:sz w:val="24"/>
                                      <w:szCs w:val="24"/>
                                    </w:rPr>
                                  </w:pPr>
                                  <w:r w:rsidRPr="0016202D">
                                    <w:rPr>
                                      <w:rFonts w:ascii="Cambria" w:hAnsi="Cambria"/>
                                      <w:sz w:val="24"/>
                                      <w:szCs w:val="24"/>
                                    </w:rPr>
                                    <w:t>Investors should closely monitor inflationary pressures, as cost-passing strategies could impact sales volume.</w:t>
                                  </w:r>
                                </w:p>
                              </w:tc>
                            </w:tr>
                            <w:tr w:rsidR="0007430D" w14:paraId="01A126C5" w14:textId="77777777" w:rsidTr="0007430D">
                              <w:tc>
                                <w:tcPr>
                                  <w:tcW w:w="4852" w:type="dxa"/>
                                </w:tcPr>
                                <w:p w14:paraId="2F3ABCDD"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Competition from E-commerce</w:t>
                                  </w:r>
                                  <w:r>
                                    <w:rPr>
                                      <w:rFonts w:ascii="Cambria" w:hAnsi="Cambria"/>
                                      <w:sz w:val="24"/>
                                      <w:szCs w:val="24"/>
                                    </w:rPr>
                                    <w:t xml:space="preserve"> - </w:t>
                                  </w:r>
                                  <w:r>
                                    <w:rPr>
                                      <w:rFonts w:ascii="Cambria" w:hAnsi="Cambria"/>
                                      <w:sz w:val="24"/>
                                      <w:szCs w:val="24"/>
                                    </w:rPr>
                                    <w:br/>
                                  </w:r>
                                  <w:r w:rsidRPr="0016202D">
                                    <w:rPr>
                                      <w:rFonts w:ascii="Cambria" w:hAnsi="Cambria"/>
                                      <w:sz w:val="24"/>
                                      <w:szCs w:val="24"/>
                                    </w:rPr>
                                    <w:t>Amazon and other e-commerce platforms pose ongoing challenges to Walmart's market dominance.</w:t>
                                  </w:r>
                                </w:p>
                              </w:tc>
                              <w:tc>
                                <w:tcPr>
                                  <w:tcW w:w="4849" w:type="dxa"/>
                                </w:tcPr>
                                <w:p w14:paraId="7B6C37AF" w14:textId="77777777" w:rsidR="0007430D" w:rsidRDefault="0007430D" w:rsidP="0007430D">
                                  <w:pPr>
                                    <w:spacing w:beforeLines="20" w:before="48" w:afterLines="40" w:after="96"/>
                                    <w:jc w:val="both"/>
                                    <w:rPr>
                                      <w:rFonts w:ascii="Cambria" w:hAnsi="Cambria"/>
                                      <w:sz w:val="24"/>
                                      <w:szCs w:val="24"/>
                                    </w:rPr>
                                  </w:pPr>
                                  <w:r w:rsidRPr="0016202D">
                                    <w:rPr>
                                      <w:rFonts w:ascii="Cambria" w:hAnsi="Cambria"/>
                                      <w:sz w:val="24"/>
                                      <w:szCs w:val="24"/>
                                    </w:rPr>
                                    <w:t>Walmart’s omnichannel strategy is critical to mitigating long-term threats from digital retailers.</w:t>
                                  </w:r>
                                </w:p>
                              </w:tc>
                            </w:tr>
                          </w:tbl>
                          <w:p w14:paraId="2AEF1EAF" w14:textId="6496E55A" w:rsidR="0007430D" w:rsidRDefault="000743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7ADC7" id="_x0000_s1037" type="#_x0000_t202" style="position:absolute;left:0;text-align:left;margin-left:0;margin-top:255pt;width:500.65pt;height:37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" filled="f" stroked="f">
                <v:textbox>
                  <w:txbxContent>
                    <w:tbl>
                      <w:tblPr>
                        <w:tblStyle w:val="TableGrid"/>
                        <w:tblW w:w="0" w:type="auto"/>
                        <w:tblLook w:val="04A0" w:firstRow="1" w:lastRow="0" w:firstColumn="1" w:lastColumn="0" w:noHBand="0" w:noVBand="1"/>
                      </w:tblPr>
                      <w:tblGrid>
                        <w:gridCol w:w="4852"/>
                        <w:gridCol w:w="4849"/>
                      </w:tblGrid>
                      <w:tr w:rsidR="0007430D" w14:paraId="2C7BD61F" w14:textId="77777777" w:rsidTr="0007430D">
                        <w:tc>
                          <w:tcPr>
                            <w:tcW w:w="9701" w:type="dxa"/>
                            <w:gridSpan w:val="2"/>
                          </w:tcPr>
                          <w:p w14:paraId="5A27307B" w14:textId="77777777" w:rsidR="0007430D" w:rsidRPr="00E32109" w:rsidRDefault="0007430D" w:rsidP="0007430D">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07430D" w14:paraId="51F2464F" w14:textId="77777777" w:rsidTr="0007430D">
                        <w:tc>
                          <w:tcPr>
                            <w:tcW w:w="4852" w:type="dxa"/>
                          </w:tcPr>
                          <w:p w14:paraId="25D22B45"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Stable but Moderate Credit Risk</w:t>
                            </w:r>
                            <w:r>
                              <w:rPr>
                                <w:rFonts w:ascii="Cambria" w:hAnsi="Cambria"/>
                                <w:sz w:val="24"/>
                                <w:szCs w:val="24"/>
                              </w:rPr>
                              <w:t xml:space="preserve"> -</w:t>
                            </w:r>
                            <w:r>
                              <w:rPr>
                                <w:rFonts w:ascii="Cambria" w:hAnsi="Cambria"/>
                                <w:sz w:val="24"/>
                                <w:szCs w:val="24"/>
                              </w:rPr>
                              <w:br/>
                            </w:r>
                            <w:r w:rsidRPr="00E32109">
                              <w:rPr>
                                <w:rFonts w:ascii="Cambria" w:hAnsi="Cambria"/>
                                <w:sz w:val="24"/>
                                <w:szCs w:val="24"/>
                              </w:rPr>
                              <w:t>Walmart's Distance to Default (DD) remained relatively stable, reflecting a strong but moderately leveraged position.</w:t>
                            </w:r>
                          </w:p>
                        </w:tc>
                        <w:tc>
                          <w:tcPr>
                            <w:tcW w:w="4849" w:type="dxa"/>
                          </w:tcPr>
                          <w:p w14:paraId="0AD2BEE6"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Walmart remains financially resilient but should monitor any gradual DD decline.</w:t>
                            </w:r>
                          </w:p>
                        </w:tc>
                      </w:tr>
                      <w:tr w:rsidR="0007430D" w14:paraId="18776A58" w14:textId="77777777" w:rsidTr="0007430D">
                        <w:tc>
                          <w:tcPr>
                            <w:tcW w:w="4852" w:type="dxa"/>
                          </w:tcPr>
                          <w:p w14:paraId="56802CD9"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Market Value &amp; Liabilities Growth</w:t>
                            </w:r>
                            <w:r>
                              <w:rPr>
                                <w:rFonts w:ascii="Cambria" w:hAnsi="Cambria"/>
                                <w:sz w:val="24"/>
                                <w:szCs w:val="24"/>
                              </w:rPr>
                              <w:t xml:space="preserve"> - </w:t>
                            </w:r>
                            <w:r>
                              <w:rPr>
                                <w:rFonts w:ascii="Cambria" w:hAnsi="Cambria"/>
                                <w:sz w:val="24"/>
                                <w:szCs w:val="24"/>
                              </w:rPr>
                              <w:br/>
                            </w:r>
                            <w:r w:rsidRPr="00E32109">
                              <w:rPr>
                                <w:rFonts w:ascii="Cambria" w:hAnsi="Cambria"/>
                                <w:sz w:val="24"/>
                                <w:szCs w:val="24"/>
                              </w:rPr>
                              <w:t>Market capitalization has increased, but liabilities have also grown, keeping leverage ratios moderately high.</w:t>
                            </w:r>
                          </w:p>
                        </w:tc>
                        <w:tc>
                          <w:tcPr>
                            <w:tcW w:w="4849" w:type="dxa"/>
                          </w:tcPr>
                          <w:p w14:paraId="0E456D1B"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Debt management remains crucial; increasing leverage may lead to higher borrowing costs if interest rates rise.</w:t>
                            </w:r>
                          </w:p>
                        </w:tc>
                      </w:tr>
                      <w:tr w:rsidR="0007430D" w14:paraId="587D7DE4" w14:textId="77777777" w:rsidTr="0007430D">
                        <w:tc>
                          <w:tcPr>
                            <w:tcW w:w="4852" w:type="dxa"/>
                          </w:tcPr>
                          <w:p w14:paraId="38377B06"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Strong Cash Flows &amp; Liquidity Position</w:t>
                            </w:r>
                            <w:r>
                              <w:rPr>
                                <w:rFonts w:ascii="Cambria" w:hAnsi="Cambria"/>
                                <w:sz w:val="24"/>
                                <w:szCs w:val="24"/>
                              </w:rPr>
                              <w:t xml:space="preserve"> - </w:t>
                            </w:r>
                            <w:r>
                              <w:rPr>
                                <w:rFonts w:ascii="Cambria" w:hAnsi="Cambria"/>
                                <w:sz w:val="24"/>
                                <w:szCs w:val="24"/>
                              </w:rPr>
                              <w:br/>
                            </w:r>
                            <w:r w:rsidRPr="00E32109">
                              <w:rPr>
                                <w:rFonts w:ascii="Cambria" w:hAnsi="Cambria"/>
                                <w:sz w:val="24"/>
                                <w:szCs w:val="24"/>
                              </w:rPr>
                              <w:t>Walmart maintains robust cash flows, supporting consistent dividend payouts and share buybacks.</w:t>
                            </w:r>
                          </w:p>
                        </w:tc>
                        <w:tc>
                          <w:tcPr>
                            <w:tcW w:w="4849" w:type="dxa"/>
                          </w:tcPr>
                          <w:p w14:paraId="437772D7" w14:textId="77777777" w:rsidR="0007430D" w:rsidRDefault="0007430D" w:rsidP="0007430D">
                            <w:pPr>
                              <w:spacing w:beforeLines="20" w:before="48" w:afterLines="40" w:after="96"/>
                              <w:jc w:val="both"/>
                              <w:rPr>
                                <w:rFonts w:ascii="Cambria" w:hAnsi="Cambria"/>
                                <w:sz w:val="24"/>
                                <w:szCs w:val="24"/>
                              </w:rPr>
                            </w:pPr>
                            <w:r w:rsidRPr="00E32109">
                              <w:rPr>
                                <w:rFonts w:ascii="Cambria" w:hAnsi="Cambria"/>
                                <w:sz w:val="24"/>
                                <w:szCs w:val="24"/>
                              </w:rPr>
                              <w:t>A key strength for investors, ensuring stable returns and strong debt servicing capabilities.</w:t>
                            </w:r>
                          </w:p>
                        </w:tc>
                      </w:tr>
                      <w:tr w:rsidR="0007430D" w14:paraId="6FABDC99" w14:textId="77777777" w:rsidTr="0007430D">
                        <w:tc>
                          <w:tcPr>
                            <w:tcW w:w="4852" w:type="dxa"/>
                          </w:tcPr>
                          <w:p w14:paraId="61538139"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Macroeconomic Sensitivity</w:t>
                            </w:r>
                            <w:r>
                              <w:rPr>
                                <w:rFonts w:ascii="Cambria" w:hAnsi="Cambria"/>
                                <w:sz w:val="24"/>
                                <w:szCs w:val="24"/>
                              </w:rPr>
                              <w:t xml:space="preserve"> - </w:t>
                            </w:r>
                            <w:r>
                              <w:rPr>
                                <w:rFonts w:ascii="Cambria" w:hAnsi="Cambria"/>
                                <w:sz w:val="24"/>
                                <w:szCs w:val="24"/>
                              </w:rPr>
                              <w:br/>
                            </w:r>
                            <w:r w:rsidRPr="0016202D">
                              <w:rPr>
                                <w:rFonts w:ascii="Cambria" w:hAnsi="Cambria"/>
                                <w:sz w:val="24"/>
                                <w:szCs w:val="24"/>
                              </w:rPr>
                              <w:t>Inflation, supply chain disruptions, and consumer spending shifts pose external risks.</w:t>
                            </w:r>
                          </w:p>
                        </w:tc>
                        <w:tc>
                          <w:tcPr>
                            <w:tcW w:w="4849" w:type="dxa"/>
                          </w:tcPr>
                          <w:p w14:paraId="5B91490A" w14:textId="77777777" w:rsidR="0007430D" w:rsidRDefault="0007430D" w:rsidP="0007430D">
                            <w:pPr>
                              <w:spacing w:beforeLines="20" w:before="48" w:afterLines="40" w:after="96"/>
                              <w:jc w:val="both"/>
                              <w:rPr>
                                <w:rFonts w:ascii="Cambria" w:hAnsi="Cambria"/>
                                <w:sz w:val="24"/>
                                <w:szCs w:val="24"/>
                              </w:rPr>
                            </w:pPr>
                            <w:r w:rsidRPr="0016202D">
                              <w:rPr>
                                <w:rFonts w:ascii="Cambria" w:hAnsi="Cambria"/>
                                <w:sz w:val="24"/>
                                <w:szCs w:val="24"/>
                              </w:rPr>
                              <w:t>Investors should closely monitor inflationary pressures, as cost-passing strategies could impact sales volume.</w:t>
                            </w:r>
                          </w:p>
                        </w:tc>
                      </w:tr>
                      <w:tr w:rsidR="0007430D" w14:paraId="01A126C5" w14:textId="77777777" w:rsidTr="0007430D">
                        <w:tc>
                          <w:tcPr>
                            <w:tcW w:w="4852" w:type="dxa"/>
                          </w:tcPr>
                          <w:p w14:paraId="2F3ABCDD" w14:textId="77777777" w:rsidR="0007430D" w:rsidRDefault="0007430D" w:rsidP="0007430D">
                            <w:pPr>
                              <w:spacing w:beforeLines="20" w:before="48" w:afterLines="40" w:after="96"/>
                              <w:rPr>
                                <w:rFonts w:ascii="Cambria" w:hAnsi="Cambria"/>
                                <w:sz w:val="24"/>
                                <w:szCs w:val="24"/>
                              </w:rPr>
                            </w:pPr>
                            <w:r w:rsidRPr="0007430D">
                              <w:rPr>
                                <w:rFonts w:ascii="Cambria" w:hAnsi="Cambria"/>
                                <w:b/>
                                <w:bCs/>
                                <w:sz w:val="24"/>
                                <w:szCs w:val="24"/>
                              </w:rPr>
                              <w:t>Competition from E-commerce</w:t>
                            </w:r>
                            <w:r>
                              <w:rPr>
                                <w:rFonts w:ascii="Cambria" w:hAnsi="Cambria"/>
                                <w:sz w:val="24"/>
                                <w:szCs w:val="24"/>
                              </w:rPr>
                              <w:t xml:space="preserve"> - </w:t>
                            </w:r>
                            <w:r>
                              <w:rPr>
                                <w:rFonts w:ascii="Cambria" w:hAnsi="Cambria"/>
                                <w:sz w:val="24"/>
                                <w:szCs w:val="24"/>
                              </w:rPr>
                              <w:br/>
                            </w:r>
                            <w:r w:rsidRPr="0016202D">
                              <w:rPr>
                                <w:rFonts w:ascii="Cambria" w:hAnsi="Cambria"/>
                                <w:sz w:val="24"/>
                                <w:szCs w:val="24"/>
                              </w:rPr>
                              <w:t>Amazon and other e-commerce platforms pose ongoing challenges to Walmart's market dominance.</w:t>
                            </w:r>
                          </w:p>
                        </w:tc>
                        <w:tc>
                          <w:tcPr>
                            <w:tcW w:w="4849" w:type="dxa"/>
                          </w:tcPr>
                          <w:p w14:paraId="7B6C37AF" w14:textId="77777777" w:rsidR="0007430D" w:rsidRDefault="0007430D" w:rsidP="0007430D">
                            <w:pPr>
                              <w:spacing w:beforeLines="20" w:before="48" w:afterLines="40" w:after="96"/>
                              <w:jc w:val="both"/>
                              <w:rPr>
                                <w:rFonts w:ascii="Cambria" w:hAnsi="Cambria"/>
                                <w:sz w:val="24"/>
                                <w:szCs w:val="24"/>
                              </w:rPr>
                            </w:pPr>
                            <w:r w:rsidRPr="0016202D">
                              <w:rPr>
                                <w:rFonts w:ascii="Cambria" w:hAnsi="Cambria"/>
                                <w:sz w:val="24"/>
                                <w:szCs w:val="24"/>
                              </w:rPr>
                              <w:t>Walmart’s omnichannel strategy is critical to mitigating long-term threats from digital retailers.</w:t>
                            </w:r>
                          </w:p>
                        </w:tc>
                      </w:tr>
                    </w:tbl>
                    <w:p w14:paraId="2AEF1EAF" w14:textId="6496E55A" w:rsidR="0007430D" w:rsidRDefault="0007430D"/>
                  </w:txbxContent>
                </v:textbox>
                <w10:wrap type="square" anchorx="margin"/>
              </v:shape>
            </w:pict>
          </mc:Fallback>
        </mc:AlternateContent>
      </w:r>
      <w:r w:rsidR="005369EC" w:rsidRPr="00456405">
        <w:rPr>
          <w:rFonts w:ascii="Cambria" w:hAnsi="Cambria"/>
          <w:b/>
          <w:bCs/>
          <w:sz w:val="24"/>
          <w:szCs w:val="24"/>
        </w:rPr>
        <w:t xml:space="preserve">Merton </w:t>
      </w:r>
      <w:r w:rsidR="00E66CCC" w:rsidRPr="00456405">
        <w:rPr>
          <w:rFonts w:ascii="Cambria" w:hAnsi="Cambria"/>
          <w:b/>
          <w:bCs/>
          <w:sz w:val="24"/>
          <w:szCs w:val="24"/>
        </w:rPr>
        <w:t>Model (</w:t>
      </w:r>
      <w:r w:rsidR="005369EC" w:rsidRPr="00456405">
        <w:rPr>
          <w:rFonts w:ascii="Cambria" w:hAnsi="Cambria"/>
          <w:b/>
          <w:bCs/>
          <w:sz w:val="24"/>
          <w:szCs w:val="24"/>
        </w:rPr>
        <w:t>Black Scholes</w:t>
      </w:r>
      <w:r w:rsidR="00E66CCC" w:rsidRPr="00456405">
        <w:rPr>
          <w:rFonts w:ascii="Cambria" w:hAnsi="Cambria"/>
          <w:b/>
          <w:bCs/>
          <w:sz w:val="24"/>
          <w:szCs w:val="24"/>
        </w:rPr>
        <w:t>)</w:t>
      </w:r>
      <w:r w:rsidR="005369EC" w:rsidRPr="00456405">
        <w:rPr>
          <w:rFonts w:ascii="Cambria" w:hAnsi="Cambria"/>
          <w:b/>
          <w:bCs/>
          <w:sz w:val="24"/>
          <w:szCs w:val="24"/>
        </w:rPr>
        <w:t xml:space="preserve"> </w:t>
      </w:r>
      <w:r w:rsidR="00E66CCC" w:rsidRPr="00456405">
        <w:rPr>
          <w:rStyle w:val="FootnoteReference"/>
          <w:rFonts w:ascii="Cambria" w:hAnsi="Cambria"/>
          <w:b/>
          <w:bCs/>
          <w:sz w:val="24"/>
          <w:szCs w:val="24"/>
        </w:rPr>
        <w:footnoteReference w:id="3"/>
      </w:r>
      <w:r w:rsidR="005369EC" w:rsidRPr="00456405">
        <w:rPr>
          <w:rFonts w:ascii="Cambria" w:hAnsi="Cambria"/>
          <w:b/>
          <w:bCs/>
          <w:sz w:val="24"/>
          <w:szCs w:val="24"/>
        </w:rPr>
        <w:tab/>
      </w:r>
      <w:r w:rsidR="005369EC" w:rsidRPr="00456405">
        <w:rPr>
          <w:rFonts w:ascii="Cambria" w:hAnsi="Cambria"/>
          <w:b/>
          <w:bCs/>
          <w:sz w:val="24"/>
          <w:szCs w:val="24"/>
        </w:rPr>
        <w:br/>
      </w:r>
      <w:r w:rsidR="005369EC" w:rsidRPr="00456405">
        <w:rPr>
          <w:rFonts w:ascii="Cambria" w:hAnsi="Cambria"/>
          <w:b/>
          <w:bCs/>
          <w:sz w:val="24"/>
          <w:szCs w:val="24"/>
        </w:rPr>
        <w:br/>
        <w:t>1. Walmart</w:t>
      </w:r>
      <w:r w:rsidR="005369EC" w:rsidRPr="00456405">
        <w:rPr>
          <w:rFonts w:ascii="Cambria" w:hAnsi="Cambria"/>
          <w:b/>
          <w:bCs/>
          <w:sz w:val="24"/>
          <w:szCs w:val="24"/>
        </w:rPr>
        <w:tab/>
      </w:r>
      <w:r w:rsidR="005369EC" w:rsidRPr="00456405">
        <w:rPr>
          <w:rFonts w:ascii="Cambria" w:hAnsi="Cambria"/>
          <w:b/>
          <w:bCs/>
          <w:sz w:val="24"/>
          <w:szCs w:val="24"/>
        </w:rPr>
        <w:br/>
      </w:r>
      <w:r w:rsidR="005369EC" w:rsidRPr="00456405">
        <w:rPr>
          <w:rFonts w:ascii="Cambria" w:hAnsi="Cambria"/>
          <w:sz w:val="24"/>
          <w:szCs w:val="24"/>
        </w:rPr>
        <w:t>Walmart’s Merton analysis over 2019-2024 highlights a company with exceptionally low credit risk, reflected in their consistently zero default probability across all years. The Distance to Default (DD) started at 6.52 in 2019, showing a comfortable buffer against financial distress. By 2020, DD surged to 12.81, driven by higher implied asset value of $475.5</w:t>
      </w:r>
      <w:r w:rsidR="00163FBC">
        <w:rPr>
          <w:rFonts w:ascii="Cambria" w:hAnsi="Cambria"/>
          <w:sz w:val="24"/>
          <w:szCs w:val="24"/>
        </w:rPr>
        <w:t>B</w:t>
      </w:r>
      <w:r w:rsidR="005369EC" w:rsidRPr="00456405">
        <w:rPr>
          <w:rFonts w:ascii="Cambria" w:hAnsi="Cambria"/>
          <w:sz w:val="24"/>
          <w:szCs w:val="24"/>
        </w:rPr>
        <w:t xml:space="preserve"> and a decline in implied asset volatility to 8.83%, highlighting market confidence in their stability. </w:t>
      </w:r>
      <w:r w:rsidR="00547701" w:rsidRPr="00456405">
        <w:rPr>
          <w:rFonts w:ascii="Cambria" w:hAnsi="Cambria"/>
          <w:sz w:val="24"/>
          <w:szCs w:val="24"/>
        </w:rPr>
        <w:t xml:space="preserve">Between 2022 and 2023, a stable DD range of 9.86-9.93 despite minor shifts in risk-free rates and asset volatility suggests their operational stability helped absorb fluctuations. </w:t>
      </w:r>
      <w:r w:rsidR="008712D1" w:rsidRPr="00456405">
        <w:rPr>
          <w:rFonts w:ascii="Cambria" w:hAnsi="Cambria"/>
          <w:sz w:val="24"/>
          <w:szCs w:val="24"/>
        </w:rPr>
        <w:t xml:space="preserve">By 2024, company’s DD climbed further to 13.09, backed by an </w:t>
      </w:r>
      <w:proofErr w:type="gramStart"/>
      <w:r w:rsidR="007B52B7" w:rsidRPr="00456405">
        <w:rPr>
          <w:rFonts w:ascii="Cambria" w:hAnsi="Cambria"/>
          <w:sz w:val="24"/>
          <w:szCs w:val="24"/>
        </w:rPr>
        <w:t>impressive implied</w:t>
      </w:r>
      <w:proofErr w:type="gramEnd"/>
      <w:r w:rsidR="008712D1" w:rsidRPr="00456405">
        <w:rPr>
          <w:rFonts w:ascii="Cambria" w:hAnsi="Cambria"/>
          <w:sz w:val="24"/>
          <w:szCs w:val="24"/>
        </w:rPr>
        <w:t xml:space="preserve"> asset value of $644.52</w:t>
      </w:r>
      <w:r w:rsidR="00163FBC">
        <w:rPr>
          <w:rFonts w:ascii="Cambria" w:hAnsi="Cambria"/>
          <w:sz w:val="24"/>
          <w:szCs w:val="24"/>
        </w:rPr>
        <w:t>B</w:t>
      </w:r>
      <w:r w:rsidR="008712D1" w:rsidRPr="00456405">
        <w:rPr>
          <w:rFonts w:ascii="Cambria" w:hAnsi="Cambria"/>
          <w:sz w:val="24"/>
          <w:szCs w:val="24"/>
        </w:rPr>
        <w:t xml:space="preserve"> and a decline </w:t>
      </w:r>
      <w:r w:rsidR="007B52B7" w:rsidRPr="00456405">
        <w:rPr>
          <w:rFonts w:ascii="Cambria" w:hAnsi="Cambria"/>
          <w:sz w:val="24"/>
          <w:szCs w:val="24"/>
        </w:rPr>
        <w:t xml:space="preserve">of </w:t>
      </w:r>
      <w:r w:rsidR="008712D1" w:rsidRPr="00456405">
        <w:rPr>
          <w:rFonts w:ascii="Cambria" w:hAnsi="Cambria"/>
          <w:sz w:val="24"/>
          <w:szCs w:val="24"/>
        </w:rPr>
        <w:t xml:space="preserve">asset volatility to 10.8%, signalling </w:t>
      </w:r>
      <w:r w:rsidR="007B52B7" w:rsidRPr="00456405">
        <w:rPr>
          <w:rFonts w:ascii="Cambria" w:hAnsi="Cambria"/>
          <w:sz w:val="24"/>
          <w:szCs w:val="24"/>
        </w:rPr>
        <w:t xml:space="preserve">financial stability and lower perceived market risk. </w:t>
      </w:r>
      <w:r w:rsidR="00954421" w:rsidRPr="00456405">
        <w:rPr>
          <w:rFonts w:ascii="Cambria" w:hAnsi="Cambria"/>
          <w:sz w:val="24"/>
          <w:szCs w:val="24"/>
        </w:rPr>
        <w:t>Even as liabilities grew modestly from $139.6</w:t>
      </w:r>
      <w:r w:rsidR="00163FBC">
        <w:rPr>
          <w:rFonts w:ascii="Cambria" w:hAnsi="Cambria"/>
          <w:sz w:val="24"/>
          <w:szCs w:val="24"/>
        </w:rPr>
        <w:t>B</w:t>
      </w:r>
      <w:r w:rsidR="00954421" w:rsidRPr="00456405">
        <w:rPr>
          <w:rFonts w:ascii="Cambria" w:hAnsi="Cambria"/>
          <w:sz w:val="24"/>
          <w:szCs w:val="24"/>
        </w:rPr>
        <w:t xml:space="preserve"> in 2019 to $163.1</w:t>
      </w:r>
      <w:r w:rsidR="00163FBC">
        <w:rPr>
          <w:rFonts w:ascii="Cambria" w:hAnsi="Cambria"/>
          <w:sz w:val="24"/>
          <w:szCs w:val="24"/>
        </w:rPr>
        <w:t xml:space="preserve">B </w:t>
      </w:r>
      <w:r w:rsidR="00954421" w:rsidRPr="00456405">
        <w:rPr>
          <w:rFonts w:ascii="Cambria" w:hAnsi="Cambria"/>
          <w:sz w:val="24"/>
          <w:szCs w:val="24"/>
        </w:rPr>
        <w:t>in 2024, the firm’s robust asset base and controlled volatility ensured a strong credit profile.</w:t>
      </w:r>
      <w:r w:rsidR="007B52B7" w:rsidRPr="00456405">
        <w:rPr>
          <w:rFonts w:ascii="Cambria" w:hAnsi="Cambria"/>
          <w:sz w:val="24"/>
          <w:szCs w:val="24"/>
        </w:rPr>
        <w:tab/>
      </w:r>
      <w:r w:rsidR="007B52B7" w:rsidRPr="00456405">
        <w:rPr>
          <w:rFonts w:ascii="Cambria" w:hAnsi="Cambria"/>
          <w:sz w:val="24"/>
          <w:szCs w:val="24"/>
        </w:rPr>
        <w:br/>
        <w:t xml:space="preserve">The findings align with their investment grade credit standing and effectiveness of expansion strategy, revenue resilience and disciplined financial management, making it attractive to credit investors amidst their fortified financial standing. </w:t>
      </w:r>
      <w:r w:rsidR="00A77520" w:rsidRPr="00456405">
        <w:rPr>
          <w:rFonts w:ascii="Cambria" w:hAnsi="Cambria"/>
          <w:sz w:val="24"/>
          <w:szCs w:val="24"/>
        </w:rPr>
        <w:tab/>
      </w:r>
      <w:r w:rsidR="00A77520" w:rsidRPr="00456405">
        <w:rPr>
          <w:rFonts w:ascii="Cambria" w:hAnsi="Cambria"/>
          <w:sz w:val="24"/>
          <w:szCs w:val="24"/>
        </w:rPr>
        <w:br/>
      </w:r>
      <w:r w:rsidR="00E66CCC" w:rsidRPr="00456405">
        <w:rPr>
          <w:rFonts w:ascii="Cambria" w:hAnsi="Cambria"/>
          <w:sz w:val="24"/>
          <w:szCs w:val="24"/>
        </w:rPr>
        <w:br/>
      </w:r>
      <w:r w:rsidR="00A77520" w:rsidRPr="00456405">
        <w:rPr>
          <w:rFonts w:ascii="Cambria" w:hAnsi="Cambria"/>
          <w:b/>
          <w:bCs/>
          <w:sz w:val="24"/>
          <w:szCs w:val="24"/>
        </w:rPr>
        <w:lastRenderedPageBreak/>
        <w:t xml:space="preserve">2. </w:t>
      </w:r>
      <w:r w:rsidR="006C7148" w:rsidRPr="00456405">
        <w:rPr>
          <w:rFonts w:ascii="Cambria" w:hAnsi="Cambria"/>
          <w:b/>
          <w:bCs/>
          <w:sz w:val="24"/>
          <w:szCs w:val="24"/>
        </w:rPr>
        <w:t>Costco</w:t>
      </w:r>
      <w:r w:rsidR="006C7148" w:rsidRPr="00456405">
        <w:rPr>
          <w:rFonts w:ascii="Cambria" w:hAnsi="Cambria"/>
          <w:b/>
          <w:bCs/>
          <w:sz w:val="24"/>
          <w:szCs w:val="24"/>
        </w:rPr>
        <w:tab/>
      </w:r>
      <w:r w:rsidR="006C7148" w:rsidRPr="00456405">
        <w:rPr>
          <w:rFonts w:ascii="Cambria" w:hAnsi="Cambria"/>
          <w:b/>
          <w:bCs/>
          <w:sz w:val="24"/>
          <w:szCs w:val="24"/>
        </w:rPr>
        <w:br/>
      </w:r>
      <w:proofErr w:type="spellStart"/>
      <w:r w:rsidR="006C7148" w:rsidRPr="00456405">
        <w:rPr>
          <w:rFonts w:ascii="Cambria" w:hAnsi="Cambria"/>
          <w:sz w:val="24"/>
          <w:szCs w:val="24"/>
        </w:rPr>
        <w:t>Costco</w:t>
      </w:r>
      <w:proofErr w:type="spellEnd"/>
      <w:r w:rsidR="006C7148" w:rsidRPr="00456405">
        <w:rPr>
          <w:rFonts w:ascii="Cambria" w:hAnsi="Cambria"/>
          <w:sz w:val="24"/>
          <w:szCs w:val="24"/>
        </w:rPr>
        <w:t xml:space="preserve"> has exhibited consistent strengthening of their credit position. In 2019, their DD stood at 8.83, with a market capitalisation of $130.83B and an implied asset volatility of 0.1903, suggesting a strong financial position with negligible risk of default. Progressing to 2020, their market capitalisation increased </w:t>
      </w:r>
      <w:r w:rsidR="0004566C" w:rsidRPr="00456405">
        <w:rPr>
          <w:rFonts w:ascii="Cambria" w:hAnsi="Cambria"/>
          <w:sz w:val="24"/>
          <w:szCs w:val="24"/>
        </w:rPr>
        <w:t>to $</w:t>
      </w:r>
      <w:r w:rsidR="006C7148" w:rsidRPr="00456405">
        <w:rPr>
          <w:rFonts w:ascii="Cambria" w:hAnsi="Cambria"/>
          <w:sz w:val="24"/>
          <w:szCs w:val="24"/>
        </w:rPr>
        <w:t xml:space="preserve">160.17B and total liabilities increasing to $36.85B, leading to a DD of 8.16. This slight decline suggests a marginal increase in exposure to risk, primarily due to rising liabilities. By 2021, their market cap surged to $198.52B, further strengthening their credit position and despite increasing liabilities, their DD improved to 10.68, a sign of increasing financial resilience. </w:t>
      </w:r>
      <w:r w:rsidR="0004566C" w:rsidRPr="00456405">
        <w:rPr>
          <w:rFonts w:ascii="Cambria" w:hAnsi="Cambria"/>
          <w:sz w:val="24"/>
          <w:szCs w:val="24"/>
        </w:rPr>
        <w:t xml:space="preserve">This improvement was driven by a sharp decline in implied asset volatility to 0.1636, reflecting greater stability in their asset values. With a dip in 2022, the company rebounded in 2023 with DD reaching 9.65. This supports that Costco’s financial position remained robust due to increase in asset value and decrease in volatility. In 2024, the company registered the highest DD of 15.23 for the surveyed years, and a remarkable rise in market capitalisation of $402.79B and a sharp decline in implied asset volatility to 0.1509, indicating that there is lower perceived risk in its assets. </w:t>
      </w:r>
      <w:r w:rsidR="0004566C" w:rsidRPr="00456405">
        <w:rPr>
          <w:rFonts w:ascii="Cambria" w:hAnsi="Cambria"/>
          <w:sz w:val="24"/>
          <w:szCs w:val="24"/>
        </w:rPr>
        <w:tab/>
      </w:r>
      <w:r w:rsidR="0004566C" w:rsidRPr="00456405">
        <w:rPr>
          <w:rFonts w:ascii="Cambria" w:hAnsi="Cambria"/>
          <w:sz w:val="24"/>
          <w:szCs w:val="24"/>
        </w:rPr>
        <w:br/>
        <w:t xml:space="preserve">Throughout this period, their default probability remained at 0%, emphasising their </w:t>
      </w:r>
      <w:r w:rsidR="00831C29" w:rsidRPr="00456405">
        <w:rPr>
          <w:rFonts w:ascii="Cambria" w:hAnsi="Cambria"/>
          <w:sz w:val="24"/>
          <w:szCs w:val="24"/>
        </w:rPr>
        <w:t>robust</w:t>
      </w:r>
      <w:r w:rsidR="0004566C" w:rsidRPr="00456405">
        <w:rPr>
          <w:rFonts w:ascii="Cambria" w:hAnsi="Cambria"/>
          <w:sz w:val="24"/>
          <w:szCs w:val="24"/>
        </w:rPr>
        <w:t xml:space="preserve"> financial health, key driver behind which is their consistent increase in asset value which excessively offsets the growth in liabilities. </w:t>
      </w:r>
      <w:r w:rsidR="003F3961" w:rsidRPr="00456405">
        <w:rPr>
          <w:rFonts w:ascii="Cambria" w:hAnsi="Cambria"/>
          <w:sz w:val="24"/>
          <w:szCs w:val="24"/>
        </w:rPr>
        <w:t xml:space="preserve">Overall, their credit position is exceptionally strong, with increasing resilience against financial distress. The DD trend suggests that the company’s ability to meet their obligations have strengthened over time, reflecting sound financial management and prudent navigation of economic uncertainties. While occasional volatility in asset value and liabilities </w:t>
      </w:r>
      <w:proofErr w:type="gramStart"/>
      <w:r w:rsidR="003F3961" w:rsidRPr="00456405">
        <w:rPr>
          <w:rFonts w:ascii="Cambria" w:hAnsi="Cambria"/>
          <w:sz w:val="24"/>
          <w:szCs w:val="24"/>
        </w:rPr>
        <w:t>are</w:t>
      </w:r>
      <w:proofErr w:type="gramEnd"/>
      <w:r w:rsidR="003F3961" w:rsidRPr="00456405">
        <w:rPr>
          <w:rFonts w:ascii="Cambria" w:hAnsi="Cambria"/>
          <w:sz w:val="24"/>
          <w:szCs w:val="24"/>
        </w:rPr>
        <w:t xml:space="preserve"> registered, their large asset base and market capitalisation ensure</w:t>
      </w:r>
      <w:r w:rsidR="00A23266" w:rsidRPr="00456405">
        <w:rPr>
          <w:rFonts w:ascii="Cambria" w:hAnsi="Cambria"/>
          <w:b/>
          <w:bCs/>
          <w:noProof/>
          <w:sz w:val="24"/>
          <w:szCs w:val="24"/>
        </w:rPr>
        <mc:AlternateContent>
          <mc:Choice Requires="wps">
            <w:drawing>
              <wp:anchor distT="45720" distB="45720" distL="114300" distR="114300" simplePos="0" relativeHeight="251667456" behindDoc="0" locked="0" layoutInCell="1" allowOverlap="1" wp14:anchorId="475431FE" wp14:editId="1665847F">
                <wp:simplePos x="0" y="0"/>
                <wp:positionH relativeFrom="margin">
                  <wp:align>center</wp:align>
                </wp:positionH>
                <wp:positionV relativeFrom="paragraph">
                  <wp:posOffset>4275243</wp:posOffset>
                </wp:positionV>
                <wp:extent cx="6451600" cy="4546600"/>
                <wp:effectExtent l="0" t="0" r="0" b="6350"/>
                <wp:wrapSquare wrapText="bothSides"/>
                <wp:docPr id="161674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454660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868"/>
                              <w:gridCol w:w="4868"/>
                            </w:tblGrid>
                            <w:tr w:rsidR="00A23266" w14:paraId="7A2CD8EA" w14:textId="77777777" w:rsidTr="00C0700B">
                              <w:tc>
                                <w:tcPr>
                                  <w:tcW w:w="9736" w:type="dxa"/>
                                  <w:gridSpan w:val="2"/>
                                </w:tcPr>
                                <w:p w14:paraId="0DCFDBB8" w14:textId="77777777" w:rsidR="00A23266" w:rsidRPr="00A23266" w:rsidRDefault="00A23266" w:rsidP="00A23266">
                                  <w:pPr>
                                    <w:spacing w:beforeLines="20" w:before="48" w:afterLines="40" w:after="96"/>
                                    <w:jc w:val="center"/>
                                    <w:rPr>
                                      <w:rFonts w:ascii="Cambria" w:hAnsi="Cambria"/>
                                      <w:b/>
                                      <w:bCs/>
                                      <w:sz w:val="24"/>
                                      <w:szCs w:val="24"/>
                                    </w:rPr>
                                  </w:pPr>
                                  <w:r w:rsidRPr="00A23266">
                                    <w:rPr>
                                      <w:rFonts w:ascii="Cambria" w:hAnsi="Cambria"/>
                                      <w:b/>
                                      <w:bCs/>
                                      <w:sz w:val="24"/>
                                      <w:szCs w:val="24"/>
                                    </w:rPr>
                                    <w:t>Key Risks &amp; Considerations</w:t>
                                  </w:r>
                                </w:p>
                              </w:tc>
                            </w:tr>
                            <w:tr w:rsidR="00A23266" w14:paraId="08A03FAE" w14:textId="77777777" w:rsidTr="00C0700B">
                              <w:tc>
                                <w:tcPr>
                                  <w:tcW w:w="4868" w:type="dxa"/>
                                </w:tcPr>
                                <w:p w14:paraId="258A7641"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Strong Credit Profile &amp; Low Default Risk</w:t>
                                  </w:r>
                                  <w:r>
                                    <w:rPr>
                                      <w:rFonts w:ascii="Cambria" w:hAnsi="Cambria"/>
                                      <w:sz w:val="24"/>
                                      <w:szCs w:val="24"/>
                                    </w:rPr>
                                    <w:t xml:space="preserve"> - </w:t>
                                  </w:r>
                                  <w:r>
                                    <w:rPr>
                                      <w:rFonts w:ascii="Cambria" w:hAnsi="Cambria"/>
                                      <w:sz w:val="24"/>
                                      <w:szCs w:val="24"/>
                                    </w:rPr>
                                    <w:br/>
                                  </w:r>
                                  <w:r w:rsidRPr="0016202D">
                                    <w:rPr>
                                      <w:rFonts w:ascii="Cambria" w:hAnsi="Cambria"/>
                                      <w:sz w:val="24"/>
                                      <w:szCs w:val="24"/>
                                    </w:rPr>
                                    <w:t>Costco maintains a high Distance to Default (DD), indicating strong financial stability and low distress probability.</w:t>
                                  </w:r>
                                </w:p>
                              </w:tc>
                              <w:tc>
                                <w:tcPr>
                                  <w:tcW w:w="4868" w:type="dxa"/>
                                </w:tcPr>
                                <w:p w14:paraId="4BE76F28"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Investors can view Costco as a safer long-term investment with strong creditworthiness.</w:t>
                                  </w:r>
                                </w:p>
                              </w:tc>
                            </w:tr>
                            <w:tr w:rsidR="00A23266" w14:paraId="54463368" w14:textId="77777777" w:rsidTr="00C0700B">
                              <w:tc>
                                <w:tcPr>
                                  <w:tcW w:w="4868" w:type="dxa"/>
                                </w:tcPr>
                                <w:p w14:paraId="06B7AA24"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Consistently Growing Market Capitalization</w:t>
                                  </w:r>
                                  <w:r>
                                    <w:rPr>
                                      <w:rFonts w:ascii="Cambria" w:hAnsi="Cambria"/>
                                      <w:sz w:val="24"/>
                                      <w:szCs w:val="24"/>
                                    </w:rPr>
                                    <w:t xml:space="preserve"> - </w:t>
                                  </w:r>
                                  <w:r>
                                    <w:rPr>
                                      <w:rFonts w:ascii="Cambria" w:hAnsi="Cambria"/>
                                      <w:sz w:val="24"/>
                                      <w:szCs w:val="24"/>
                                    </w:rPr>
                                    <w:br/>
                                  </w:r>
                                  <w:r w:rsidRPr="0016202D">
                                    <w:rPr>
                                      <w:rFonts w:ascii="Cambria" w:hAnsi="Cambria"/>
                                      <w:sz w:val="24"/>
                                      <w:szCs w:val="24"/>
                                    </w:rPr>
                                    <w:t>Costco’s market value has steadily increased, driven by membership-based revenue stability.</w:t>
                                  </w:r>
                                </w:p>
                              </w:tc>
                              <w:tc>
                                <w:tcPr>
                                  <w:tcW w:w="4868" w:type="dxa"/>
                                </w:tcPr>
                                <w:p w14:paraId="4F06D5D5"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Indicates strong investor confidence and sustained financial growth.</w:t>
                                  </w:r>
                                </w:p>
                              </w:tc>
                            </w:tr>
                            <w:tr w:rsidR="00A23266" w14:paraId="2E06DE62" w14:textId="77777777" w:rsidTr="00C0700B">
                              <w:tc>
                                <w:tcPr>
                                  <w:tcW w:w="4868" w:type="dxa"/>
                                </w:tcPr>
                                <w:p w14:paraId="242EED42"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Low Leverage &amp; Effective Cost Control</w:t>
                                  </w:r>
                                  <w:r>
                                    <w:rPr>
                                      <w:rFonts w:ascii="Cambria" w:hAnsi="Cambria"/>
                                      <w:sz w:val="24"/>
                                      <w:szCs w:val="24"/>
                                    </w:rPr>
                                    <w:t xml:space="preserve"> - </w:t>
                                  </w:r>
                                  <w:r>
                                    <w:rPr>
                                      <w:rFonts w:ascii="Cambria" w:hAnsi="Cambria"/>
                                      <w:sz w:val="24"/>
                                      <w:szCs w:val="24"/>
                                    </w:rPr>
                                    <w:br/>
                                  </w:r>
                                  <w:r w:rsidRPr="0016202D">
                                    <w:rPr>
                                      <w:rFonts w:ascii="Cambria" w:hAnsi="Cambria"/>
                                      <w:sz w:val="24"/>
                                      <w:szCs w:val="24"/>
                                    </w:rPr>
                                    <w:t>Debt levels remain manageable, supported by high operating efficiency and strong margins.</w:t>
                                  </w:r>
                                </w:p>
                              </w:tc>
                              <w:tc>
                                <w:tcPr>
                                  <w:tcW w:w="4868" w:type="dxa"/>
                                </w:tcPr>
                                <w:p w14:paraId="3750B39A"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Suggests minimal credit risk, making Costco’s debt attractive for bond investors.</w:t>
                                  </w:r>
                                </w:p>
                              </w:tc>
                            </w:tr>
                            <w:tr w:rsidR="00A23266" w14:paraId="18437A78" w14:textId="77777777" w:rsidTr="00C0700B">
                              <w:tc>
                                <w:tcPr>
                                  <w:tcW w:w="4868" w:type="dxa"/>
                                </w:tcPr>
                                <w:p w14:paraId="588E1B5C"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Supply Chain &amp; Cost Pressures</w:t>
                                  </w:r>
                                  <w:r>
                                    <w:rPr>
                                      <w:rFonts w:ascii="Cambria" w:hAnsi="Cambria"/>
                                      <w:sz w:val="24"/>
                                      <w:szCs w:val="24"/>
                                    </w:rPr>
                                    <w:t xml:space="preserve"> - </w:t>
                                  </w:r>
                                  <w:r>
                                    <w:rPr>
                                      <w:rFonts w:ascii="Cambria" w:hAnsi="Cambria"/>
                                      <w:sz w:val="24"/>
                                      <w:szCs w:val="24"/>
                                    </w:rPr>
                                    <w:br/>
                                  </w:r>
                                  <w:r w:rsidRPr="0016202D">
                                    <w:rPr>
                                      <w:rFonts w:ascii="Cambria" w:hAnsi="Cambria"/>
                                      <w:sz w:val="24"/>
                                      <w:szCs w:val="24"/>
                                    </w:rPr>
                                    <w:t>While less impacted than competitors, Costco faces rising operational costs due to inflation.</w:t>
                                  </w:r>
                                </w:p>
                              </w:tc>
                              <w:tc>
                                <w:tcPr>
                                  <w:tcW w:w="4868" w:type="dxa"/>
                                </w:tcPr>
                                <w:p w14:paraId="5EBC7661"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Investors should monitor pricing strategies and membership retention trends.</w:t>
                                  </w:r>
                                </w:p>
                                <w:p w14:paraId="7F165EE5" w14:textId="77777777" w:rsidR="00A23266" w:rsidRPr="0016202D" w:rsidRDefault="00A23266" w:rsidP="00A904F5">
                                  <w:pPr>
                                    <w:ind w:firstLine="720"/>
                                    <w:rPr>
                                      <w:rFonts w:ascii="Cambria" w:hAnsi="Cambria"/>
                                      <w:sz w:val="24"/>
                                      <w:szCs w:val="24"/>
                                    </w:rPr>
                                  </w:pPr>
                                </w:p>
                              </w:tc>
                            </w:tr>
                            <w:tr w:rsidR="00A23266" w14:paraId="303D510A" w14:textId="77777777" w:rsidTr="00C0700B">
                              <w:tc>
                                <w:tcPr>
                                  <w:tcW w:w="4868" w:type="dxa"/>
                                </w:tcPr>
                                <w:p w14:paraId="6FBE0A0F"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Retail &amp; Consumer Behaviour Shifts</w:t>
                                  </w:r>
                                  <w:r>
                                    <w:rPr>
                                      <w:rFonts w:ascii="Cambria" w:hAnsi="Cambria"/>
                                      <w:sz w:val="24"/>
                                      <w:szCs w:val="24"/>
                                    </w:rPr>
                                    <w:t xml:space="preserve"> - </w:t>
                                  </w:r>
                                  <w:r>
                                    <w:rPr>
                                      <w:rFonts w:ascii="Cambria" w:hAnsi="Cambria"/>
                                      <w:sz w:val="24"/>
                                      <w:szCs w:val="24"/>
                                    </w:rPr>
                                    <w:br/>
                                  </w:r>
                                  <w:r w:rsidRPr="0016202D">
                                    <w:rPr>
                                      <w:rFonts w:ascii="Cambria" w:hAnsi="Cambria"/>
                                      <w:sz w:val="24"/>
                                      <w:szCs w:val="24"/>
                                    </w:rPr>
                                    <w:t>Economic downturns could impact bulk shopping trends, potentially affecting Costco’s revenue model.</w:t>
                                  </w:r>
                                </w:p>
                              </w:tc>
                              <w:tc>
                                <w:tcPr>
                                  <w:tcW w:w="4868" w:type="dxa"/>
                                </w:tcPr>
                                <w:p w14:paraId="6894D1B1"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Resilient pricing strategies and strong membership retention are key to long-term success.</w:t>
                                  </w:r>
                                </w:p>
                              </w:tc>
                            </w:tr>
                          </w:tbl>
                          <w:p w14:paraId="5395B3A0" w14:textId="4EF4BD5C" w:rsidR="00A23266" w:rsidRDefault="00A232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431FE" id="_x0000_s1038" type="#_x0000_t202" style="position:absolute;left:0;text-align:left;margin-left:0;margin-top:336.65pt;width:508pt;height:358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" filled="f" stroked="f">
                <v:textbox>
                  <w:txbxContent>
                    <w:tbl>
                      <w:tblPr>
                        <w:tblStyle w:val="TableGrid"/>
                        <w:tblW w:w="0" w:type="auto"/>
                        <w:tblLook w:val="04A0" w:firstRow="1" w:lastRow="0" w:firstColumn="1" w:lastColumn="0" w:noHBand="0" w:noVBand="1"/>
                      </w:tblPr>
                      <w:tblGrid>
                        <w:gridCol w:w="4868"/>
                        <w:gridCol w:w="4868"/>
                      </w:tblGrid>
                      <w:tr w:rsidR="00A23266" w14:paraId="7A2CD8EA" w14:textId="77777777" w:rsidTr="00C0700B">
                        <w:tc>
                          <w:tcPr>
                            <w:tcW w:w="9736" w:type="dxa"/>
                            <w:gridSpan w:val="2"/>
                          </w:tcPr>
                          <w:p w14:paraId="0DCFDBB8" w14:textId="77777777" w:rsidR="00A23266" w:rsidRPr="00A23266" w:rsidRDefault="00A23266" w:rsidP="00A23266">
                            <w:pPr>
                              <w:spacing w:beforeLines="20" w:before="48" w:afterLines="40" w:after="96"/>
                              <w:jc w:val="center"/>
                              <w:rPr>
                                <w:rFonts w:ascii="Cambria" w:hAnsi="Cambria"/>
                                <w:b/>
                                <w:bCs/>
                                <w:sz w:val="24"/>
                                <w:szCs w:val="24"/>
                              </w:rPr>
                            </w:pPr>
                            <w:r w:rsidRPr="00A23266">
                              <w:rPr>
                                <w:rFonts w:ascii="Cambria" w:hAnsi="Cambria"/>
                                <w:b/>
                                <w:bCs/>
                                <w:sz w:val="24"/>
                                <w:szCs w:val="24"/>
                              </w:rPr>
                              <w:t>Key Risks &amp; Considerations</w:t>
                            </w:r>
                          </w:p>
                        </w:tc>
                      </w:tr>
                      <w:tr w:rsidR="00A23266" w14:paraId="08A03FAE" w14:textId="77777777" w:rsidTr="00C0700B">
                        <w:tc>
                          <w:tcPr>
                            <w:tcW w:w="4868" w:type="dxa"/>
                          </w:tcPr>
                          <w:p w14:paraId="258A7641"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Strong Credit Profile &amp; Low Default Risk</w:t>
                            </w:r>
                            <w:r>
                              <w:rPr>
                                <w:rFonts w:ascii="Cambria" w:hAnsi="Cambria"/>
                                <w:sz w:val="24"/>
                                <w:szCs w:val="24"/>
                              </w:rPr>
                              <w:t xml:space="preserve"> - </w:t>
                            </w:r>
                            <w:r>
                              <w:rPr>
                                <w:rFonts w:ascii="Cambria" w:hAnsi="Cambria"/>
                                <w:sz w:val="24"/>
                                <w:szCs w:val="24"/>
                              </w:rPr>
                              <w:br/>
                            </w:r>
                            <w:r w:rsidRPr="0016202D">
                              <w:rPr>
                                <w:rFonts w:ascii="Cambria" w:hAnsi="Cambria"/>
                                <w:sz w:val="24"/>
                                <w:szCs w:val="24"/>
                              </w:rPr>
                              <w:t>Costco maintains a high Distance to Default (DD), indicating strong financial stability and low distress probability.</w:t>
                            </w:r>
                          </w:p>
                        </w:tc>
                        <w:tc>
                          <w:tcPr>
                            <w:tcW w:w="4868" w:type="dxa"/>
                          </w:tcPr>
                          <w:p w14:paraId="4BE76F28"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Investors can view Costco as a safer long-term investment with strong creditworthiness.</w:t>
                            </w:r>
                          </w:p>
                        </w:tc>
                      </w:tr>
                      <w:tr w:rsidR="00A23266" w14:paraId="54463368" w14:textId="77777777" w:rsidTr="00C0700B">
                        <w:tc>
                          <w:tcPr>
                            <w:tcW w:w="4868" w:type="dxa"/>
                          </w:tcPr>
                          <w:p w14:paraId="06B7AA24"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Consistently Growing Market Capitalization</w:t>
                            </w:r>
                            <w:r>
                              <w:rPr>
                                <w:rFonts w:ascii="Cambria" w:hAnsi="Cambria"/>
                                <w:sz w:val="24"/>
                                <w:szCs w:val="24"/>
                              </w:rPr>
                              <w:t xml:space="preserve"> - </w:t>
                            </w:r>
                            <w:r>
                              <w:rPr>
                                <w:rFonts w:ascii="Cambria" w:hAnsi="Cambria"/>
                                <w:sz w:val="24"/>
                                <w:szCs w:val="24"/>
                              </w:rPr>
                              <w:br/>
                            </w:r>
                            <w:r w:rsidRPr="0016202D">
                              <w:rPr>
                                <w:rFonts w:ascii="Cambria" w:hAnsi="Cambria"/>
                                <w:sz w:val="24"/>
                                <w:szCs w:val="24"/>
                              </w:rPr>
                              <w:t>Costco’s market value has steadily increased, driven by membership-based revenue stability.</w:t>
                            </w:r>
                          </w:p>
                        </w:tc>
                        <w:tc>
                          <w:tcPr>
                            <w:tcW w:w="4868" w:type="dxa"/>
                          </w:tcPr>
                          <w:p w14:paraId="4F06D5D5"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Indicates strong investor confidence and sustained financial growth.</w:t>
                            </w:r>
                          </w:p>
                        </w:tc>
                      </w:tr>
                      <w:tr w:rsidR="00A23266" w14:paraId="2E06DE62" w14:textId="77777777" w:rsidTr="00C0700B">
                        <w:tc>
                          <w:tcPr>
                            <w:tcW w:w="4868" w:type="dxa"/>
                          </w:tcPr>
                          <w:p w14:paraId="242EED42"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Low Leverage &amp; Effective Cost Control</w:t>
                            </w:r>
                            <w:r>
                              <w:rPr>
                                <w:rFonts w:ascii="Cambria" w:hAnsi="Cambria"/>
                                <w:sz w:val="24"/>
                                <w:szCs w:val="24"/>
                              </w:rPr>
                              <w:t xml:space="preserve"> - </w:t>
                            </w:r>
                            <w:r>
                              <w:rPr>
                                <w:rFonts w:ascii="Cambria" w:hAnsi="Cambria"/>
                                <w:sz w:val="24"/>
                                <w:szCs w:val="24"/>
                              </w:rPr>
                              <w:br/>
                            </w:r>
                            <w:r w:rsidRPr="0016202D">
                              <w:rPr>
                                <w:rFonts w:ascii="Cambria" w:hAnsi="Cambria"/>
                                <w:sz w:val="24"/>
                                <w:szCs w:val="24"/>
                              </w:rPr>
                              <w:t>Debt levels remain manageable, supported by high operating efficiency and strong margins.</w:t>
                            </w:r>
                          </w:p>
                        </w:tc>
                        <w:tc>
                          <w:tcPr>
                            <w:tcW w:w="4868" w:type="dxa"/>
                          </w:tcPr>
                          <w:p w14:paraId="3750B39A"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Suggests minimal credit risk, making Costco’s debt attractive for bond investors.</w:t>
                            </w:r>
                          </w:p>
                        </w:tc>
                      </w:tr>
                      <w:tr w:rsidR="00A23266" w14:paraId="18437A78" w14:textId="77777777" w:rsidTr="00C0700B">
                        <w:tc>
                          <w:tcPr>
                            <w:tcW w:w="4868" w:type="dxa"/>
                          </w:tcPr>
                          <w:p w14:paraId="588E1B5C"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Supply Chain &amp; Cost Pressures</w:t>
                            </w:r>
                            <w:r>
                              <w:rPr>
                                <w:rFonts w:ascii="Cambria" w:hAnsi="Cambria"/>
                                <w:sz w:val="24"/>
                                <w:szCs w:val="24"/>
                              </w:rPr>
                              <w:t xml:space="preserve"> - </w:t>
                            </w:r>
                            <w:r>
                              <w:rPr>
                                <w:rFonts w:ascii="Cambria" w:hAnsi="Cambria"/>
                                <w:sz w:val="24"/>
                                <w:szCs w:val="24"/>
                              </w:rPr>
                              <w:br/>
                            </w:r>
                            <w:r w:rsidRPr="0016202D">
                              <w:rPr>
                                <w:rFonts w:ascii="Cambria" w:hAnsi="Cambria"/>
                                <w:sz w:val="24"/>
                                <w:szCs w:val="24"/>
                              </w:rPr>
                              <w:t>While less impacted than competitors, Costco faces rising operational costs due to inflation.</w:t>
                            </w:r>
                          </w:p>
                        </w:tc>
                        <w:tc>
                          <w:tcPr>
                            <w:tcW w:w="4868" w:type="dxa"/>
                          </w:tcPr>
                          <w:p w14:paraId="5EBC7661"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Investors should monitor pricing strategies and membership retention trends.</w:t>
                            </w:r>
                          </w:p>
                          <w:p w14:paraId="7F165EE5" w14:textId="77777777" w:rsidR="00A23266" w:rsidRPr="0016202D" w:rsidRDefault="00A23266" w:rsidP="00A904F5">
                            <w:pPr>
                              <w:ind w:firstLine="720"/>
                              <w:rPr>
                                <w:rFonts w:ascii="Cambria" w:hAnsi="Cambria"/>
                                <w:sz w:val="24"/>
                                <w:szCs w:val="24"/>
                              </w:rPr>
                            </w:pPr>
                          </w:p>
                        </w:tc>
                      </w:tr>
                      <w:tr w:rsidR="00A23266" w14:paraId="303D510A" w14:textId="77777777" w:rsidTr="00C0700B">
                        <w:tc>
                          <w:tcPr>
                            <w:tcW w:w="4868" w:type="dxa"/>
                          </w:tcPr>
                          <w:p w14:paraId="6FBE0A0F" w14:textId="77777777" w:rsidR="00A23266" w:rsidRDefault="00A23266" w:rsidP="00A904F5">
                            <w:pPr>
                              <w:spacing w:beforeLines="20" w:before="48" w:afterLines="40" w:after="96"/>
                              <w:rPr>
                                <w:rFonts w:ascii="Cambria" w:hAnsi="Cambria"/>
                                <w:sz w:val="24"/>
                                <w:szCs w:val="24"/>
                              </w:rPr>
                            </w:pPr>
                            <w:r w:rsidRPr="00A23266">
                              <w:rPr>
                                <w:rFonts w:ascii="Cambria" w:hAnsi="Cambria"/>
                                <w:b/>
                                <w:bCs/>
                                <w:sz w:val="24"/>
                                <w:szCs w:val="24"/>
                              </w:rPr>
                              <w:t>Retail &amp; Consumer Behaviour Shifts</w:t>
                            </w:r>
                            <w:r>
                              <w:rPr>
                                <w:rFonts w:ascii="Cambria" w:hAnsi="Cambria"/>
                                <w:sz w:val="24"/>
                                <w:szCs w:val="24"/>
                              </w:rPr>
                              <w:t xml:space="preserve"> - </w:t>
                            </w:r>
                            <w:r>
                              <w:rPr>
                                <w:rFonts w:ascii="Cambria" w:hAnsi="Cambria"/>
                                <w:sz w:val="24"/>
                                <w:szCs w:val="24"/>
                              </w:rPr>
                              <w:br/>
                            </w:r>
                            <w:r w:rsidRPr="0016202D">
                              <w:rPr>
                                <w:rFonts w:ascii="Cambria" w:hAnsi="Cambria"/>
                                <w:sz w:val="24"/>
                                <w:szCs w:val="24"/>
                              </w:rPr>
                              <w:t>Economic downturns could impact bulk shopping trends, potentially affecting Costco’s revenue model.</w:t>
                            </w:r>
                          </w:p>
                        </w:tc>
                        <w:tc>
                          <w:tcPr>
                            <w:tcW w:w="4868" w:type="dxa"/>
                          </w:tcPr>
                          <w:p w14:paraId="6894D1B1" w14:textId="77777777" w:rsidR="00A23266" w:rsidRDefault="00A23266" w:rsidP="00A904F5">
                            <w:pPr>
                              <w:spacing w:beforeLines="20" w:before="48" w:afterLines="40" w:after="96"/>
                              <w:rPr>
                                <w:rFonts w:ascii="Cambria" w:hAnsi="Cambria"/>
                                <w:sz w:val="24"/>
                                <w:szCs w:val="24"/>
                              </w:rPr>
                            </w:pPr>
                            <w:r w:rsidRPr="0016202D">
                              <w:rPr>
                                <w:rFonts w:ascii="Cambria" w:hAnsi="Cambria"/>
                                <w:sz w:val="24"/>
                                <w:szCs w:val="24"/>
                              </w:rPr>
                              <w:t>Resilient pricing strategies and strong membership retention are key to long-term success.</w:t>
                            </w:r>
                          </w:p>
                        </w:tc>
                      </w:tr>
                    </w:tbl>
                    <w:p w14:paraId="5395B3A0" w14:textId="4EF4BD5C" w:rsidR="00A23266" w:rsidRDefault="00A23266"/>
                  </w:txbxContent>
                </v:textbox>
                <w10:wrap type="square" anchorx="margin"/>
              </v:shape>
            </w:pict>
          </mc:Fallback>
        </mc:AlternateContent>
      </w:r>
      <w:r w:rsidR="0017069A" w:rsidRPr="00456405">
        <w:rPr>
          <w:rFonts w:ascii="Cambria" w:hAnsi="Cambria"/>
          <w:sz w:val="24"/>
          <w:szCs w:val="24"/>
        </w:rPr>
        <w:t xml:space="preserve"> </w:t>
      </w:r>
      <w:r w:rsidR="003F3961" w:rsidRPr="00456405">
        <w:rPr>
          <w:rFonts w:ascii="Cambria" w:hAnsi="Cambria"/>
          <w:sz w:val="24"/>
          <w:szCs w:val="24"/>
        </w:rPr>
        <w:t xml:space="preserve">solid buffer against potential shocks. </w:t>
      </w:r>
      <w:r w:rsidR="00FC7A14" w:rsidRPr="00456405">
        <w:rPr>
          <w:rFonts w:ascii="Cambria" w:hAnsi="Cambria"/>
          <w:sz w:val="24"/>
          <w:szCs w:val="24"/>
        </w:rPr>
        <w:tab/>
      </w:r>
      <w:r w:rsidR="000A68D7" w:rsidRPr="00456405">
        <w:rPr>
          <w:rFonts w:ascii="Cambria" w:hAnsi="Cambria"/>
          <w:sz w:val="24"/>
          <w:szCs w:val="24"/>
        </w:rPr>
        <w:br/>
      </w:r>
      <w:r w:rsidR="00FC7A14" w:rsidRPr="00456405">
        <w:rPr>
          <w:rFonts w:ascii="Cambria" w:hAnsi="Cambria"/>
          <w:b/>
          <w:bCs/>
          <w:sz w:val="24"/>
          <w:szCs w:val="24"/>
        </w:rPr>
        <w:lastRenderedPageBreak/>
        <w:t xml:space="preserve">3. </w:t>
      </w:r>
      <w:r w:rsidR="000A3C5B" w:rsidRPr="00456405">
        <w:rPr>
          <w:rFonts w:ascii="Cambria" w:hAnsi="Cambria"/>
          <w:b/>
          <w:bCs/>
          <w:sz w:val="24"/>
          <w:szCs w:val="24"/>
        </w:rPr>
        <w:t>Alibaba</w:t>
      </w:r>
      <w:r w:rsidR="000A3C5B" w:rsidRPr="00456405">
        <w:rPr>
          <w:rFonts w:ascii="Cambria" w:hAnsi="Cambria"/>
          <w:b/>
          <w:bCs/>
          <w:sz w:val="24"/>
          <w:szCs w:val="24"/>
        </w:rPr>
        <w:tab/>
      </w:r>
      <w:r w:rsidR="000A3C5B" w:rsidRPr="00456405">
        <w:rPr>
          <w:rFonts w:ascii="Cambria" w:hAnsi="Cambria"/>
          <w:b/>
          <w:bCs/>
          <w:sz w:val="24"/>
          <w:szCs w:val="24"/>
        </w:rPr>
        <w:br/>
      </w:r>
      <w:proofErr w:type="spellStart"/>
      <w:r w:rsidR="000A3C5B" w:rsidRPr="00456405">
        <w:rPr>
          <w:rFonts w:ascii="Cambria" w:hAnsi="Cambria"/>
          <w:sz w:val="24"/>
          <w:szCs w:val="24"/>
        </w:rPr>
        <w:t>Alibaba</w:t>
      </w:r>
      <w:proofErr w:type="spellEnd"/>
      <w:r w:rsidR="000A3C5B" w:rsidRPr="00456405">
        <w:rPr>
          <w:rFonts w:ascii="Cambria" w:hAnsi="Cambria"/>
          <w:sz w:val="24"/>
          <w:szCs w:val="24"/>
        </w:rPr>
        <w:t xml:space="preserve"> exhibits a gradual weaking trend in its DD, though it remains within acceptable standards for a stable profile. </w:t>
      </w:r>
      <w:r w:rsidR="00134880" w:rsidRPr="00456405">
        <w:rPr>
          <w:rFonts w:ascii="Cambria" w:hAnsi="Cambria"/>
          <w:sz w:val="24"/>
          <w:szCs w:val="24"/>
        </w:rPr>
        <w:t xml:space="preserve">Starting in 2019 with a strong DD of 7.69, supported by a market capitalisation of $394.8B, an implied asset value of $446.7B and volatility of 0.275, by 2021 they experienced substantial increase in liabilities, reaching $92.6B. This coupled with declining market capitalisation, resulted in a DD of 5.83, reflecting increased credit risk. During this period their implied asset volatility also spiked to 0.312 indicating higher uncertainty in asset value movement, prompted by regulatory pressures in China and macroeconomic uncertainties. </w:t>
      </w:r>
      <w:r w:rsidR="00134880" w:rsidRPr="00456405">
        <w:rPr>
          <w:rFonts w:ascii="Cambria" w:hAnsi="Cambria"/>
          <w:sz w:val="24"/>
          <w:szCs w:val="24"/>
        </w:rPr>
        <w:tab/>
      </w:r>
      <w:r w:rsidR="00134880" w:rsidRPr="00456405">
        <w:rPr>
          <w:rFonts w:ascii="Cambria" w:hAnsi="Cambria"/>
          <w:sz w:val="24"/>
          <w:szCs w:val="24"/>
        </w:rPr>
        <w:br/>
        <w:t xml:space="preserve">In 2022, the deterioration became more pronounced with DD plummeting to 3.21, a shift from relatively strong to moderately risky. This was driven by continued depreciation of market capitalisation and rising liabilities. The increasing equity volatility (0.532) suggests heightened market volatility. By 2023, their DD had reached 2.70, breaching critical thresholds signalling their approaching the grey zone of financial distress. For 2024, the trend of declining credit quality persisted although DD saw a slight improvement to 4.75, which however, </w:t>
      </w:r>
      <w:proofErr w:type="gramStart"/>
      <w:r w:rsidR="00134880" w:rsidRPr="00456405">
        <w:rPr>
          <w:rFonts w:ascii="Cambria" w:hAnsi="Cambria"/>
          <w:sz w:val="24"/>
          <w:szCs w:val="24"/>
        </w:rPr>
        <w:t>still remain</w:t>
      </w:r>
      <w:proofErr w:type="gramEnd"/>
      <w:r w:rsidR="00134880" w:rsidRPr="00456405">
        <w:rPr>
          <w:rFonts w:ascii="Cambria" w:hAnsi="Cambria"/>
          <w:sz w:val="24"/>
          <w:szCs w:val="24"/>
        </w:rPr>
        <w:t xml:space="preserve"> below historical levels. </w:t>
      </w:r>
      <w:r w:rsidR="00134880" w:rsidRPr="00456405">
        <w:rPr>
          <w:rFonts w:ascii="Cambria" w:hAnsi="Cambria"/>
          <w:sz w:val="24"/>
          <w:szCs w:val="24"/>
        </w:rPr>
        <w:tab/>
      </w:r>
      <w:r w:rsidR="00134880" w:rsidRPr="00456405">
        <w:rPr>
          <w:rFonts w:ascii="Cambria" w:hAnsi="Cambria"/>
          <w:sz w:val="24"/>
          <w:szCs w:val="24"/>
        </w:rPr>
        <w:br/>
        <w:t xml:space="preserve">The downward trajectory is suggestive of increasing financial risk, driven by growing liabilities, declining equity value and heightened asset volatility. The transition from a safe credit profile to a riskier position aligns with macroeconomic factors including regulatory scrutiny, geopolitical tensions and sluggish revenue growth in core business segments. The </w:t>
      </w:r>
      <w:r w:rsidR="00337C1F" w:rsidRPr="00456405">
        <w:rPr>
          <w:rFonts w:ascii="Cambria" w:hAnsi="Cambria"/>
          <w:sz w:val="24"/>
          <w:szCs w:val="24"/>
        </w:rPr>
        <w:t xml:space="preserve">marginal rebound shows effectiveness of measures in cost-cutting, strategic </w:t>
      </w:r>
      <w:r w:rsidR="0057677F" w:rsidRPr="00456405">
        <w:rPr>
          <w:rFonts w:ascii="Cambria" w:hAnsi="Cambria"/>
          <w:sz w:val="24"/>
          <w:szCs w:val="24"/>
        </w:rPr>
        <w:t>investments,</w:t>
      </w:r>
      <w:r w:rsidR="00337C1F" w:rsidRPr="00456405">
        <w:rPr>
          <w:rFonts w:ascii="Cambria" w:hAnsi="Cambria"/>
          <w:sz w:val="24"/>
          <w:szCs w:val="24"/>
        </w:rPr>
        <w:t xml:space="preserve"> and improved profitability. </w:t>
      </w:r>
      <w:r w:rsidR="0057677F" w:rsidRPr="00456405">
        <w:rPr>
          <w:rFonts w:ascii="Cambria" w:hAnsi="Cambria"/>
          <w:sz w:val="24"/>
          <w:szCs w:val="24"/>
        </w:rPr>
        <w:t xml:space="preserve">While they do not face imminent default risk, downward trajectory is indicative of declining credit standing over the past five years, suggesting caution for investors and analysts, particularly regarding continued equity value declines, asset volatility trends and </w:t>
      </w:r>
      <w:r w:rsidR="00C0700B" w:rsidRPr="00456405">
        <w:rPr>
          <w:rFonts w:ascii="Cambria" w:hAnsi="Cambria"/>
          <w:noProof/>
          <w:sz w:val="24"/>
          <w:szCs w:val="24"/>
        </w:rPr>
        <mc:AlternateContent>
          <mc:Choice Requires="wps">
            <w:drawing>
              <wp:anchor distT="45720" distB="45720" distL="114300" distR="114300" simplePos="0" relativeHeight="251659264" behindDoc="0" locked="0" layoutInCell="1" allowOverlap="1" wp14:anchorId="5684DFFB" wp14:editId="088A3F2F">
                <wp:simplePos x="0" y="0"/>
                <wp:positionH relativeFrom="margin">
                  <wp:align>center</wp:align>
                </wp:positionH>
                <wp:positionV relativeFrom="paragraph">
                  <wp:posOffset>4435051</wp:posOffset>
                </wp:positionV>
                <wp:extent cx="6485255" cy="3140710"/>
                <wp:effectExtent l="0" t="0" r="0" b="2540"/>
                <wp:wrapSquare wrapText="bothSides"/>
                <wp:docPr id="1080854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3140710"/>
                        </a:xfrm>
                        <a:prstGeom prst="rect">
                          <a:avLst/>
                        </a:prstGeom>
                        <a:noFill/>
                        <a:ln w="9525">
                          <a:noFill/>
                          <a:miter lim="800000"/>
                          <a:headEnd/>
                          <a:tailEnd/>
                        </a:ln>
                      </wps:spPr>
                      <wps:txbx>
                        <w:txbxContent>
                          <w:tbl>
                            <w:tblPr>
                              <w:tblStyle w:val="TableGrid"/>
                              <w:tblW w:w="9946" w:type="dxa"/>
                              <w:tblInd w:w="-5" w:type="dxa"/>
                              <w:tblLook w:val="04A0" w:firstRow="1" w:lastRow="0" w:firstColumn="1" w:lastColumn="0" w:noHBand="0" w:noVBand="1"/>
                            </w:tblPr>
                            <w:tblGrid>
                              <w:gridCol w:w="4820"/>
                              <w:gridCol w:w="5126"/>
                            </w:tblGrid>
                            <w:tr w:rsidR="00B80C91" w:rsidRPr="00373303" w14:paraId="3AF36167" w14:textId="77777777" w:rsidTr="00B80C91">
                              <w:trPr>
                                <w:trHeight w:val="405"/>
                              </w:trPr>
                              <w:tc>
                                <w:tcPr>
                                  <w:tcW w:w="9946" w:type="dxa"/>
                                  <w:gridSpan w:val="2"/>
                                </w:tcPr>
                                <w:p w14:paraId="799DEF54" w14:textId="77777777" w:rsidR="00B80C91" w:rsidRPr="00373303" w:rsidRDefault="00B80C91" w:rsidP="00B80C91">
                                  <w:pPr>
                                    <w:jc w:val="center"/>
                                    <w:rPr>
                                      <w:rFonts w:ascii="Cambria" w:hAnsi="Cambria"/>
                                      <w:b/>
                                      <w:bCs/>
                                      <w:sz w:val="24"/>
                                      <w:szCs w:val="24"/>
                                    </w:rPr>
                                  </w:pPr>
                                  <w:r w:rsidRPr="00373303">
                                    <w:rPr>
                                      <w:rFonts w:ascii="Cambria" w:hAnsi="Cambria"/>
                                      <w:b/>
                                      <w:bCs/>
                                      <w:sz w:val="24"/>
                                      <w:szCs w:val="24"/>
                                    </w:rPr>
                                    <w:t>Key Risks and Considerations</w:t>
                                  </w:r>
                                </w:p>
                              </w:tc>
                            </w:tr>
                            <w:tr w:rsidR="00B80C91" w:rsidRPr="00373303" w14:paraId="7C1745AF" w14:textId="77777777" w:rsidTr="00B003BD">
                              <w:trPr>
                                <w:trHeight w:val="297"/>
                              </w:trPr>
                              <w:tc>
                                <w:tcPr>
                                  <w:tcW w:w="4820" w:type="dxa"/>
                                </w:tcPr>
                                <w:p w14:paraId="25EC77DF" w14:textId="77777777" w:rsidR="00B80C91" w:rsidRPr="00373303" w:rsidRDefault="00B80C91" w:rsidP="00B80C91">
                                  <w:pPr>
                                    <w:rPr>
                                      <w:rFonts w:ascii="Cambria" w:hAnsi="Cambria"/>
                                      <w:b/>
                                      <w:bCs/>
                                      <w:sz w:val="24"/>
                                      <w:szCs w:val="24"/>
                                    </w:rPr>
                                  </w:pPr>
                                  <w:r w:rsidRPr="00373303">
                                    <w:rPr>
                                      <w:rFonts w:ascii="Cambria" w:hAnsi="Cambria"/>
                                      <w:b/>
                                      <w:bCs/>
                                      <w:sz w:val="24"/>
                                      <w:szCs w:val="24"/>
                                    </w:rPr>
                                    <w:t>Liquidity &amp; Leverage Risks</w:t>
                                  </w:r>
                                </w:p>
                              </w:tc>
                              <w:tc>
                                <w:tcPr>
                                  <w:tcW w:w="5126" w:type="dxa"/>
                                </w:tcPr>
                                <w:p w14:paraId="7BBF7C7A" w14:textId="77777777" w:rsidR="00B80C91" w:rsidRPr="00373303" w:rsidRDefault="00B80C91" w:rsidP="00B80C91">
                                  <w:pPr>
                                    <w:rPr>
                                      <w:rFonts w:ascii="Cambria" w:hAnsi="Cambria"/>
                                      <w:sz w:val="24"/>
                                      <w:szCs w:val="24"/>
                                    </w:rPr>
                                  </w:pPr>
                                  <w:r w:rsidRPr="00373303">
                                    <w:rPr>
                                      <w:rFonts w:ascii="Cambria" w:hAnsi="Cambria"/>
                                      <w:sz w:val="24"/>
                                      <w:szCs w:val="24"/>
                                    </w:rPr>
                                    <w:t>Rising liabilities amid declining market value suggest increased pressure on the firm’s capital structure.</w:t>
                                  </w:r>
                                </w:p>
                              </w:tc>
                            </w:tr>
                            <w:tr w:rsidR="00B80C91" w:rsidRPr="00373303" w14:paraId="505FD3D5" w14:textId="77777777" w:rsidTr="00B003BD">
                              <w:trPr>
                                <w:trHeight w:val="297"/>
                              </w:trPr>
                              <w:tc>
                                <w:tcPr>
                                  <w:tcW w:w="4820" w:type="dxa"/>
                                </w:tcPr>
                                <w:p w14:paraId="23D94409" w14:textId="77777777" w:rsidR="00B80C91" w:rsidRPr="00373303" w:rsidRDefault="00B80C91" w:rsidP="00B80C91">
                                  <w:pPr>
                                    <w:rPr>
                                      <w:rFonts w:ascii="Cambria" w:hAnsi="Cambria"/>
                                      <w:b/>
                                      <w:bCs/>
                                      <w:sz w:val="24"/>
                                      <w:szCs w:val="24"/>
                                    </w:rPr>
                                  </w:pPr>
                                  <w:r w:rsidRPr="00373303">
                                    <w:rPr>
                                      <w:rFonts w:ascii="Cambria" w:hAnsi="Cambria"/>
                                      <w:b/>
                                      <w:bCs/>
                                      <w:sz w:val="24"/>
                                      <w:szCs w:val="24"/>
                                    </w:rPr>
                                    <w:t>Market Volatility &amp; Investor Confidence</w:t>
                                  </w:r>
                                </w:p>
                              </w:tc>
                              <w:tc>
                                <w:tcPr>
                                  <w:tcW w:w="5126" w:type="dxa"/>
                                </w:tcPr>
                                <w:p w14:paraId="6113D1AD" w14:textId="77777777" w:rsidR="00B80C91" w:rsidRPr="00373303" w:rsidRDefault="00B80C91" w:rsidP="00B80C91">
                                  <w:pPr>
                                    <w:rPr>
                                      <w:rFonts w:ascii="Cambria" w:hAnsi="Cambria"/>
                                      <w:sz w:val="24"/>
                                      <w:szCs w:val="24"/>
                                    </w:rPr>
                                  </w:pPr>
                                  <w:r w:rsidRPr="00373303">
                                    <w:rPr>
                                      <w:rFonts w:ascii="Cambria" w:hAnsi="Cambria"/>
                                      <w:sz w:val="24"/>
                                      <w:szCs w:val="24"/>
                                    </w:rPr>
                                    <w:t>Spikes in equity volatility (from 0.31 in 2019 to 0.61 in 2023) reflect growing uncertainty in Alibaba’s ability to maintain sustainable earnings growth</w:t>
                                  </w:r>
                                </w:p>
                              </w:tc>
                            </w:tr>
                            <w:tr w:rsidR="00B80C91" w:rsidRPr="00373303" w14:paraId="0D5FA507" w14:textId="77777777" w:rsidTr="00B003BD">
                              <w:trPr>
                                <w:trHeight w:val="282"/>
                              </w:trPr>
                              <w:tc>
                                <w:tcPr>
                                  <w:tcW w:w="4820" w:type="dxa"/>
                                </w:tcPr>
                                <w:p w14:paraId="074E6122" w14:textId="77777777" w:rsidR="00B80C91" w:rsidRPr="00373303" w:rsidRDefault="00B80C91" w:rsidP="00B80C91">
                                  <w:pPr>
                                    <w:rPr>
                                      <w:rFonts w:ascii="Cambria" w:hAnsi="Cambria"/>
                                      <w:b/>
                                      <w:bCs/>
                                      <w:sz w:val="24"/>
                                      <w:szCs w:val="24"/>
                                    </w:rPr>
                                  </w:pPr>
                                  <w:r w:rsidRPr="00373303">
                                    <w:rPr>
                                      <w:rFonts w:ascii="Cambria" w:hAnsi="Cambria"/>
                                      <w:b/>
                                      <w:bCs/>
                                      <w:sz w:val="24"/>
                                      <w:szCs w:val="24"/>
                                    </w:rPr>
                                    <w:t>Macroeconomic &amp; Regulatory Challenges</w:t>
                                  </w:r>
                                </w:p>
                              </w:tc>
                              <w:tc>
                                <w:tcPr>
                                  <w:tcW w:w="5126" w:type="dxa"/>
                                </w:tcPr>
                                <w:p w14:paraId="64F10527" w14:textId="77777777" w:rsidR="00B80C91" w:rsidRPr="00373303" w:rsidRDefault="00B80C91" w:rsidP="00B80C91">
                                  <w:pPr>
                                    <w:rPr>
                                      <w:rFonts w:ascii="Cambria" w:hAnsi="Cambria"/>
                                      <w:sz w:val="24"/>
                                      <w:szCs w:val="24"/>
                                    </w:rPr>
                                  </w:pPr>
                                  <w:r w:rsidRPr="00373303">
                                    <w:rPr>
                                      <w:rFonts w:ascii="Cambria" w:hAnsi="Cambria"/>
                                      <w:sz w:val="24"/>
                                      <w:szCs w:val="24"/>
                                    </w:rPr>
                                    <w:t>China's shifting regulatory environment and global economic headwinds could continue to pose risks to Alibaba’s credit health.</w:t>
                                  </w:r>
                                </w:p>
                              </w:tc>
                            </w:tr>
                            <w:tr w:rsidR="00B80C91" w:rsidRPr="00373303" w14:paraId="236096B2" w14:textId="77777777" w:rsidTr="00B003BD">
                              <w:trPr>
                                <w:trHeight w:val="297"/>
                              </w:trPr>
                              <w:tc>
                                <w:tcPr>
                                  <w:tcW w:w="4820" w:type="dxa"/>
                                </w:tcPr>
                                <w:p w14:paraId="294ABAB0" w14:textId="77777777" w:rsidR="00B80C91" w:rsidRPr="00373303" w:rsidRDefault="00B80C91" w:rsidP="00B80C91">
                                  <w:pPr>
                                    <w:rPr>
                                      <w:rFonts w:ascii="Cambria" w:hAnsi="Cambria"/>
                                      <w:b/>
                                      <w:bCs/>
                                      <w:sz w:val="24"/>
                                      <w:szCs w:val="24"/>
                                    </w:rPr>
                                  </w:pPr>
                                  <w:r w:rsidRPr="00373303">
                                    <w:rPr>
                                      <w:rFonts w:ascii="Cambria" w:hAnsi="Cambria"/>
                                      <w:b/>
                                      <w:bCs/>
                                      <w:sz w:val="24"/>
                                      <w:szCs w:val="24"/>
                                    </w:rPr>
                                    <w:t>Potential for Recovery</w:t>
                                  </w:r>
                                </w:p>
                              </w:tc>
                              <w:tc>
                                <w:tcPr>
                                  <w:tcW w:w="5126" w:type="dxa"/>
                                </w:tcPr>
                                <w:p w14:paraId="32E8ADCE" w14:textId="77777777" w:rsidR="00B80C91" w:rsidRPr="00373303" w:rsidRDefault="00B80C91" w:rsidP="00B80C91">
                                  <w:pPr>
                                    <w:rPr>
                                      <w:rFonts w:ascii="Cambria" w:hAnsi="Cambria"/>
                                      <w:sz w:val="24"/>
                                      <w:szCs w:val="24"/>
                                    </w:rPr>
                                  </w:pPr>
                                  <w:r w:rsidRPr="00373303">
                                    <w:rPr>
                                      <w:rFonts w:ascii="Cambria" w:hAnsi="Cambria"/>
                                      <w:sz w:val="24"/>
                                      <w:szCs w:val="24"/>
                                    </w:rPr>
                                    <w:t>The marginal improvement in 2024’s DD to 4.75 suggests Alibaba may have started adjusting its financial strategy, possibly through debt restructuring, operational efficiency improvements, or strategic business shifts.</w:t>
                                  </w:r>
                                </w:p>
                              </w:tc>
                            </w:tr>
                          </w:tbl>
                          <w:p w14:paraId="1F6A2153" w14:textId="036F3992" w:rsidR="00B80C91" w:rsidRDefault="00B80C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4DFFB" id="_x0000_s1039" type="#_x0000_t202" style="position:absolute;left:0;text-align:left;margin-left:0;margin-top:349.2pt;width:510.65pt;height:247.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" filled="f" stroked="f">
                <v:textbox>
                  <w:txbxContent>
                    <w:tbl>
                      <w:tblPr>
                        <w:tblStyle w:val="TableGrid"/>
                        <w:tblW w:w="9946" w:type="dxa"/>
                        <w:tblInd w:w="-5" w:type="dxa"/>
                        <w:tblLook w:val="04A0" w:firstRow="1" w:lastRow="0" w:firstColumn="1" w:lastColumn="0" w:noHBand="0" w:noVBand="1"/>
                      </w:tblPr>
                      <w:tblGrid>
                        <w:gridCol w:w="4820"/>
                        <w:gridCol w:w="5126"/>
                      </w:tblGrid>
                      <w:tr w:rsidR="00B80C91" w:rsidRPr="00373303" w14:paraId="3AF36167" w14:textId="77777777" w:rsidTr="00B80C91">
                        <w:trPr>
                          <w:trHeight w:val="405"/>
                        </w:trPr>
                        <w:tc>
                          <w:tcPr>
                            <w:tcW w:w="9946" w:type="dxa"/>
                            <w:gridSpan w:val="2"/>
                          </w:tcPr>
                          <w:p w14:paraId="799DEF54" w14:textId="77777777" w:rsidR="00B80C91" w:rsidRPr="00373303" w:rsidRDefault="00B80C91" w:rsidP="00B80C91">
                            <w:pPr>
                              <w:jc w:val="center"/>
                              <w:rPr>
                                <w:rFonts w:ascii="Cambria" w:hAnsi="Cambria"/>
                                <w:b/>
                                <w:bCs/>
                                <w:sz w:val="24"/>
                                <w:szCs w:val="24"/>
                              </w:rPr>
                            </w:pPr>
                            <w:r w:rsidRPr="00373303">
                              <w:rPr>
                                <w:rFonts w:ascii="Cambria" w:hAnsi="Cambria"/>
                                <w:b/>
                                <w:bCs/>
                                <w:sz w:val="24"/>
                                <w:szCs w:val="24"/>
                              </w:rPr>
                              <w:t>Key Risks and Considerations</w:t>
                            </w:r>
                          </w:p>
                        </w:tc>
                      </w:tr>
                      <w:tr w:rsidR="00B80C91" w:rsidRPr="00373303" w14:paraId="7C1745AF" w14:textId="77777777" w:rsidTr="00B003BD">
                        <w:trPr>
                          <w:trHeight w:val="297"/>
                        </w:trPr>
                        <w:tc>
                          <w:tcPr>
                            <w:tcW w:w="4820" w:type="dxa"/>
                          </w:tcPr>
                          <w:p w14:paraId="25EC77DF" w14:textId="77777777" w:rsidR="00B80C91" w:rsidRPr="00373303" w:rsidRDefault="00B80C91" w:rsidP="00B80C91">
                            <w:pPr>
                              <w:rPr>
                                <w:rFonts w:ascii="Cambria" w:hAnsi="Cambria"/>
                                <w:b/>
                                <w:bCs/>
                                <w:sz w:val="24"/>
                                <w:szCs w:val="24"/>
                              </w:rPr>
                            </w:pPr>
                            <w:r w:rsidRPr="00373303">
                              <w:rPr>
                                <w:rFonts w:ascii="Cambria" w:hAnsi="Cambria"/>
                                <w:b/>
                                <w:bCs/>
                                <w:sz w:val="24"/>
                                <w:szCs w:val="24"/>
                              </w:rPr>
                              <w:t>Liquidity &amp; Leverage Risks</w:t>
                            </w:r>
                          </w:p>
                        </w:tc>
                        <w:tc>
                          <w:tcPr>
                            <w:tcW w:w="5126" w:type="dxa"/>
                          </w:tcPr>
                          <w:p w14:paraId="7BBF7C7A" w14:textId="77777777" w:rsidR="00B80C91" w:rsidRPr="00373303" w:rsidRDefault="00B80C91" w:rsidP="00B80C91">
                            <w:pPr>
                              <w:rPr>
                                <w:rFonts w:ascii="Cambria" w:hAnsi="Cambria"/>
                                <w:sz w:val="24"/>
                                <w:szCs w:val="24"/>
                              </w:rPr>
                            </w:pPr>
                            <w:r w:rsidRPr="00373303">
                              <w:rPr>
                                <w:rFonts w:ascii="Cambria" w:hAnsi="Cambria"/>
                                <w:sz w:val="24"/>
                                <w:szCs w:val="24"/>
                              </w:rPr>
                              <w:t>Rising liabilities amid declining market value suggest increased pressure on the firm’s capital structure.</w:t>
                            </w:r>
                          </w:p>
                        </w:tc>
                      </w:tr>
                      <w:tr w:rsidR="00B80C91" w:rsidRPr="00373303" w14:paraId="505FD3D5" w14:textId="77777777" w:rsidTr="00B003BD">
                        <w:trPr>
                          <w:trHeight w:val="297"/>
                        </w:trPr>
                        <w:tc>
                          <w:tcPr>
                            <w:tcW w:w="4820" w:type="dxa"/>
                          </w:tcPr>
                          <w:p w14:paraId="23D94409" w14:textId="77777777" w:rsidR="00B80C91" w:rsidRPr="00373303" w:rsidRDefault="00B80C91" w:rsidP="00B80C91">
                            <w:pPr>
                              <w:rPr>
                                <w:rFonts w:ascii="Cambria" w:hAnsi="Cambria"/>
                                <w:b/>
                                <w:bCs/>
                                <w:sz w:val="24"/>
                                <w:szCs w:val="24"/>
                              </w:rPr>
                            </w:pPr>
                            <w:r w:rsidRPr="00373303">
                              <w:rPr>
                                <w:rFonts w:ascii="Cambria" w:hAnsi="Cambria"/>
                                <w:b/>
                                <w:bCs/>
                                <w:sz w:val="24"/>
                                <w:szCs w:val="24"/>
                              </w:rPr>
                              <w:t>Market Volatility &amp; Investor Confidence</w:t>
                            </w:r>
                          </w:p>
                        </w:tc>
                        <w:tc>
                          <w:tcPr>
                            <w:tcW w:w="5126" w:type="dxa"/>
                          </w:tcPr>
                          <w:p w14:paraId="6113D1AD" w14:textId="77777777" w:rsidR="00B80C91" w:rsidRPr="00373303" w:rsidRDefault="00B80C91" w:rsidP="00B80C91">
                            <w:pPr>
                              <w:rPr>
                                <w:rFonts w:ascii="Cambria" w:hAnsi="Cambria"/>
                                <w:sz w:val="24"/>
                                <w:szCs w:val="24"/>
                              </w:rPr>
                            </w:pPr>
                            <w:r w:rsidRPr="00373303">
                              <w:rPr>
                                <w:rFonts w:ascii="Cambria" w:hAnsi="Cambria"/>
                                <w:sz w:val="24"/>
                                <w:szCs w:val="24"/>
                              </w:rPr>
                              <w:t>Spikes in equity volatility (from 0.31 in 2019 to 0.61 in 2023) reflect growing uncertainty in Alibaba’s ability to maintain sustainable earnings growth</w:t>
                            </w:r>
                          </w:p>
                        </w:tc>
                      </w:tr>
                      <w:tr w:rsidR="00B80C91" w:rsidRPr="00373303" w14:paraId="0D5FA507" w14:textId="77777777" w:rsidTr="00B003BD">
                        <w:trPr>
                          <w:trHeight w:val="282"/>
                        </w:trPr>
                        <w:tc>
                          <w:tcPr>
                            <w:tcW w:w="4820" w:type="dxa"/>
                          </w:tcPr>
                          <w:p w14:paraId="074E6122" w14:textId="77777777" w:rsidR="00B80C91" w:rsidRPr="00373303" w:rsidRDefault="00B80C91" w:rsidP="00B80C91">
                            <w:pPr>
                              <w:rPr>
                                <w:rFonts w:ascii="Cambria" w:hAnsi="Cambria"/>
                                <w:b/>
                                <w:bCs/>
                                <w:sz w:val="24"/>
                                <w:szCs w:val="24"/>
                              </w:rPr>
                            </w:pPr>
                            <w:r w:rsidRPr="00373303">
                              <w:rPr>
                                <w:rFonts w:ascii="Cambria" w:hAnsi="Cambria"/>
                                <w:b/>
                                <w:bCs/>
                                <w:sz w:val="24"/>
                                <w:szCs w:val="24"/>
                              </w:rPr>
                              <w:t>Macroeconomic &amp; Regulatory Challenges</w:t>
                            </w:r>
                          </w:p>
                        </w:tc>
                        <w:tc>
                          <w:tcPr>
                            <w:tcW w:w="5126" w:type="dxa"/>
                          </w:tcPr>
                          <w:p w14:paraId="64F10527" w14:textId="77777777" w:rsidR="00B80C91" w:rsidRPr="00373303" w:rsidRDefault="00B80C91" w:rsidP="00B80C91">
                            <w:pPr>
                              <w:rPr>
                                <w:rFonts w:ascii="Cambria" w:hAnsi="Cambria"/>
                                <w:sz w:val="24"/>
                                <w:szCs w:val="24"/>
                              </w:rPr>
                            </w:pPr>
                            <w:r w:rsidRPr="00373303">
                              <w:rPr>
                                <w:rFonts w:ascii="Cambria" w:hAnsi="Cambria"/>
                                <w:sz w:val="24"/>
                                <w:szCs w:val="24"/>
                              </w:rPr>
                              <w:t>China's shifting regulatory environment and global economic headwinds could continue to pose risks to Alibaba’s credit health.</w:t>
                            </w:r>
                          </w:p>
                        </w:tc>
                      </w:tr>
                      <w:tr w:rsidR="00B80C91" w:rsidRPr="00373303" w14:paraId="236096B2" w14:textId="77777777" w:rsidTr="00B003BD">
                        <w:trPr>
                          <w:trHeight w:val="297"/>
                        </w:trPr>
                        <w:tc>
                          <w:tcPr>
                            <w:tcW w:w="4820" w:type="dxa"/>
                          </w:tcPr>
                          <w:p w14:paraId="294ABAB0" w14:textId="77777777" w:rsidR="00B80C91" w:rsidRPr="00373303" w:rsidRDefault="00B80C91" w:rsidP="00B80C91">
                            <w:pPr>
                              <w:rPr>
                                <w:rFonts w:ascii="Cambria" w:hAnsi="Cambria"/>
                                <w:b/>
                                <w:bCs/>
                                <w:sz w:val="24"/>
                                <w:szCs w:val="24"/>
                              </w:rPr>
                            </w:pPr>
                            <w:r w:rsidRPr="00373303">
                              <w:rPr>
                                <w:rFonts w:ascii="Cambria" w:hAnsi="Cambria"/>
                                <w:b/>
                                <w:bCs/>
                                <w:sz w:val="24"/>
                                <w:szCs w:val="24"/>
                              </w:rPr>
                              <w:t>Potential for Recovery</w:t>
                            </w:r>
                          </w:p>
                        </w:tc>
                        <w:tc>
                          <w:tcPr>
                            <w:tcW w:w="5126" w:type="dxa"/>
                          </w:tcPr>
                          <w:p w14:paraId="32E8ADCE" w14:textId="77777777" w:rsidR="00B80C91" w:rsidRPr="00373303" w:rsidRDefault="00B80C91" w:rsidP="00B80C91">
                            <w:pPr>
                              <w:rPr>
                                <w:rFonts w:ascii="Cambria" w:hAnsi="Cambria"/>
                                <w:sz w:val="24"/>
                                <w:szCs w:val="24"/>
                              </w:rPr>
                            </w:pPr>
                            <w:r w:rsidRPr="00373303">
                              <w:rPr>
                                <w:rFonts w:ascii="Cambria" w:hAnsi="Cambria"/>
                                <w:sz w:val="24"/>
                                <w:szCs w:val="24"/>
                              </w:rPr>
                              <w:t>The marginal improvement in 2024’s DD to 4.75 suggests Alibaba may have started adjusting its financial strategy, possibly through debt restructuring, operational efficiency improvements, or strategic business shifts.</w:t>
                            </w:r>
                          </w:p>
                        </w:tc>
                      </w:tr>
                    </w:tbl>
                    <w:p w14:paraId="1F6A2153" w14:textId="036F3992" w:rsidR="00B80C91" w:rsidRDefault="00B80C91"/>
                  </w:txbxContent>
                </v:textbox>
                <w10:wrap type="square" anchorx="margin"/>
              </v:shape>
            </w:pict>
          </mc:Fallback>
        </mc:AlternateContent>
      </w:r>
      <w:r w:rsidR="0057677F" w:rsidRPr="00456405">
        <w:rPr>
          <w:rFonts w:ascii="Cambria" w:hAnsi="Cambria"/>
          <w:sz w:val="24"/>
          <w:szCs w:val="24"/>
        </w:rPr>
        <w:t xml:space="preserve">macroeconomic challenges. </w:t>
      </w:r>
      <w:r w:rsidR="00373303" w:rsidRPr="00456405">
        <w:rPr>
          <w:rFonts w:ascii="Cambria" w:hAnsi="Cambria"/>
          <w:sz w:val="24"/>
          <w:szCs w:val="24"/>
        </w:rPr>
        <w:tab/>
      </w:r>
      <w:r w:rsidR="00802C15" w:rsidRPr="00456405">
        <w:rPr>
          <w:rFonts w:ascii="Cambria" w:hAnsi="Cambria"/>
          <w:sz w:val="24"/>
          <w:szCs w:val="24"/>
        </w:rPr>
        <w:br/>
      </w:r>
      <w:r w:rsidR="000A68D7" w:rsidRPr="00456405">
        <w:rPr>
          <w:rFonts w:ascii="Cambria" w:hAnsi="Cambria"/>
          <w:b/>
          <w:bCs/>
          <w:sz w:val="24"/>
          <w:szCs w:val="24"/>
        </w:rPr>
        <w:br/>
      </w:r>
      <w:r w:rsidR="005E00FC" w:rsidRPr="00456405">
        <w:rPr>
          <w:rFonts w:ascii="Cambria" w:hAnsi="Cambria"/>
          <w:b/>
          <w:bCs/>
          <w:sz w:val="24"/>
          <w:szCs w:val="24"/>
        </w:rPr>
        <w:t xml:space="preserve">4. </w:t>
      </w:r>
      <w:r w:rsidR="00B57774" w:rsidRPr="00456405">
        <w:rPr>
          <w:rFonts w:ascii="Cambria" w:hAnsi="Cambria"/>
          <w:b/>
          <w:bCs/>
          <w:sz w:val="24"/>
          <w:szCs w:val="24"/>
        </w:rPr>
        <w:t>Carrefour</w:t>
      </w:r>
      <w:r w:rsidR="00B57774" w:rsidRPr="00456405">
        <w:rPr>
          <w:rFonts w:ascii="Cambria" w:hAnsi="Cambria"/>
          <w:b/>
          <w:bCs/>
          <w:sz w:val="24"/>
          <w:szCs w:val="24"/>
        </w:rPr>
        <w:tab/>
      </w:r>
      <w:r w:rsidR="00B57774" w:rsidRPr="00456405">
        <w:rPr>
          <w:rFonts w:ascii="Cambria" w:hAnsi="Cambria"/>
          <w:b/>
          <w:bCs/>
          <w:sz w:val="24"/>
          <w:szCs w:val="24"/>
        </w:rPr>
        <w:br/>
      </w:r>
      <w:proofErr w:type="spellStart"/>
      <w:r w:rsidR="00B57774" w:rsidRPr="00456405">
        <w:rPr>
          <w:rFonts w:ascii="Cambria" w:hAnsi="Cambria"/>
          <w:sz w:val="24"/>
          <w:szCs w:val="24"/>
        </w:rPr>
        <w:t>Carrefour</w:t>
      </w:r>
      <w:proofErr w:type="spellEnd"/>
      <w:r w:rsidR="00B57774" w:rsidRPr="00456405">
        <w:rPr>
          <w:rFonts w:ascii="Cambria" w:hAnsi="Cambria"/>
          <w:sz w:val="24"/>
          <w:szCs w:val="24"/>
        </w:rPr>
        <w:t xml:space="preserve"> S.A.’s position in 2019 was indicative of low risk of financial distress, with market capitalisation of $11.6B and total liabilities at $44.65B, positioning it with a DD of 5.60. Relatively, implied asset volatility stood at 0.0408, reinforcing stable asset base. Despite the negative risk-free rate, they maintained strong financial resilience with default probability at 0%. 202</w:t>
      </w:r>
      <w:r w:rsidR="007F189A" w:rsidRPr="00456405">
        <w:rPr>
          <w:rFonts w:ascii="Cambria" w:hAnsi="Cambria"/>
          <w:sz w:val="24"/>
          <w:szCs w:val="24"/>
        </w:rPr>
        <w:t>0</w:t>
      </w:r>
      <w:r w:rsidR="00B57774" w:rsidRPr="00456405">
        <w:rPr>
          <w:rFonts w:ascii="Cambria" w:hAnsi="Cambria"/>
          <w:sz w:val="24"/>
          <w:szCs w:val="24"/>
        </w:rPr>
        <w:t xml:space="preserve"> saw </w:t>
      </w:r>
      <w:r w:rsidR="00B57774" w:rsidRPr="00456405">
        <w:rPr>
          <w:rFonts w:ascii="Cambria" w:hAnsi="Cambria"/>
          <w:sz w:val="24"/>
          <w:szCs w:val="24"/>
        </w:rPr>
        <w:lastRenderedPageBreak/>
        <w:t xml:space="preserve">their market </w:t>
      </w:r>
      <w:r w:rsidR="00050A25" w:rsidRPr="00456405">
        <w:rPr>
          <w:rFonts w:ascii="Cambria" w:hAnsi="Cambria"/>
          <w:sz w:val="24"/>
          <w:szCs w:val="24"/>
        </w:rPr>
        <w:t>capitalisation</w:t>
      </w:r>
      <w:r w:rsidR="00B57774" w:rsidRPr="00456405">
        <w:rPr>
          <w:rFonts w:ascii="Cambria" w:hAnsi="Cambria"/>
          <w:sz w:val="24"/>
          <w:szCs w:val="24"/>
        </w:rPr>
        <w:t xml:space="preserve"> increase but DD fell to 3.76. While total liabilities remained stable, equity volatility increased amid higher price fluctuations and rising implied asset volatility, signalling greater financial sensitivity. </w:t>
      </w:r>
      <w:r w:rsidR="0051197E" w:rsidRPr="00456405">
        <w:rPr>
          <w:rFonts w:ascii="Cambria" w:hAnsi="Cambria"/>
          <w:sz w:val="24"/>
          <w:szCs w:val="24"/>
        </w:rPr>
        <w:t xml:space="preserve">The negative risk-free rate contributed to favourable borrowing </w:t>
      </w:r>
      <w:r w:rsidR="00B5569C" w:rsidRPr="00456405">
        <w:rPr>
          <w:rFonts w:ascii="Cambria" w:hAnsi="Cambria"/>
          <w:sz w:val="24"/>
          <w:szCs w:val="24"/>
        </w:rPr>
        <w:t>terms,</w:t>
      </w:r>
      <w:r w:rsidR="0051197E" w:rsidRPr="00456405">
        <w:rPr>
          <w:rFonts w:ascii="Cambria" w:hAnsi="Cambria"/>
          <w:sz w:val="24"/>
          <w:szCs w:val="24"/>
        </w:rPr>
        <w:t xml:space="preserve"> but operational pressures and debt-refinancing risks loomed which with a declining DD suggests a weakening credit profile. </w:t>
      </w:r>
      <w:r w:rsidR="007F189A" w:rsidRPr="00456405">
        <w:rPr>
          <w:rFonts w:ascii="Cambria" w:hAnsi="Cambria"/>
          <w:sz w:val="24"/>
          <w:szCs w:val="24"/>
        </w:rPr>
        <w:t xml:space="preserve">Downward trend of DD continued in 2021 despite marginal increase of market capitalisation. Continued negative risk-free rate meant they had to calibrate complex capital allocation decisions. 2022 saw increased financial risk exposure as market value of equity declined to $13.97B, coupled with rising total liabilities. The DD </w:t>
      </w:r>
      <w:r w:rsidR="00B003BD" w:rsidRPr="00456405">
        <w:rPr>
          <w:rFonts w:ascii="Cambria" w:hAnsi="Cambria"/>
          <w:sz w:val="24"/>
          <w:szCs w:val="24"/>
        </w:rPr>
        <w:t>dropped</w:t>
      </w:r>
      <w:r w:rsidR="007F189A" w:rsidRPr="00456405">
        <w:rPr>
          <w:rFonts w:ascii="Cambria" w:hAnsi="Cambria"/>
          <w:sz w:val="24"/>
          <w:szCs w:val="24"/>
        </w:rPr>
        <w:t xml:space="preserve"> to 3.86, underscoring greater vulnerability to financial shocks. Equity volatility remained high at 0.292 while implied asset volatility declined </w:t>
      </w:r>
      <w:r w:rsidR="00B003BD" w:rsidRPr="00456405">
        <w:rPr>
          <w:rFonts w:ascii="Cambria" w:hAnsi="Cambria"/>
          <w:sz w:val="24"/>
          <w:szCs w:val="24"/>
        </w:rPr>
        <w:t>slightly</w:t>
      </w:r>
      <w:r w:rsidR="007F189A" w:rsidRPr="00456405">
        <w:rPr>
          <w:rFonts w:ascii="Cambria" w:hAnsi="Cambria"/>
          <w:sz w:val="24"/>
          <w:szCs w:val="24"/>
        </w:rPr>
        <w:t xml:space="preserve"> to 0.069 suggesting more stability in asset valuation. </w:t>
      </w:r>
      <w:r w:rsidR="004842B4" w:rsidRPr="00456405">
        <w:rPr>
          <w:rFonts w:ascii="Cambria" w:hAnsi="Cambria"/>
          <w:sz w:val="24"/>
          <w:szCs w:val="24"/>
        </w:rPr>
        <w:t xml:space="preserve">The rebound of the </w:t>
      </w:r>
      <w:proofErr w:type="gramStart"/>
      <w:r w:rsidR="004842B4" w:rsidRPr="00456405">
        <w:rPr>
          <w:rFonts w:ascii="Cambria" w:hAnsi="Cambria"/>
          <w:sz w:val="24"/>
          <w:szCs w:val="24"/>
        </w:rPr>
        <w:t>risk free</w:t>
      </w:r>
      <w:proofErr w:type="gramEnd"/>
      <w:r w:rsidR="004842B4" w:rsidRPr="00456405">
        <w:rPr>
          <w:rFonts w:ascii="Cambria" w:hAnsi="Cambria"/>
          <w:sz w:val="24"/>
          <w:szCs w:val="24"/>
        </w:rPr>
        <w:t xml:space="preserve"> rate to 2.33% signalled a shift to a higher interest rate climate, increasing refinancing costs. </w:t>
      </w:r>
      <w:r w:rsidR="00E45EFA" w:rsidRPr="00456405">
        <w:rPr>
          <w:rFonts w:ascii="Cambria" w:hAnsi="Cambria"/>
          <w:sz w:val="24"/>
          <w:szCs w:val="24"/>
        </w:rPr>
        <w:t xml:space="preserve">The declining market capitalisation continued into 2023 and 2024 while total liabilities </w:t>
      </w:r>
      <w:proofErr w:type="spellStart"/>
      <w:r w:rsidR="00E45EFA" w:rsidRPr="00456405">
        <w:rPr>
          <w:rFonts w:ascii="Cambria" w:hAnsi="Cambria"/>
          <w:sz w:val="24"/>
          <w:szCs w:val="24"/>
        </w:rPr>
        <w:t>rised</w:t>
      </w:r>
      <w:proofErr w:type="spellEnd"/>
      <w:r w:rsidR="00E45EFA" w:rsidRPr="00456405">
        <w:rPr>
          <w:rFonts w:ascii="Cambria" w:hAnsi="Cambria"/>
          <w:sz w:val="24"/>
          <w:szCs w:val="24"/>
        </w:rPr>
        <w:t xml:space="preserve">. The DD in 2024 was 4.58, marking volatile declines in the past six years. </w:t>
      </w:r>
      <w:r w:rsidR="00A76CC1" w:rsidRPr="00456405">
        <w:rPr>
          <w:rFonts w:ascii="Cambria" w:hAnsi="Cambria"/>
          <w:sz w:val="24"/>
          <w:szCs w:val="24"/>
        </w:rPr>
        <w:t>Risk-free rate</w:t>
      </w:r>
      <w:r w:rsidR="00E45EFA" w:rsidRPr="00456405">
        <w:rPr>
          <w:rFonts w:ascii="Cambria" w:hAnsi="Cambria"/>
          <w:sz w:val="24"/>
          <w:szCs w:val="24"/>
        </w:rPr>
        <w:t xml:space="preserve"> rose to 2.37%, raising concerns over higher </w:t>
      </w:r>
      <w:r w:rsidR="00B003BD" w:rsidRPr="00456405">
        <w:rPr>
          <w:rFonts w:ascii="Cambria" w:hAnsi="Cambria"/>
          <w:sz w:val="24"/>
          <w:szCs w:val="24"/>
        </w:rPr>
        <w:t>refinancing</w:t>
      </w:r>
      <w:r w:rsidR="00E45EFA" w:rsidRPr="00456405">
        <w:rPr>
          <w:rFonts w:ascii="Cambria" w:hAnsi="Cambria"/>
          <w:sz w:val="24"/>
          <w:szCs w:val="24"/>
        </w:rPr>
        <w:t xml:space="preserve"> costs and potential liquidity constraints. While default probability remains at 0%, Carrefour’s decreasing DD and financial leverage trends highlight growing financial vulnerabilities.</w:t>
      </w:r>
      <w:r w:rsidR="00E45EFA" w:rsidRPr="00456405">
        <w:rPr>
          <w:rFonts w:ascii="Cambria" w:hAnsi="Cambria"/>
          <w:sz w:val="24"/>
          <w:szCs w:val="24"/>
        </w:rPr>
        <w:br/>
        <w:t xml:space="preserve">The analysis highlights a deteriorating financial risk profile, with declining DD, rising </w:t>
      </w:r>
      <w:r w:rsidR="00B003BD" w:rsidRPr="00456405">
        <w:rPr>
          <w:rFonts w:ascii="Cambria" w:hAnsi="Cambria"/>
          <w:sz w:val="24"/>
          <w:szCs w:val="24"/>
        </w:rPr>
        <w:t>liabilities,</w:t>
      </w:r>
      <w:r w:rsidR="00E45EFA" w:rsidRPr="00456405">
        <w:rPr>
          <w:rFonts w:ascii="Cambria" w:hAnsi="Cambria"/>
          <w:sz w:val="24"/>
          <w:szCs w:val="24"/>
        </w:rPr>
        <w:t xml:space="preserve"> and increasing exposure to macroeconomic headwinds. While default probability remains at 0%, indicating short-term stability, the downward trajectory of DD and market capitalisation suggest weakening creditworthiness. Close monitoring of their ability to manage debt-levels, particularly as interest rates rise is crucial to assess their creditworthiness. Strategic deleveraging, cost-cutting, and revenue diversification will be crucial in mitigating financial risks and maintaining</w:t>
      </w:r>
      <w:r w:rsidR="000A68D7" w:rsidRPr="00456405">
        <w:rPr>
          <w:rFonts w:ascii="Cambria" w:hAnsi="Cambria"/>
          <w:sz w:val="24"/>
          <w:szCs w:val="24"/>
        </w:rPr>
        <w:t xml:space="preserve"> </w:t>
      </w:r>
      <w:r w:rsidR="000A68D7" w:rsidRPr="00456405">
        <w:rPr>
          <w:rFonts w:ascii="Cambria" w:hAnsi="Cambria"/>
          <w:noProof/>
          <w:sz w:val="24"/>
          <w:szCs w:val="24"/>
        </w:rPr>
        <mc:AlternateContent>
          <mc:Choice Requires="wps">
            <w:drawing>
              <wp:anchor distT="45720" distB="45720" distL="114300" distR="114300" simplePos="0" relativeHeight="251661312" behindDoc="0" locked="0" layoutInCell="1" allowOverlap="1" wp14:anchorId="222936D4" wp14:editId="49D3C8B6">
                <wp:simplePos x="0" y="0"/>
                <wp:positionH relativeFrom="margin">
                  <wp:posOffset>-135890</wp:posOffset>
                </wp:positionH>
                <wp:positionV relativeFrom="paragraph">
                  <wp:posOffset>4445000</wp:posOffset>
                </wp:positionV>
                <wp:extent cx="6434455" cy="4394200"/>
                <wp:effectExtent l="0" t="0" r="0" b="6350"/>
                <wp:wrapSquare wrapText="bothSides"/>
                <wp:docPr id="31474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439420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888"/>
                              <w:gridCol w:w="4948"/>
                            </w:tblGrid>
                            <w:tr w:rsidR="00016572" w14:paraId="0958D563" w14:textId="77777777" w:rsidTr="000A68D7">
                              <w:trPr>
                                <w:trHeight w:val="412"/>
                              </w:trPr>
                              <w:tc>
                                <w:tcPr>
                                  <w:tcW w:w="10056" w:type="dxa"/>
                                  <w:gridSpan w:val="2"/>
                                </w:tcPr>
                                <w:p w14:paraId="7CC414A4" w14:textId="77777777" w:rsidR="00016572" w:rsidRPr="00B5569C" w:rsidRDefault="00016572" w:rsidP="00016572">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016572" w14:paraId="2C1215E9" w14:textId="77777777" w:rsidTr="000A68D7">
                              <w:trPr>
                                <w:trHeight w:val="1223"/>
                              </w:trPr>
                              <w:tc>
                                <w:tcPr>
                                  <w:tcW w:w="4996" w:type="dxa"/>
                                </w:tcPr>
                                <w:p w14:paraId="2FFEE98B"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Declining Market Value of Equity</w:t>
                                  </w:r>
                                  <w:r>
                                    <w:rPr>
                                      <w:rFonts w:ascii="Cambria" w:hAnsi="Cambria"/>
                                      <w:b/>
                                      <w:bCs/>
                                      <w:sz w:val="24"/>
                                      <w:szCs w:val="24"/>
                                    </w:rPr>
                                    <w:t xml:space="preserve"> - </w:t>
                                  </w:r>
                                  <w:r>
                                    <w:rPr>
                                      <w:rFonts w:ascii="Cambria" w:hAnsi="Cambria"/>
                                      <w:b/>
                                      <w:bCs/>
                                      <w:sz w:val="24"/>
                                      <w:szCs w:val="24"/>
                                    </w:rPr>
                                    <w:br/>
                                  </w:r>
                                  <w:r w:rsidRPr="00CF08D7">
                                    <w:rPr>
                                      <w:rFonts w:ascii="Cambria" w:hAnsi="Cambria"/>
                                      <w:sz w:val="24"/>
                                      <w:szCs w:val="24"/>
                                    </w:rPr>
                                    <w:t xml:space="preserve">Significant decline from </w:t>
                                  </w:r>
                                  <w:r>
                                    <w:rPr>
                                      <w:rFonts w:ascii="Cambria" w:hAnsi="Cambria"/>
                                      <w:sz w:val="24"/>
                                      <w:szCs w:val="24"/>
                                    </w:rPr>
                                    <w:t>$</w:t>
                                  </w:r>
                                  <w:r w:rsidRPr="00CF08D7">
                                    <w:rPr>
                                      <w:rFonts w:ascii="Cambria" w:hAnsi="Cambria"/>
                                      <w:sz w:val="24"/>
                                      <w:szCs w:val="24"/>
                                    </w:rPr>
                                    <w:t xml:space="preserve">11.60B in 2019 to </w:t>
                                  </w:r>
                                  <w:r>
                                    <w:rPr>
                                      <w:rFonts w:ascii="Cambria" w:hAnsi="Cambria"/>
                                      <w:sz w:val="24"/>
                                      <w:szCs w:val="24"/>
                                    </w:rPr>
                                    <w:t>$</w:t>
                                  </w:r>
                                  <w:r w:rsidRPr="00CF08D7">
                                    <w:rPr>
                                      <w:rFonts w:ascii="Cambria" w:hAnsi="Cambria"/>
                                      <w:sz w:val="24"/>
                                      <w:szCs w:val="24"/>
                                    </w:rPr>
                                    <w:t>9.21B in 2024, indicating weaker investor sentiment.</w:t>
                                  </w:r>
                                </w:p>
                              </w:tc>
                              <w:tc>
                                <w:tcPr>
                                  <w:tcW w:w="5059" w:type="dxa"/>
                                </w:tcPr>
                                <w:p w14:paraId="61524446"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Suggests weaker investor confidence and growth challenges</w:t>
                                  </w:r>
                                  <w:r>
                                    <w:rPr>
                                      <w:rFonts w:ascii="Cambria" w:hAnsi="Cambria"/>
                                      <w:sz w:val="24"/>
                                      <w:szCs w:val="24"/>
                                    </w:rPr>
                                    <w:t>.</w:t>
                                  </w:r>
                                </w:p>
                              </w:tc>
                            </w:tr>
                            <w:tr w:rsidR="00016572" w14:paraId="2588D8BE" w14:textId="77777777" w:rsidTr="000A68D7">
                              <w:trPr>
                                <w:trHeight w:val="1223"/>
                              </w:trPr>
                              <w:tc>
                                <w:tcPr>
                                  <w:tcW w:w="4996" w:type="dxa"/>
                                </w:tcPr>
                                <w:p w14:paraId="4CDF5560" w14:textId="77777777" w:rsidR="00016572" w:rsidRPr="00CF08D7" w:rsidRDefault="00016572" w:rsidP="00016572">
                                  <w:pPr>
                                    <w:spacing w:beforeLines="20" w:before="48" w:afterLines="40" w:after="96"/>
                                    <w:rPr>
                                      <w:rFonts w:ascii="Cambria" w:hAnsi="Cambria"/>
                                      <w:sz w:val="24"/>
                                      <w:szCs w:val="24"/>
                                    </w:rPr>
                                  </w:pPr>
                                  <w:r w:rsidRPr="00B5569C">
                                    <w:rPr>
                                      <w:rFonts w:ascii="Cambria" w:hAnsi="Cambria"/>
                                      <w:b/>
                                      <w:bCs/>
                                      <w:sz w:val="24"/>
                                      <w:szCs w:val="24"/>
                                    </w:rPr>
                                    <w:t>Rising</w:t>
                                  </w:r>
                                  <w:r>
                                    <w:rPr>
                                      <w:rFonts w:ascii="Cambria" w:hAnsi="Cambria"/>
                                      <w:b/>
                                      <w:bCs/>
                                      <w:sz w:val="24"/>
                                      <w:szCs w:val="24"/>
                                    </w:rPr>
                                    <w:t xml:space="preserve"> </w:t>
                                  </w:r>
                                  <w:r w:rsidRPr="00B5569C">
                                    <w:rPr>
                                      <w:rFonts w:ascii="Cambria" w:hAnsi="Cambria"/>
                                      <w:b/>
                                      <w:bCs/>
                                      <w:sz w:val="24"/>
                                      <w:szCs w:val="24"/>
                                    </w:rPr>
                                    <w:t>Total Liabilities</w:t>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 xml:space="preserve">Increased from </w:t>
                                  </w:r>
                                  <w:r>
                                    <w:rPr>
                                      <w:rFonts w:ascii="Cambria" w:hAnsi="Cambria"/>
                                      <w:sz w:val="24"/>
                                      <w:szCs w:val="24"/>
                                    </w:rPr>
                                    <w:t>$</w:t>
                                  </w:r>
                                  <w:r w:rsidRPr="00CF08D7">
                                    <w:rPr>
                                      <w:rFonts w:ascii="Cambria" w:hAnsi="Cambria"/>
                                      <w:sz w:val="24"/>
                                      <w:szCs w:val="24"/>
                                    </w:rPr>
                                    <w:t xml:space="preserve">44.65B in 2019 to </w:t>
                                  </w:r>
                                  <w:r>
                                    <w:rPr>
                                      <w:rFonts w:ascii="Cambria" w:hAnsi="Cambria"/>
                                      <w:sz w:val="24"/>
                                      <w:szCs w:val="24"/>
                                    </w:rPr>
                                    <w:t>$</w:t>
                                  </w:r>
                                  <w:r w:rsidRPr="00CF08D7">
                                    <w:rPr>
                                      <w:rFonts w:ascii="Cambria" w:hAnsi="Cambria"/>
                                      <w:sz w:val="24"/>
                                      <w:szCs w:val="24"/>
                                    </w:rPr>
                                    <w:t>46.46B in 2024, reflecting higher financial leverage.</w:t>
                                  </w:r>
                                </w:p>
                              </w:tc>
                              <w:tc>
                                <w:tcPr>
                                  <w:tcW w:w="5059" w:type="dxa"/>
                                </w:tcPr>
                                <w:p w14:paraId="2EDB1386"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Increased financial leverage raises long-term solvency concerns.</w:t>
                                  </w:r>
                                </w:p>
                              </w:tc>
                            </w:tr>
                            <w:tr w:rsidR="00016572" w14:paraId="3F19C7EB" w14:textId="77777777" w:rsidTr="000A68D7">
                              <w:trPr>
                                <w:trHeight w:val="1223"/>
                              </w:trPr>
                              <w:tc>
                                <w:tcPr>
                                  <w:tcW w:w="4996" w:type="dxa"/>
                                </w:tcPr>
                                <w:p w14:paraId="0DEFBB6E"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Falling Distance to Default</w:t>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Dropped from 5.60 in 2019 to 4.58 in 2024, showing a progressive weakening in credit resilience.</w:t>
                                  </w:r>
                                </w:p>
                              </w:tc>
                              <w:tc>
                                <w:tcPr>
                                  <w:tcW w:w="5059" w:type="dxa"/>
                                </w:tcPr>
                                <w:p w14:paraId="40F62C99"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Consistently declining DD signals worsening credit risk.</w:t>
                                  </w:r>
                                </w:p>
                              </w:tc>
                            </w:tr>
                            <w:tr w:rsidR="00016572" w14:paraId="1A4138E1" w14:textId="77777777" w:rsidTr="000A68D7">
                              <w:trPr>
                                <w:trHeight w:val="1210"/>
                              </w:trPr>
                              <w:tc>
                                <w:tcPr>
                                  <w:tcW w:w="4996" w:type="dxa"/>
                                </w:tcPr>
                                <w:p w14:paraId="5B175025" w14:textId="77777777" w:rsidR="00016572" w:rsidRPr="00B5569C" w:rsidRDefault="00016572" w:rsidP="00016572">
                                  <w:pPr>
                                    <w:tabs>
                                      <w:tab w:val="left" w:pos="3360"/>
                                    </w:tabs>
                                    <w:spacing w:beforeLines="20" w:before="48" w:afterLines="40" w:after="96"/>
                                    <w:rPr>
                                      <w:rFonts w:ascii="Cambria" w:hAnsi="Cambria"/>
                                      <w:b/>
                                      <w:bCs/>
                                      <w:sz w:val="24"/>
                                      <w:szCs w:val="24"/>
                                    </w:rPr>
                                  </w:pPr>
                                  <w:r w:rsidRPr="00B5569C">
                                    <w:rPr>
                                      <w:rFonts w:ascii="Cambria" w:hAnsi="Cambria"/>
                                      <w:b/>
                                      <w:bCs/>
                                      <w:sz w:val="24"/>
                                      <w:szCs w:val="24"/>
                                    </w:rPr>
                                    <w:t>Lower Implied Asset Volatility</w:t>
                                  </w:r>
                                  <w:r w:rsidRPr="00B5569C">
                                    <w:rPr>
                                      <w:rFonts w:ascii="Cambria" w:hAnsi="Cambria"/>
                                      <w:b/>
                                      <w:bCs/>
                                      <w:sz w:val="24"/>
                                      <w:szCs w:val="24"/>
                                    </w:rPr>
                                    <w:tab/>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Declined from 0.0408 in 2019 to 0.0401 in 2024, suggesting reduced asset flexibility</w:t>
                                  </w:r>
                                  <w:r>
                                    <w:rPr>
                                      <w:rFonts w:ascii="Cambria" w:hAnsi="Cambria"/>
                                      <w:sz w:val="24"/>
                                      <w:szCs w:val="24"/>
                                    </w:rPr>
                                    <w:t xml:space="preserve">. </w:t>
                                  </w:r>
                                </w:p>
                              </w:tc>
                              <w:tc>
                                <w:tcPr>
                                  <w:tcW w:w="5059" w:type="dxa"/>
                                </w:tcPr>
                                <w:p w14:paraId="286A8A1D" w14:textId="77777777" w:rsidR="00016572" w:rsidRDefault="00016572" w:rsidP="00016572">
                                  <w:pPr>
                                    <w:tabs>
                                      <w:tab w:val="left" w:pos="1547"/>
                                    </w:tabs>
                                    <w:spacing w:beforeLines="20" w:before="48" w:afterLines="40" w:after="96"/>
                                    <w:rPr>
                                      <w:rFonts w:ascii="Cambria" w:hAnsi="Cambria"/>
                                      <w:sz w:val="24"/>
                                      <w:szCs w:val="24"/>
                                    </w:rPr>
                                  </w:pPr>
                                  <w:r w:rsidRPr="00B5569C">
                                    <w:rPr>
                                      <w:rFonts w:ascii="Cambria" w:hAnsi="Cambria"/>
                                      <w:sz w:val="24"/>
                                      <w:szCs w:val="24"/>
                                    </w:rPr>
                                    <w:t>Indicates reduced asset flexibility, potentially limiting financial manoeuvrability.</w:t>
                                  </w:r>
                                  <w:r>
                                    <w:rPr>
                                      <w:rFonts w:ascii="Cambria" w:hAnsi="Cambria"/>
                                      <w:sz w:val="24"/>
                                      <w:szCs w:val="24"/>
                                    </w:rPr>
                                    <w:tab/>
                                  </w:r>
                                </w:p>
                              </w:tc>
                            </w:tr>
                            <w:tr w:rsidR="00016572" w14:paraId="3417E710" w14:textId="77777777" w:rsidTr="000A68D7">
                              <w:trPr>
                                <w:trHeight w:val="1223"/>
                              </w:trPr>
                              <w:tc>
                                <w:tcPr>
                                  <w:tcW w:w="4996" w:type="dxa"/>
                                </w:tcPr>
                                <w:p w14:paraId="532FC802"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Macroeconomic Pressures</w:t>
                                  </w:r>
                                  <w:r>
                                    <w:rPr>
                                      <w:rFonts w:ascii="Cambria" w:hAnsi="Cambria"/>
                                      <w:b/>
                                      <w:bCs/>
                                      <w:sz w:val="24"/>
                                      <w:szCs w:val="24"/>
                                    </w:rPr>
                                    <w:t xml:space="preserve"> - </w:t>
                                  </w:r>
                                  <w:r>
                                    <w:rPr>
                                      <w:rFonts w:ascii="Cambria" w:hAnsi="Cambria"/>
                                      <w:b/>
                                      <w:bCs/>
                                      <w:sz w:val="24"/>
                                      <w:szCs w:val="24"/>
                                    </w:rPr>
                                    <w:br/>
                                  </w:r>
                                  <w:r w:rsidRPr="00CF08D7">
                                    <w:rPr>
                                      <w:rFonts w:ascii="Cambria" w:hAnsi="Cambria"/>
                                      <w:sz w:val="24"/>
                                      <w:szCs w:val="24"/>
                                    </w:rPr>
                                    <w:t>Rising interest rates and economic uncertainty could impact Carrefour’s cost structure and profitability.</w:t>
                                  </w:r>
                                </w:p>
                              </w:tc>
                              <w:tc>
                                <w:tcPr>
                                  <w:tcW w:w="5059" w:type="dxa"/>
                                </w:tcPr>
                                <w:p w14:paraId="6B18DE60"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Rising interest rates and inflation may weigh on profitability.</w:t>
                                  </w:r>
                                </w:p>
                              </w:tc>
                            </w:tr>
                          </w:tbl>
                          <w:p w14:paraId="140810BB" w14:textId="77777777" w:rsidR="00016572" w:rsidRDefault="00016572" w:rsidP="00016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36D4" id="_x0000_s1040" type="#_x0000_t202" style="position:absolute;left:0;text-align:left;margin-left:-10.7pt;margin-top:350pt;width:506.65pt;height:3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" filled="f" stroked="f">
                <v:textbox>
                  <w:txbxContent>
                    <w:tbl>
                      <w:tblPr>
                        <w:tblStyle w:val="TableGrid"/>
                        <w:tblW w:w="0" w:type="auto"/>
                        <w:tblLook w:val="04A0" w:firstRow="1" w:lastRow="0" w:firstColumn="1" w:lastColumn="0" w:noHBand="0" w:noVBand="1"/>
                      </w:tblPr>
                      <w:tblGrid>
                        <w:gridCol w:w="4888"/>
                        <w:gridCol w:w="4948"/>
                      </w:tblGrid>
                      <w:tr w:rsidR="00016572" w14:paraId="0958D563" w14:textId="77777777" w:rsidTr="000A68D7">
                        <w:trPr>
                          <w:trHeight w:val="412"/>
                        </w:trPr>
                        <w:tc>
                          <w:tcPr>
                            <w:tcW w:w="10056" w:type="dxa"/>
                            <w:gridSpan w:val="2"/>
                          </w:tcPr>
                          <w:p w14:paraId="7CC414A4" w14:textId="77777777" w:rsidR="00016572" w:rsidRPr="00B5569C" w:rsidRDefault="00016572" w:rsidP="00016572">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016572" w14:paraId="2C1215E9" w14:textId="77777777" w:rsidTr="000A68D7">
                        <w:trPr>
                          <w:trHeight w:val="1223"/>
                        </w:trPr>
                        <w:tc>
                          <w:tcPr>
                            <w:tcW w:w="4996" w:type="dxa"/>
                          </w:tcPr>
                          <w:p w14:paraId="2FFEE98B"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Declining Market Value of Equity</w:t>
                            </w:r>
                            <w:r>
                              <w:rPr>
                                <w:rFonts w:ascii="Cambria" w:hAnsi="Cambria"/>
                                <w:b/>
                                <w:bCs/>
                                <w:sz w:val="24"/>
                                <w:szCs w:val="24"/>
                              </w:rPr>
                              <w:t xml:space="preserve"> - </w:t>
                            </w:r>
                            <w:r>
                              <w:rPr>
                                <w:rFonts w:ascii="Cambria" w:hAnsi="Cambria"/>
                                <w:b/>
                                <w:bCs/>
                                <w:sz w:val="24"/>
                                <w:szCs w:val="24"/>
                              </w:rPr>
                              <w:br/>
                            </w:r>
                            <w:r w:rsidRPr="00CF08D7">
                              <w:rPr>
                                <w:rFonts w:ascii="Cambria" w:hAnsi="Cambria"/>
                                <w:sz w:val="24"/>
                                <w:szCs w:val="24"/>
                              </w:rPr>
                              <w:t xml:space="preserve">Significant decline from </w:t>
                            </w:r>
                            <w:r>
                              <w:rPr>
                                <w:rFonts w:ascii="Cambria" w:hAnsi="Cambria"/>
                                <w:sz w:val="24"/>
                                <w:szCs w:val="24"/>
                              </w:rPr>
                              <w:t>$</w:t>
                            </w:r>
                            <w:r w:rsidRPr="00CF08D7">
                              <w:rPr>
                                <w:rFonts w:ascii="Cambria" w:hAnsi="Cambria"/>
                                <w:sz w:val="24"/>
                                <w:szCs w:val="24"/>
                              </w:rPr>
                              <w:t xml:space="preserve">11.60B in 2019 to </w:t>
                            </w:r>
                            <w:r>
                              <w:rPr>
                                <w:rFonts w:ascii="Cambria" w:hAnsi="Cambria"/>
                                <w:sz w:val="24"/>
                                <w:szCs w:val="24"/>
                              </w:rPr>
                              <w:t>$</w:t>
                            </w:r>
                            <w:r w:rsidRPr="00CF08D7">
                              <w:rPr>
                                <w:rFonts w:ascii="Cambria" w:hAnsi="Cambria"/>
                                <w:sz w:val="24"/>
                                <w:szCs w:val="24"/>
                              </w:rPr>
                              <w:t>9.21B in 2024, indicating weaker investor sentiment.</w:t>
                            </w:r>
                          </w:p>
                        </w:tc>
                        <w:tc>
                          <w:tcPr>
                            <w:tcW w:w="5059" w:type="dxa"/>
                          </w:tcPr>
                          <w:p w14:paraId="61524446"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Suggests weaker investor confidence and growth challenges</w:t>
                            </w:r>
                            <w:r>
                              <w:rPr>
                                <w:rFonts w:ascii="Cambria" w:hAnsi="Cambria"/>
                                <w:sz w:val="24"/>
                                <w:szCs w:val="24"/>
                              </w:rPr>
                              <w:t>.</w:t>
                            </w:r>
                          </w:p>
                        </w:tc>
                      </w:tr>
                      <w:tr w:rsidR="00016572" w14:paraId="2588D8BE" w14:textId="77777777" w:rsidTr="000A68D7">
                        <w:trPr>
                          <w:trHeight w:val="1223"/>
                        </w:trPr>
                        <w:tc>
                          <w:tcPr>
                            <w:tcW w:w="4996" w:type="dxa"/>
                          </w:tcPr>
                          <w:p w14:paraId="4CDF5560" w14:textId="77777777" w:rsidR="00016572" w:rsidRPr="00CF08D7" w:rsidRDefault="00016572" w:rsidP="00016572">
                            <w:pPr>
                              <w:spacing w:beforeLines="20" w:before="48" w:afterLines="40" w:after="96"/>
                              <w:rPr>
                                <w:rFonts w:ascii="Cambria" w:hAnsi="Cambria"/>
                                <w:sz w:val="24"/>
                                <w:szCs w:val="24"/>
                              </w:rPr>
                            </w:pPr>
                            <w:r w:rsidRPr="00B5569C">
                              <w:rPr>
                                <w:rFonts w:ascii="Cambria" w:hAnsi="Cambria"/>
                                <w:b/>
                                <w:bCs/>
                                <w:sz w:val="24"/>
                                <w:szCs w:val="24"/>
                              </w:rPr>
                              <w:t>Rising</w:t>
                            </w:r>
                            <w:r>
                              <w:rPr>
                                <w:rFonts w:ascii="Cambria" w:hAnsi="Cambria"/>
                                <w:b/>
                                <w:bCs/>
                                <w:sz w:val="24"/>
                                <w:szCs w:val="24"/>
                              </w:rPr>
                              <w:t xml:space="preserve"> </w:t>
                            </w:r>
                            <w:r w:rsidRPr="00B5569C">
                              <w:rPr>
                                <w:rFonts w:ascii="Cambria" w:hAnsi="Cambria"/>
                                <w:b/>
                                <w:bCs/>
                                <w:sz w:val="24"/>
                                <w:szCs w:val="24"/>
                              </w:rPr>
                              <w:t>Total Liabilities</w:t>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 xml:space="preserve">Increased from </w:t>
                            </w:r>
                            <w:r>
                              <w:rPr>
                                <w:rFonts w:ascii="Cambria" w:hAnsi="Cambria"/>
                                <w:sz w:val="24"/>
                                <w:szCs w:val="24"/>
                              </w:rPr>
                              <w:t>$</w:t>
                            </w:r>
                            <w:r w:rsidRPr="00CF08D7">
                              <w:rPr>
                                <w:rFonts w:ascii="Cambria" w:hAnsi="Cambria"/>
                                <w:sz w:val="24"/>
                                <w:szCs w:val="24"/>
                              </w:rPr>
                              <w:t xml:space="preserve">44.65B in 2019 to </w:t>
                            </w:r>
                            <w:r>
                              <w:rPr>
                                <w:rFonts w:ascii="Cambria" w:hAnsi="Cambria"/>
                                <w:sz w:val="24"/>
                                <w:szCs w:val="24"/>
                              </w:rPr>
                              <w:t>$</w:t>
                            </w:r>
                            <w:r w:rsidRPr="00CF08D7">
                              <w:rPr>
                                <w:rFonts w:ascii="Cambria" w:hAnsi="Cambria"/>
                                <w:sz w:val="24"/>
                                <w:szCs w:val="24"/>
                              </w:rPr>
                              <w:t>46.46B in 2024, reflecting higher financial leverage.</w:t>
                            </w:r>
                          </w:p>
                        </w:tc>
                        <w:tc>
                          <w:tcPr>
                            <w:tcW w:w="5059" w:type="dxa"/>
                          </w:tcPr>
                          <w:p w14:paraId="2EDB1386"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Increased financial leverage raises long-term solvency concerns.</w:t>
                            </w:r>
                          </w:p>
                        </w:tc>
                      </w:tr>
                      <w:tr w:rsidR="00016572" w14:paraId="3F19C7EB" w14:textId="77777777" w:rsidTr="000A68D7">
                        <w:trPr>
                          <w:trHeight w:val="1223"/>
                        </w:trPr>
                        <w:tc>
                          <w:tcPr>
                            <w:tcW w:w="4996" w:type="dxa"/>
                          </w:tcPr>
                          <w:p w14:paraId="0DEFBB6E"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Falling Distance to Default</w:t>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Dropped from 5.60 in 2019 to 4.58 in 2024, showing a progressive weakening in credit resilience.</w:t>
                            </w:r>
                          </w:p>
                        </w:tc>
                        <w:tc>
                          <w:tcPr>
                            <w:tcW w:w="5059" w:type="dxa"/>
                          </w:tcPr>
                          <w:p w14:paraId="40F62C99"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Consistently declining DD signals worsening credit risk.</w:t>
                            </w:r>
                          </w:p>
                        </w:tc>
                      </w:tr>
                      <w:tr w:rsidR="00016572" w14:paraId="1A4138E1" w14:textId="77777777" w:rsidTr="000A68D7">
                        <w:trPr>
                          <w:trHeight w:val="1210"/>
                        </w:trPr>
                        <w:tc>
                          <w:tcPr>
                            <w:tcW w:w="4996" w:type="dxa"/>
                          </w:tcPr>
                          <w:p w14:paraId="5B175025" w14:textId="77777777" w:rsidR="00016572" w:rsidRPr="00B5569C" w:rsidRDefault="00016572" w:rsidP="00016572">
                            <w:pPr>
                              <w:tabs>
                                <w:tab w:val="left" w:pos="3360"/>
                              </w:tabs>
                              <w:spacing w:beforeLines="20" w:before="48" w:afterLines="40" w:after="96"/>
                              <w:rPr>
                                <w:rFonts w:ascii="Cambria" w:hAnsi="Cambria"/>
                                <w:b/>
                                <w:bCs/>
                                <w:sz w:val="24"/>
                                <w:szCs w:val="24"/>
                              </w:rPr>
                            </w:pPr>
                            <w:r w:rsidRPr="00B5569C">
                              <w:rPr>
                                <w:rFonts w:ascii="Cambria" w:hAnsi="Cambria"/>
                                <w:b/>
                                <w:bCs/>
                                <w:sz w:val="24"/>
                                <w:szCs w:val="24"/>
                              </w:rPr>
                              <w:t>Lower Implied Asset Volatility</w:t>
                            </w:r>
                            <w:r w:rsidRPr="00B5569C">
                              <w:rPr>
                                <w:rFonts w:ascii="Cambria" w:hAnsi="Cambria"/>
                                <w:b/>
                                <w:bCs/>
                                <w:sz w:val="24"/>
                                <w:szCs w:val="24"/>
                              </w:rPr>
                              <w:tab/>
                            </w:r>
                            <w:r>
                              <w:rPr>
                                <w:rFonts w:ascii="Cambria" w:hAnsi="Cambria"/>
                                <w:b/>
                                <w:bCs/>
                                <w:sz w:val="24"/>
                                <w:szCs w:val="24"/>
                              </w:rPr>
                              <w:t xml:space="preserve">- </w:t>
                            </w:r>
                            <w:r>
                              <w:rPr>
                                <w:rFonts w:ascii="Cambria" w:hAnsi="Cambria"/>
                                <w:b/>
                                <w:bCs/>
                                <w:sz w:val="24"/>
                                <w:szCs w:val="24"/>
                              </w:rPr>
                              <w:br/>
                            </w:r>
                            <w:r w:rsidRPr="00CF08D7">
                              <w:rPr>
                                <w:rFonts w:ascii="Cambria" w:hAnsi="Cambria"/>
                                <w:sz w:val="24"/>
                                <w:szCs w:val="24"/>
                              </w:rPr>
                              <w:t>Declined from 0.0408 in 2019 to 0.0401 in 2024, suggesting reduced asset flexibility</w:t>
                            </w:r>
                            <w:r>
                              <w:rPr>
                                <w:rFonts w:ascii="Cambria" w:hAnsi="Cambria"/>
                                <w:sz w:val="24"/>
                                <w:szCs w:val="24"/>
                              </w:rPr>
                              <w:t xml:space="preserve">. </w:t>
                            </w:r>
                          </w:p>
                        </w:tc>
                        <w:tc>
                          <w:tcPr>
                            <w:tcW w:w="5059" w:type="dxa"/>
                          </w:tcPr>
                          <w:p w14:paraId="286A8A1D" w14:textId="77777777" w:rsidR="00016572" w:rsidRDefault="00016572" w:rsidP="00016572">
                            <w:pPr>
                              <w:tabs>
                                <w:tab w:val="left" w:pos="1547"/>
                              </w:tabs>
                              <w:spacing w:beforeLines="20" w:before="48" w:afterLines="40" w:after="96"/>
                              <w:rPr>
                                <w:rFonts w:ascii="Cambria" w:hAnsi="Cambria"/>
                                <w:sz w:val="24"/>
                                <w:szCs w:val="24"/>
                              </w:rPr>
                            </w:pPr>
                            <w:r w:rsidRPr="00B5569C">
                              <w:rPr>
                                <w:rFonts w:ascii="Cambria" w:hAnsi="Cambria"/>
                                <w:sz w:val="24"/>
                                <w:szCs w:val="24"/>
                              </w:rPr>
                              <w:t>Indicates reduced asset flexibility, potentially limiting financial manoeuvrability.</w:t>
                            </w:r>
                            <w:r>
                              <w:rPr>
                                <w:rFonts w:ascii="Cambria" w:hAnsi="Cambria"/>
                                <w:sz w:val="24"/>
                                <w:szCs w:val="24"/>
                              </w:rPr>
                              <w:tab/>
                            </w:r>
                          </w:p>
                        </w:tc>
                      </w:tr>
                      <w:tr w:rsidR="00016572" w14:paraId="3417E710" w14:textId="77777777" w:rsidTr="000A68D7">
                        <w:trPr>
                          <w:trHeight w:val="1223"/>
                        </w:trPr>
                        <w:tc>
                          <w:tcPr>
                            <w:tcW w:w="4996" w:type="dxa"/>
                          </w:tcPr>
                          <w:p w14:paraId="532FC802" w14:textId="77777777" w:rsidR="00016572" w:rsidRPr="00B5569C" w:rsidRDefault="00016572" w:rsidP="00016572">
                            <w:pPr>
                              <w:spacing w:beforeLines="20" w:before="48" w:afterLines="40" w:after="96"/>
                              <w:rPr>
                                <w:rFonts w:ascii="Cambria" w:hAnsi="Cambria"/>
                                <w:b/>
                                <w:bCs/>
                                <w:sz w:val="24"/>
                                <w:szCs w:val="24"/>
                              </w:rPr>
                            </w:pPr>
                            <w:r w:rsidRPr="00B5569C">
                              <w:rPr>
                                <w:rFonts w:ascii="Cambria" w:hAnsi="Cambria"/>
                                <w:b/>
                                <w:bCs/>
                                <w:sz w:val="24"/>
                                <w:szCs w:val="24"/>
                              </w:rPr>
                              <w:t>Macroeconomic Pressures</w:t>
                            </w:r>
                            <w:r>
                              <w:rPr>
                                <w:rFonts w:ascii="Cambria" w:hAnsi="Cambria"/>
                                <w:b/>
                                <w:bCs/>
                                <w:sz w:val="24"/>
                                <w:szCs w:val="24"/>
                              </w:rPr>
                              <w:t xml:space="preserve"> - </w:t>
                            </w:r>
                            <w:r>
                              <w:rPr>
                                <w:rFonts w:ascii="Cambria" w:hAnsi="Cambria"/>
                                <w:b/>
                                <w:bCs/>
                                <w:sz w:val="24"/>
                                <w:szCs w:val="24"/>
                              </w:rPr>
                              <w:br/>
                            </w:r>
                            <w:r w:rsidRPr="00CF08D7">
                              <w:rPr>
                                <w:rFonts w:ascii="Cambria" w:hAnsi="Cambria"/>
                                <w:sz w:val="24"/>
                                <w:szCs w:val="24"/>
                              </w:rPr>
                              <w:t>Rising interest rates and economic uncertainty could impact Carrefour’s cost structure and profitability.</w:t>
                            </w:r>
                          </w:p>
                        </w:tc>
                        <w:tc>
                          <w:tcPr>
                            <w:tcW w:w="5059" w:type="dxa"/>
                          </w:tcPr>
                          <w:p w14:paraId="6B18DE60" w14:textId="77777777" w:rsidR="00016572" w:rsidRDefault="00016572" w:rsidP="00016572">
                            <w:pPr>
                              <w:spacing w:beforeLines="20" w:before="48" w:afterLines="40" w:after="96"/>
                              <w:rPr>
                                <w:rFonts w:ascii="Cambria" w:hAnsi="Cambria"/>
                                <w:sz w:val="24"/>
                                <w:szCs w:val="24"/>
                              </w:rPr>
                            </w:pPr>
                            <w:r w:rsidRPr="00B5569C">
                              <w:rPr>
                                <w:rFonts w:ascii="Cambria" w:hAnsi="Cambria"/>
                                <w:sz w:val="24"/>
                                <w:szCs w:val="24"/>
                              </w:rPr>
                              <w:t>Rising interest rates and inflation may weigh on profitability.</w:t>
                            </w:r>
                          </w:p>
                        </w:tc>
                      </w:tr>
                    </w:tbl>
                    <w:p w14:paraId="140810BB" w14:textId="77777777" w:rsidR="00016572" w:rsidRDefault="00016572" w:rsidP="00016572"/>
                  </w:txbxContent>
                </v:textbox>
                <w10:wrap type="square" anchorx="margin"/>
              </v:shape>
            </w:pict>
          </mc:Fallback>
        </mc:AlternateContent>
      </w:r>
      <w:r w:rsidR="00E45EFA" w:rsidRPr="00456405">
        <w:rPr>
          <w:rFonts w:ascii="Cambria" w:hAnsi="Cambria"/>
          <w:sz w:val="24"/>
          <w:szCs w:val="24"/>
        </w:rPr>
        <w:t>a sustainable capital structure.</w:t>
      </w:r>
      <w:r w:rsidR="00B5569C" w:rsidRPr="00456405">
        <w:rPr>
          <w:rFonts w:ascii="Cambria" w:hAnsi="Cambria"/>
          <w:sz w:val="24"/>
          <w:szCs w:val="24"/>
        </w:rPr>
        <w:tab/>
      </w:r>
      <w:r w:rsidR="000A68D7" w:rsidRPr="00456405">
        <w:rPr>
          <w:rFonts w:ascii="Cambria" w:hAnsi="Cambria"/>
          <w:sz w:val="24"/>
          <w:szCs w:val="24"/>
        </w:rPr>
        <w:br/>
      </w:r>
      <w:r w:rsidR="00D22341" w:rsidRPr="00456405">
        <w:rPr>
          <w:rFonts w:ascii="Cambria" w:hAnsi="Cambria"/>
          <w:b/>
          <w:bCs/>
          <w:sz w:val="24"/>
          <w:szCs w:val="24"/>
        </w:rPr>
        <w:lastRenderedPageBreak/>
        <w:t>5. Magazine Luiza</w:t>
      </w:r>
      <w:r w:rsidR="00D22341" w:rsidRPr="00456405">
        <w:rPr>
          <w:rFonts w:ascii="Cambria" w:hAnsi="Cambria"/>
          <w:b/>
          <w:bCs/>
          <w:sz w:val="24"/>
          <w:szCs w:val="24"/>
        </w:rPr>
        <w:tab/>
      </w:r>
      <w:r w:rsidR="00D22341" w:rsidRPr="00456405">
        <w:rPr>
          <w:rFonts w:ascii="Cambria" w:hAnsi="Cambria"/>
          <w:b/>
          <w:bCs/>
          <w:sz w:val="24"/>
          <w:szCs w:val="24"/>
        </w:rPr>
        <w:br/>
      </w:r>
      <w:r w:rsidR="00E56F05" w:rsidRPr="00456405">
        <w:rPr>
          <w:rFonts w:ascii="Cambria" w:hAnsi="Cambria"/>
          <w:sz w:val="24"/>
          <w:szCs w:val="24"/>
        </w:rPr>
        <w:t xml:space="preserve">Magazine Luiza exhibits a deteriorating credit risk profile, marked by a significant decline in DD and a rising default probability. In 2019, they had a DD of 6.39, with market capitalisation of $22.08B, total liabilities of $3.04B and an implied asset value of $24.98B. The relatively high DD and low implied asset volatility (o.328) reflected a stable credit profile with no alarming risk of default. </w:t>
      </w:r>
      <w:r w:rsidR="00DE4E3E" w:rsidRPr="00456405">
        <w:rPr>
          <w:rFonts w:ascii="Cambria" w:hAnsi="Cambria"/>
          <w:sz w:val="24"/>
          <w:szCs w:val="24"/>
        </w:rPr>
        <w:t xml:space="preserve">By 2021, the company’s financial health weakened significantly, with total liabilities rising and market capitalisation falling, leading to a decline in DD to 2.72. Notably, equity volatility surged to 0.536, reflecting growing uncertainty. Fiscal tightening in Brazil led to rising interest rates and inflationary pressures which coincided with this decline, impacting consumer spending and thus their financial profile. </w:t>
      </w:r>
      <w:r w:rsidR="008E1181" w:rsidRPr="00456405">
        <w:rPr>
          <w:rFonts w:ascii="Cambria" w:hAnsi="Cambria"/>
          <w:sz w:val="24"/>
          <w:szCs w:val="24"/>
        </w:rPr>
        <w:t xml:space="preserve">In 2022, their risk profile worsened substantially, with DD dropping to 1.31 and an alarming 10% default probability. Value of equity also fell </w:t>
      </w:r>
      <w:r w:rsidR="00E72C0F" w:rsidRPr="00456405">
        <w:rPr>
          <w:rFonts w:ascii="Cambria" w:hAnsi="Cambria"/>
          <w:sz w:val="24"/>
          <w:szCs w:val="24"/>
        </w:rPr>
        <w:t>further,</w:t>
      </w:r>
      <w:r w:rsidR="008E1181" w:rsidRPr="00456405">
        <w:rPr>
          <w:rFonts w:ascii="Cambria" w:hAnsi="Cambria"/>
          <w:sz w:val="24"/>
          <w:szCs w:val="24"/>
        </w:rPr>
        <w:t xml:space="preserve"> and implied asset volatility increased to 0.463, signalling heightened market uncertainty. This sharp decline was marked by rising leverage ($5.12B), higher operating costs and </w:t>
      </w:r>
      <w:r w:rsidR="002514FE" w:rsidRPr="00456405">
        <w:rPr>
          <w:rFonts w:ascii="Cambria" w:hAnsi="Cambria"/>
          <w:sz w:val="24"/>
          <w:szCs w:val="24"/>
        </w:rPr>
        <w:t>weakening</w:t>
      </w:r>
      <w:r w:rsidR="008E1181" w:rsidRPr="00456405">
        <w:rPr>
          <w:rFonts w:ascii="Cambria" w:hAnsi="Cambria"/>
          <w:sz w:val="24"/>
          <w:szCs w:val="24"/>
        </w:rPr>
        <w:t xml:space="preserve"> consumer confidence in the Brazilian retail s</w:t>
      </w:r>
      <w:r w:rsidR="008934FF" w:rsidRPr="00456405">
        <w:rPr>
          <w:rFonts w:ascii="Cambria" w:hAnsi="Cambria"/>
          <w:sz w:val="24"/>
          <w:szCs w:val="24"/>
        </w:rPr>
        <w:t xml:space="preserve">ector. </w:t>
      </w:r>
      <w:r w:rsidR="00C66FFE" w:rsidRPr="00456405">
        <w:rPr>
          <w:rFonts w:ascii="Cambria" w:hAnsi="Cambria"/>
          <w:sz w:val="24"/>
          <w:szCs w:val="24"/>
        </w:rPr>
        <w:t xml:space="preserve">By 2023, they approached the distress zone, with DD falling to 1.49 and default probability standing at 7%. The market capitalisation collapsed to $2.44B, indicating that investors had concerns over their volatility. 2024 saw marginal recovery, with DD rising to 2.12 and a reduced default probability of 2%. The market capitalisation </w:t>
      </w:r>
      <w:r w:rsidR="00E72C0F" w:rsidRPr="00456405">
        <w:rPr>
          <w:rFonts w:ascii="Cambria" w:hAnsi="Cambria"/>
          <w:sz w:val="24"/>
          <w:szCs w:val="24"/>
        </w:rPr>
        <w:t>stabilised</w:t>
      </w:r>
      <w:r w:rsidR="00C66FFE" w:rsidRPr="00456405">
        <w:rPr>
          <w:rFonts w:ascii="Cambria" w:hAnsi="Cambria"/>
          <w:sz w:val="24"/>
          <w:szCs w:val="24"/>
        </w:rPr>
        <w:t xml:space="preserve"> itself at $0.77B with liabilities at $4.52B, suggesting that the company has undergone risk mitigation strategies. However, these inducements are far below historical </w:t>
      </w:r>
      <w:proofErr w:type="gramStart"/>
      <w:r w:rsidR="00C66FFE" w:rsidRPr="00456405">
        <w:rPr>
          <w:rFonts w:ascii="Cambria" w:hAnsi="Cambria"/>
          <w:sz w:val="24"/>
          <w:szCs w:val="24"/>
        </w:rPr>
        <w:t>levels</w:t>
      </w:r>
      <w:proofErr w:type="gramEnd"/>
      <w:r w:rsidR="00C66FFE" w:rsidRPr="00456405">
        <w:rPr>
          <w:rFonts w:ascii="Cambria" w:hAnsi="Cambria"/>
          <w:sz w:val="24"/>
          <w:szCs w:val="24"/>
        </w:rPr>
        <w:t xml:space="preserve"> and they continue to face heightened financial risk exacerbated by macroeconomic headwinds and sectoral challenges presented by new entrants. Overall, their steady decline coupled with rising liabilities and fluctuating equity volatility highlights growing credit concerns. While default risk is not immediate, downward trajectory is alarming and since indicates weakened financial position, strategic intervention for trend reversal is a must for investors to </w:t>
      </w:r>
      <w:r w:rsidR="00527BB1" w:rsidRPr="00456405">
        <w:rPr>
          <w:rFonts w:ascii="Cambria" w:hAnsi="Cambria"/>
          <w:noProof/>
          <w:sz w:val="24"/>
          <w:szCs w:val="24"/>
        </w:rPr>
        <mc:AlternateContent>
          <mc:Choice Requires="wps">
            <w:drawing>
              <wp:anchor distT="45720" distB="45720" distL="114300" distR="114300" simplePos="0" relativeHeight="251663360" behindDoc="0" locked="0" layoutInCell="1" allowOverlap="1" wp14:anchorId="5DDDB639" wp14:editId="0BEDC138">
                <wp:simplePos x="0" y="0"/>
                <wp:positionH relativeFrom="column">
                  <wp:posOffset>-127000</wp:posOffset>
                </wp:positionH>
                <wp:positionV relativeFrom="paragraph">
                  <wp:posOffset>4622800</wp:posOffset>
                </wp:positionV>
                <wp:extent cx="6756400" cy="3919855"/>
                <wp:effectExtent l="0" t="0" r="0" b="4445"/>
                <wp:wrapSquare wrapText="bothSides"/>
                <wp:docPr id="1459849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391985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914"/>
                              <w:gridCol w:w="4916"/>
                            </w:tblGrid>
                            <w:tr w:rsidR="00527BB1" w14:paraId="4176EB7C" w14:textId="77777777" w:rsidTr="00D25B0F">
                              <w:trPr>
                                <w:trHeight w:val="435"/>
                              </w:trPr>
                              <w:tc>
                                <w:tcPr>
                                  <w:tcW w:w="9830" w:type="dxa"/>
                                  <w:gridSpan w:val="2"/>
                                </w:tcPr>
                                <w:p w14:paraId="6EE42546" w14:textId="77777777" w:rsidR="00527BB1" w:rsidRPr="00A949B6" w:rsidRDefault="00527BB1" w:rsidP="00527BB1">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527BB1" w14:paraId="3335B624" w14:textId="77777777" w:rsidTr="00D25B0F">
                              <w:trPr>
                                <w:trHeight w:val="1040"/>
                              </w:trPr>
                              <w:tc>
                                <w:tcPr>
                                  <w:tcW w:w="4914" w:type="dxa"/>
                                </w:tcPr>
                                <w:p w14:paraId="0A34D409"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Declining Market Value of Equity</w:t>
                                  </w:r>
                                  <w:r>
                                    <w:rPr>
                                      <w:rFonts w:ascii="Cambria" w:hAnsi="Cambria"/>
                                      <w:sz w:val="24"/>
                                      <w:szCs w:val="24"/>
                                    </w:rPr>
                                    <w:t xml:space="preserve"> - </w:t>
                                  </w:r>
                                  <w:r>
                                    <w:rPr>
                                      <w:rFonts w:ascii="Cambria" w:hAnsi="Cambria"/>
                                      <w:sz w:val="24"/>
                                      <w:szCs w:val="24"/>
                                    </w:rPr>
                                    <w:br/>
                                  </w:r>
                                  <w:r w:rsidRPr="00A949B6">
                                    <w:rPr>
                                      <w:rFonts w:ascii="Cambria" w:hAnsi="Cambria"/>
                                      <w:sz w:val="24"/>
                                      <w:szCs w:val="24"/>
                                    </w:rPr>
                                    <w:t xml:space="preserve">Fell from </w:t>
                                  </w:r>
                                  <w:r>
                                    <w:rPr>
                                      <w:rFonts w:ascii="Cambria" w:hAnsi="Cambria"/>
                                      <w:sz w:val="24"/>
                                      <w:szCs w:val="24"/>
                                    </w:rPr>
                                    <w:t>$</w:t>
                                  </w:r>
                                  <w:r w:rsidRPr="00A949B6">
                                    <w:rPr>
                                      <w:rFonts w:ascii="Cambria" w:hAnsi="Cambria"/>
                                      <w:sz w:val="24"/>
                                      <w:szCs w:val="24"/>
                                    </w:rPr>
                                    <w:t xml:space="preserve">22.08B in 2019 to </w:t>
                                  </w:r>
                                  <w:r>
                                    <w:rPr>
                                      <w:rFonts w:ascii="Cambria" w:hAnsi="Cambria"/>
                                      <w:sz w:val="24"/>
                                      <w:szCs w:val="24"/>
                                    </w:rPr>
                                    <w:t>$</w:t>
                                  </w:r>
                                  <w:r w:rsidRPr="00A949B6">
                                    <w:rPr>
                                      <w:rFonts w:ascii="Cambria" w:hAnsi="Cambria"/>
                                      <w:sz w:val="24"/>
                                      <w:szCs w:val="24"/>
                                    </w:rPr>
                                    <w:t>0.77B in 2024, reflecting severe investor concerns</w:t>
                                  </w:r>
                                </w:p>
                              </w:tc>
                              <w:tc>
                                <w:tcPr>
                                  <w:tcW w:w="4915" w:type="dxa"/>
                                </w:tcPr>
                                <w:p w14:paraId="27B70489" w14:textId="77777777" w:rsidR="00527BB1" w:rsidRDefault="00527BB1" w:rsidP="00527BB1">
                                  <w:pPr>
                                    <w:spacing w:beforeLines="20" w:before="48" w:afterLines="40" w:after="96"/>
                                    <w:jc w:val="both"/>
                                    <w:rPr>
                                      <w:rFonts w:ascii="Cambria" w:hAnsi="Cambria"/>
                                      <w:sz w:val="24"/>
                                      <w:szCs w:val="24"/>
                                    </w:rPr>
                                  </w:pPr>
                                  <w:r>
                                    <w:rPr>
                                      <w:rFonts w:ascii="Cambria" w:hAnsi="Cambria"/>
                                      <w:sz w:val="24"/>
                                      <w:szCs w:val="24"/>
                                    </w:rPr>
                                    <w:t>I</w:t>
                                  </w:r>
                                  <w:r w:rsidRPr="00A949B6">
                                    <w:rPr>
                                      <w:rFonts w:ascii="Cambria" w:hAnsi="Cambria"/>
                                      <w:sz w:val="24"/>
                                      <w:szCs w:val="24"/>
                                    </w:rPr>
                                    <w:t>ndicates worsening market perception and potential difficulty in raising capital.</w:t>
                                  </w:r>
                                </w:p>
                              </w:tc>
                            </w:tr>
                            <w:tr w:rsidR="00527BB1" w14:paraId="5B7CB27C" w14:textId="77777777" w:rsidTr="00D25B0F">
                              <w:trPr>
                                <w:trHeight w:val="1040"/>
                              </w:trPr>
                              <w:tc>
                                <w:tcPr>
                                  <w:tcW w:w="4914" w:type="dxa"/>
                                </w:tcPr>
                                <w:p w14:paraId="2E9949A9"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Rising Default Probability</w:t>
                                  </w:r>
                                  <w:r>
                                    <w:rPr>
                                      <w:rFonts w:ascii="Cambria" w:hAnsi="Cambria"/>
                                      <w:sz w:val="24"/>
                                      <w:szCs w:val="24"/>
                                    </w:rPr>
                                    <w:t xml:space="preserve"> - </w:t>
                                  </w:r>
                                  <w:r w:rsidRPr="00A949B6">
                                    <w:rPr>
                                      <w:rFonts w:ascii="Cambria" w:hAnsi="Cambria"/>
                                      <w:sz w:val="24"/>
                                      <w:szCs w:val="24"/>
                                    </w:rPr>
                                    <w:t>Increased from 0% in 2019 to 10% in 2022, before recovering to 2% in 2024</w:t>
                                  </w:r>
                                </w:p>
                              </w:tc>
                              <w:tc>
                                <w:tcPr>
                                  <w:tcW w:w="4915" w:type="dxa"/>
                                </w:tcPr>
                                <w:p w14:paraId="49ABB64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 xml:space="preserve">Despite a partial recovery, the past default concerns highlight </w:t>
                                  </w:r>
                                  <w:r>
                                    <w:rPr>
                                      <w:rFonts w:ascii="Cambria" w:hAnsi="Cambria"/>
                                      <w:sz w:val="24"/>
                                      <w:szCs w:val="24"/>
                                    </w:rPr>
                                    <w:t>their</w:t>
                                  </w:r>
                                  <w:r w:rsidRPr="00A949B6">
                                    <w:rPr>
                                      <w:rFonts w:ascii="Cambria" w:hAnsi="Cambria"/>
                                      <w:sz w:val="24"/>
                                      <w:szCs w:val="24"/>
                                    </w:rPr>
                                    <w:t xml:space="preserve"> fragile financial standing.</w:t>
                                  </w:r>
                                </w:p>
                              </w:tc>
                            </w:tr>
                            <w:tr w:rsidR="00527BB1" w14:paraId="45A4639C" w14:textId="77777777" w:rsidTr="00D25B0F">
                              <w:trPr>
                                <w:trHeight w:val="1040"/>
                              </w:trPr>
                              <w:tc>
                                <w:tcPr>
                                  <w:tcW w:w="4914" w:type="dxa"/>
                                </w:tcPr>
                                <w:p w14:paraId="59D82014"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Increased Leverage &amp; Liabilities</w:t>
                                  </w:r>
                                  <w:r>
                                    <w:rPr>
                                      <w:rFonts w:ascii="Cambria" w:hAnsi="Cambria"/>
                                      <w:sz w:val="24"/>
                                      <w:szCs w:val="24"/>
                                    </w:rPr>
                                    <w:t xml:space="preserve"> - </w:t>
                                  </w:r>
                                  <w:r w:rsidRPr="00A949B6">
                                    <w:rPr>
                                      <w:rFonts w:ascii="Cambria" w:hAnsi="Cambria"/>
                                      <w:sz w:val="24"/>
                                      <w:szCs w:val="24"/>
                                    </w:rPr>
                                    <w:t xml:space="preserve">Liabilities grew from </w:t>
                                  </w:r>
                                  <w:r>
                                    <w:rPr>
                                      <w:rFonts w:ascii="Cambria" w:hAnsi="Cambria"/>
                                      <w:sz w:val="24"/>
                                      <w:szCs w:val="24"/>
                                    </w:rPr>
                                    <w:t>$</w:t>
                                  </w:r>
                                  <w:r w:rsidRPr="00A949B6">
                                    <w:rPr>
                                      <w:rFonts w:ascii="Cambria" w:hAnsi="Cambria"/>
                                      <w:sz w:val="24"/>
                                      <w:szCs w:val="24"/>
                                    </w:rPr>
                                    <w:t xml:space="preserve">3.04B in 2019 to </w:t>
                                  </w:r>
                                  <w:r>
                                    <w:rPr>
                                      <w:rFonts w:ascii="Cambria" w:hAnsi="Cambria"/>
                                      <w:sz w:val="24"/>
                                      <w:szCs w:val="24"/>
                                    </w:rPr>
                                    <w:t>$</w:t>
                                  </w:r>
                                  <w:r w:rsidRPr="00A949B6">
                                    <w:rPr>
                                      <w:rFonts w:ascii="Cambria" w:hAnsi="Cambria"/>
                                      <w:sz w:val="24"/>
                                      <w:szCs w:val="24"/>
                                    </w:rPr>
                                    <w:t>5.73B in 2023, putting pressure on cash flows.</w:t>
                                  </w:r>
                                </w:p>
                              </w:tc>
                              <w:tc>
                                <w:tcPr>
                                  <w:tcW w:w="4915" w:type="dxa"/>
                                </w:tcPr>
                                <w:p w14:paraId="535381B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Higher debt levels could lead to credit downgrades, making refinancing more expensive.</w:t>
                                  </w:r>
                                </w:p>
                              </w:tc>
                            </w:tr>
                            <w:tr w:rsidR="00527BB1" w14:paraId="7054CA2C" w14:textId="77777777" w:rsidTr="00D25B0F">
                              <w:trPr>
                                <w:trHeight w:val="1040"/>
                              </w:trPr>
                              <w:tc>
                                <w:tcPr>
                                  <w:tcW w:w="4914" w:type="dxa"/>
                                </w:tcPr>
                                <w:p w14:paraId="4E8E2380"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Fluctuating Equity Volatility</w:t>
                                  </w:r>
                                  <w:r>
                                    <w:rPr>
                                      <w:rFonts w:ascii="Cambria" w:hAnsi="Cambria"/>
                                      <w:sz w:val="24"/>
                                      <w:szCs w:val="24"/>
                                    </w:rPr>
                                    <w:t xml:space="preserve"> - </w:t>
                                  </w:r>
                                  <w:r w:rsidRPr="00A949B6">
                                    <w:rPr>
                                      <w:rFonts w:ascii="Cambria" w:hAnsi="Cambria"/>
                                      <w:sz w:val="24"/>
                                      <w:szCs w:val="24"/>
                                    </w:rPr>
                                    <w:t>Surged to 0.85 in 2022, signalling instability, before stabilizing at 0.49 in 2024.</w:t>
                                  </w:r>
                                </w:p>
                              </w:tc>
                              <w:tc>
                                <w:tcPr>
                                  <w:tcW w:w="4915" w:type="dxa"/>
                                </w:tcPr>
                                <w:p w14:paraId="3DF4B872"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Indicates continued uncertainty around Carrefour’s asset valuation and operational outlook.</w:t>
                                  </w:r>
                                </w:p>
                              </w:tc>
                            </w:tr>
                            <w:tr w:rsidR="00527BB1" w14:paraId="0AB5FFBA" w14:textId="77777777" w:rsidTr="00D25B0F">
                              <w:trPr>
                                <w:trHeight w:val="1026"/>
                              </w:trPr>
                              <w:tc>
                                <w:tcPr>
                                  <w:tcW w:w="4914" w:type="dxa"/>
                                </w:tcPr>
                                <w:p w14:paraId="7FDCF53D"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Macroeconomic Pressures</w:t>
                                  </w:r>
                                  <w:r>
                                    <w:rPr>
                                      <w:rFonts w:ascii="Cambria" w:hAnsi="Cambria"/>
                                      <w:sz w:val="24"/>
                                      <w:szCs w:val="24"/>
                                    </w:rPr>
                                    <w:t xml:space="preserve"> - </w:t>
                                  </w:r>
                                  <w:r w:rsidRPr="00A949B6">
                                    <w:rPr>
                                      <w:rFonts w:ascii="Cambria" w:hAnsi="Cambria"/>
                                      <w:sz w:val="24"/>
                                      <w:szCs w:val="24"/>
                                    </w:rPr>
                                    <w:t>Rising inflation, interest rates, and competition in the retail sector are squeezing Carrefour’s margins.</w:t>
                                  </w:r>
                                </w:p>
                              </w:tc>
                              <w:tc>
                                <w:tcPr>
                                  <w:tcW w:w="4915" w:type="dxa"/>
                                </w:tcPr>
                                <w:p w14:paraId="5AB91DB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 xml:space="preserve">Investors should monitor </w:t>
                                  </w:r>
                                  <w:r>
                                    <w:rPr>
                                      <w:rFonts w:ascii="Cambria" w:hAnsi="Cambria"/>
                                      <w:sz w:val="24"/>
                                      <w:szCs w:val="24"/>
                                    </w:rPr>
                                    <w:t>their</w:t>
                                  </w:r>
                                  <w:r w:rsidRPr="00A949B6">
                                    <w:rPr>
                                      <w:rFonts w:ascii="Cambria" w:hAnsi="Cambria"/>
                                      <w:sz w:val="24"/>
                                      <w:szCs w:val="24"/>
                                    </w:rPr>
                                    <w:t xml:space="preserve"> ability to adapt, optimize cost structures, and drive profitability.</w:t>
                                  </w:r>
                                </w:p>
                              </w:tc>
                            </w:tr>
                          </w:tbl>
                          <w:p w14:paraId="0BC254FD" w14:textId="3C4661E2" w:rsidR="00527BB1" w:rsidRDefault="00527B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DB639" id="_x0000_s1041" type="#_x0000_t202" style="position:absolute;left:0;text-align:left;margin-left:-10pt;margin-top:364pt;width:532pt;height:30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" filled="f" stroked="f">
                <v:textbox>
                  <w:txbxContent>
                    <w:tbl>
                      <w:tblPr>
                        <w:tblStyle w:val="TableGrid"/>
                        <w:tblW w:w="0" w:type="auto"/>
                        <w:tblLook w:val="04A0" w:firstRow="1" w:lastRow="0" w:firstColumn="1" w:lastColumn="0" w:noHBand="0" w:noVBand="1"/>
                      </w:tblPr>
                      <w:tblGrid>
                        <w:gridCol w:w="4914"/>
                        <w:gridCol w:w="4916"/>
                      </w:tblGrid>
                      <w:tr w:rsidR="00527BB1" w14:paraId="4176EB7C" w14:textId="77777777" w:rsidTr="00D25B0F">
                        <w:trPr>
                          <w:trHeight w:val="435"/>
                        </w:trPr>
                        <w:tc>
                          <w:tcPr>
                            <w:tcW w:w="9830" w:type="dxa"/>
                            <w:gridSpan w:val="2"/>
                          </w:tcPr>
                          <w:p w14:paraId="6EE42546" w14:textId="77777777" w:rsidR="00527BB1" w:rsidRPr="00A949B6" w:rsidRDefault="00527BB1" w:rsidP="00527BB1">
                            <w:pPr>
                              <w:spacing w:beforeLines="20" w:before="48" w:afterLines="40" w:after="96"/>
                              <w:jc w:val="center"/>
                              <w:rPr>
                                <w:rFonts w:ascii="Cambria" w:hAnsi="Cambria"/>
                                <w:b/>
                                <w:bCs/>
                                <w:sz w:val="24"/>
                                <w:szCs w:val="24"/>
                              </w:rPr>
                            </w:pPr>
                            <w:r>
                              <w:rPr>
                                <w:rFonts w:ascii="Cambria" w:hAnsi="Cambria"/>
                                <w:b/>
                                <w:bCs/>
                                <w:sz w:val="24"/>
                                <w:szCs w:val="24"/>
                              </w:rPr>
                              <w:t>Key Risks and Considerations</w:t>
                            </w:r>
                          </w:p>
                        </w:tc>
                      </w:tr>
                      <w:tr w:rsidR="00527BB1" w14:paraId="3335B624" w14:textId="77777777" w:rsidTr="00D25B0F">
                        <w:trPr>
                          <w:trHeight w:val="1040"/>
                        </w:trPr>
                        <w:tc>
                          <w:tcPr>
                            <w:tcW w:w="4914" w:type="dxa"/>
                          </w:tcPr>
                          <w:p w14:paraId="0A34D409"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Declining Market Value of Equity</w:t>
                            </w:r>
                            <w:r>
                              <w:rPr>
                                <w:rFonts w:ascii="Cambria" w:hAnsi="Cambria"/>
                                <w:sz w:val="24"/>
                                <w:szCs w:val="24"/>
                              </w:rPr>
                              <w:t xml:space="preserve"> - </w:t>
                            </w:r>
                            <w:r>
                              <w:rPr>
                                <w:rFonts w:ascii="Cambria" w:hAnsi="Cambria"/>
                                <w:sz w:val="24"/>
                                <w:szCs w:val="24"/>
                              </w:rPr>
                              <w:br/>
                            </w:r>
                            <w:r w:rsidRPr="00A949B6">
                              <w:rPr>
                                <w:rFonts w:ascii="Cambria" w:hAnsi="Cambria"/>
                                <w:sz w:val="24"/>
                                <w:szCs w:val="24"/>
                              </w:rPr>
                              <w:t xml:space="preserve">Fell from </w:t>
                            </w:r>
                            <w:r>
                              <w:rPr>
                                <w:rFonts w:ascii="Cambria" w:hAnsi="Cambria"/>
                                <w:sz w:val="24"/>
                                <w:szCs w:val="24"/>
                              </w:rPr>
                              <w:t>$</w:t>
                            </w:r>
                            <w:r w:rsidRPr="00A949B6">
                              <w:rPr>
                                <w:rFonts w:ascii="Cambria" w:hAnsi="Cambria"/>
                                <w:sz w:val="24"/>
                                <w:szCs w:val="24"/>
                              </w:rPr>
                              <w:t xml:space="preserve">22.08B in 2019 to </w:t>
                            </w:r>
                            <w:r>
                              <w:rPr>
                                <w:rFonts w:ascii="Cambria" w:hAnsi="Cambria"/>
                                <w:sz w:val="24"/>
                                <w:szCs w:val="24"/>
                              </w:rPr>
                              <w:t>$</w:t>
                            </w:r>
                            <w:r w:rsidRPr="00A949B6">
                              <w:rPr>
                                <w:rFonts w:ascii="Cambria" w:hAnsi="Cambria"/>
                                <w:sz w:val="24"/>
                                <w:szCs w:val="24"/>
                              </w:rPr>
                              <w:t>0.77B in 2024, reflecting severe investor concerns</w:t>
                            </w:r>
                          </w:p>
                        </w:tc>
                        <w:tc>
                          <w:tcPr>
                            <w:tcW w:w="4915" w:type="dxa"/>
                          </w:tcPr>
                          <w:p w14:paraId="27B70489" w14:textId="77777777" w:rsidR="00527BB1" w:rsidRDefault="00527BB1" w:rsidP="00527BB1">
                            <w:pPr>
                              <w:spacing w:beforeLines="20" w:before="48" w:afterLines="40" w:after="96"/>
                              <w:jc w:val="both"/>
                              <w:rPr>
                                <w:rFonts w:ascii="Cambria" w:hAnsi="Cambria"/>
                                <w:sz w:val="24"/>
                                <w:szCs w:val="24"/>
                              </w:rPr>
                            </w:pPr>
                            <w:r>
                              <w:rPr>
                                <w:rFonts w:ascii="Cambria" w:hAnsi="Cambria"/>
                                <w:sz w:val="24"/>
                                <w:szCs w:val="24"/>
                              </w:rPr>
                              <w:t>I</w:t>
                            </w:r>
                            <w:r w:rsidRPr="00A949B6">
                              <w:rPr>
                                <w:rFonts w:ascii="Cambria" w:hAnsi="Cambria"/>
                                <w:sz w:val="24"/>
                                <w:szCs w:val="24"/>
                              </w:rPr>
                              <w:t>ndicates worsening market perception and potential difficulty in raising capital.</w:t>
                            </w:r>
                          </w:p>
                        </w:tc>
                      </w:tr>
                      <w:tr w:rsidR="00527BB1" w14:paraId="5B7CB27C" w14:textId="77777777" w:rsidTr="00D25B0F">
                        <w:trPr>
                          <w:trHeight w:val="1040"/>
                        </w:trPr>
                        <w:tc>
                          <w:tcPr>
                            <w:tcW w:w="4914" w:type="dxa"/>
                          </w:tcPr>
                          <w:p w14:paraId="2E9949A9"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Rising Default Probability</w:t>
                            </w:r>
                            <w:r>
                              <w:rPr>
                                <w:rFonts w:ascii="Cambria" w:hAnsi="Cambria"/>
                                <w:sz w:val="24"/>
                                <w:szCs w:val="24"/>
                              </w:rPr>
                              <w:t xml:space="preserve"> - </w:t>
                            </w:r>
                            <w:r w:rsidRPr="00A949B6">
                              <w:rPr>
                                <w:rFonts w:ascii="Cambria" w:hAnsi="Cambria"/>
                                <w:sz w:val="24"/>
                                <w:szCs w:val="24"/>
                              </w:rPr>
                              <w:t>Increased from 0% in 2019 to 10% in 2022, before recovering to 2% in 2024</w:t>
                            </w:r>
                          </w:p>
                        </w:tc>
                        <w:tc>
                          <w:tcPr>
                            <w:tcW w:w="4915" w:type="dxa"/>
                          </w:tcPr>
                          <w:p w14:paraId="49ABB64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 xml:space="preserve">Despite a partial recovery, the past default concerns highlight </w:t>
                            </w:r>
                            <w:r>
                              <w:rPr>
                                <w:rFonts w:ascii="Cambria" w:hAnsi="Cambria"/>
                                <w:sz w:val="24"/>
                                <w:szCs w:val="24"/>
                              </w:rPr>
                              <w:t>their</w:t>
                            </w:r>
                            <w:r w:rsidRPr="00A949B6">
                              <w:rPr>
                                <w:rFonts w:ascii="Cambria" w:hAnsi="Cambria"/>
                                <w:sz w:val="24"/>
                                <w:szCs w:val="24"/>
                              </w:rPr>
                              <w:t xml:space="preserve"> fragile financial standing.</w:t>
                            </w:r>
                          </w:p>
                        </w:tc>
                      </w:tr>
                      <w:tr w:rsidR="00527BB1" w14:paraId="45A4639C" w14:textId="77777777" w:rsidTr="00D25B0F">
                        <w:trPr>
                          <w:trHeight w:val="1040"/>
                        </w:trPr>
                        <w:tc>
                          <w:tcPr>
                            <w:tcW w:w="4914" w:type="dxa"/>
                          </w:tcPr>
                          <w:p w14:paraId="59D82014"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Increased Leverage &amp; Liabilities</w:t>
                            </w:r>
                            <w:r>
                              <w:rPr>
                                <w:rFonts w:ascii="Cambria" w:hAnsi="Cambria"/>
                                <w:sz w:val="24"/>
                                <w:szCs w:val="24"/>
                              </w:rPr>
                              <w:t xml:space="preserve"> - </w:t>
                            </w:r>
                            <w:r w:rsidRPr="00A949B6">
                              <w:rPr>
                                <w:rFonts w:ascii="Cambria" w:hAnsi="Cambria"/>
                                <w:sz w:val="24"/>
                                <w:szCs w:val="24"/>
                              </w:rPr>
                              <w:t xml:space="preserve">Liabilities grew from </w:t>
                            </w:r>
                            <w:r>
                              <w:rPr>
                                <w:rFonts w:ascii="Cambria" w:hAnsi="Cambria"/>
                                <w:sz w:val="24"/>
                                <w:szCs w:val="24"/>
                              </w:rPr>
                              <w:t>$</w:t>
                            </w:r>
                            <w:r w:rsidRPr="00A949B6">
                              <w:rPr>
                                <w:rFonts w:ascii="Cambria" w:hAnsi="Cambria"/>
                                <w:sz w:val="24"/>
                                <w:szCs w:val="24"/>
                              </w:rPr>
                              <w:t xml:space="preserve">3.04B in 2019 to </w:t>
                            </w:r>
                            <w:r>
                              <w:rPr>
                                <w:rFonts w:ascii="Cambria" w:hAnsi="Cambria"/>
                                <w:sz w:val="24"/>
                                <w:szCs w:val="24"/>
                              </w:rPr>
                              <w:t>$</w:t>
                            </w:r>
                            <w:r w:rsidRPr="00A949B6">
                              <w:rPr>
                                <w:rFonts w:ascii="Cambria" w:hAnsi="Cambria"/>
                                <w:sz w:val="24"/>
                                <w:szCs w:val="24"/>
                              </w:rPr>
                              <w:t>5.73B in 2023, putting pressure on cash flows.</w:t>
                            </w:r>
                          </w:p>
                        </w:tc>
                        <w:tc>
                          <w:tcPr>
                            <w:tcW w:w="4915" w:type="dxa"/>
                          </w:tcPr>
                          <w:p w14:paraId="535381B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Higher debt levels could lead to credit downgrades, making refinancing more expensive.</w:t>
                            </w:r>
                          </w:p>
                        </w:tc>
                      </w:tr>
                      <w:tr w:rsidR="00527BB1" w14:paraId="7054CA2C" w14:textId="77777777" w:rsidTr="00D25B0F">
                        <w:trPr>
                          <w:trHeight w:val="1040"/>
                        </w:trPr>
                        <w:tc>
                          <w:tcPr>
                            <w:tcW w:w="4914" w:type="dxa"/>
                          </w:tcPr>
                          <w:p w14:paraId="4E8E2380"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Fluctuating Equity Volatility</w:t>
                            </w:r>
                            <w:r>
                              <w:rPr>
                                <w:rFonts w:ascii="Cambria" w:hAnsi="Cambria"/>
                                <w:sz w:val="24"/>
                                <w:szCs w:val="24"/>
                              </w:rPr>
                              <w:t xml:space="preserve"> - </w:t>
                            </w:r>
                            <w:r w:rsidRPr="00A949B6">
                              <w:rPr>
                                <w:rFonts w:ascii="Cambria" w:hAnsi="Cambria"/>
                                <w:sz w:val="24"/>
                                <w:szCs w:val="24"/>
                              </w:rPr>
                              <w:t>Surged to 0.85 in 2022, signalling instability, before stabilizing at 0.49 in 2024.</w:t>
                            </w:r>
                          </w:p>
                        </w:tc>
                        <w:tc>
                          <w:tcPr>
                            <w:tcW w:w="4915" w:type="dxa"/>
                          </w:tcPr>
                          <w:p w14:paraId="3DF4B872"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Indicates continued uncertainty around Carrefour’s asset valuation and operational outlook.</w:t>
                            </w:r>
                          </w:p>
                        </w:tc>
                      </w:tr>
                      <w:tr w:rsidR="00527BB1" w14:paraId="0AB5FFBA" w14:textId="77777777" w:rsidTr="00D25B0F">
                        <w:trPr>
                          <w:trHeight w:val="1026"/>
                        </w:trPr>
                        <w:tc>
                          <w:tcPr>
                            <w:tcW w:w="4914" w:type="dxa"/>
                          </w:tcPr>
                          <w:p w14:paraId="7FDCF53D"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b/>
                                <w:bCs/>
                                <w:sz w:val="24"/>
                                <w:szCs w:val="24"/>
                              </w:rPr>
                              <w:t>Macroeconomic Pressures</w:t>
                            </w:r>
                            <w:r>
                              <w:rPr>
                                <w:rFonts w:ascii="Cambria" w:hAnsi="Cambria"/>
                                <w:sz w:val="24"/>
                                <w:szCs w:val="24"/>
                              </w:rPr>
                              <w:t xml:space="preserve"> - </w:t>
                            </w:r>
                            <w:r w:rsidRPr="00A949B6">
                              <w:rPr>
                                <w:rFonts w:ascii="Cambria" w:hAnsi="Cambria"/>
                                <w:sz w:val="24"/>
                                <w:szCs w:val="24"/>
                              </w:rPr>
                              <w:t>Rising inflation, interest rates, and competition in the retail sector are squeezing Carrefour’s margins.</w:t>
                            </w:r>
                          </w:p>
                        </w:tc>
                        <w:tc>
                          <w:tcPr>
                            <w:tcW w:w="4915" w:type="dxa"/>
                          </w:tcPr>
                          <w:p w14:paraId="5AB91DB8" w14:textId="77777777" w:rsidR="00527BB1" w:rsidRDefault="00527BB1" w:rsidP="00527BB1">
                            <w:pPr>
                              <w:spacing w:beforeLines="20" w:before="48" w:afterLines="40" w:after="96"/>
                              <w:jc w:val="both"/>
                              <w:rPr>
                                <w:rFonts w:ascii="Cambria" w:hAnsi="Cambria"/>
                                <w:sz w:val="24"/>
                                <w:szCs w:val="24"/>
                              </w:rPr>
                            </w:pPr>
                            <w:r w:rsidRPr="00A949B6">
                              <w:rPr>
                                <w:rFonts w:ascii="Cambria" w:hAnsi="Cambria"/>
                                <w:sz w:val="24"/>
                                <w:szCs w:val="24"/>
                              </w:rPr>
                              <w:t xml:space="preserve">Investors should monitor </w:t>
                            </w:r>
                            <w:r>
                              <w:rPr>
                                <w:rFonts w:ascii="Cambria" w:hAnsi="Cambria"/>
                                <w:sz w:val="24"/>
                                <w:szCs w:val="24"/>
                              </w:rPr>
                              <w:t>their</w:t>
                            </w:r>
                            <w:r w:rsidRPr="00A949B6">
                              <w:rPr>
                                <w:rFonts w:ascii="Cambria" w:hAnsi="Cambria"/>
                                <w:sz w:val="24"/>
                                <w:szCs w:val="24"/>
                              </w:rPr>
                              <w:t xml:space="preserve"> ability to adapt, optimize cost structures, and drive profitability.</w:t>
                            </w:r>
                          </w:p>
                        </w:tc>
                      </w:tr>
                    </w:tbl>
                    <w:p w14:paraId="0BC254FD" w14:textId="3C4661E2" w:rsidR="00527BB1" w:rsidRDefault="00527BB1"/>
                  </w:txbxContent>
                </v:textbox>
                <w10:wrap type="square"/>
              </v:shape>
            </w:pict>
          </mc:Fallback>
        </mc:AlternateContent>
      </w:r>
      <w:r w:rsidR="00C66FFE" w:rsidRPr="00456405">
        <w:rPr>
          <w:rFonts w:ascii="Cambria" w:hAnsi="Cambria"/>
          <w:sz w:val="24"/>
          <w:szCs w:val="24"/>
        </w:rPr>
        <w:t xml:space="preserve">regain confidence. </w:t>
      </w:r>
      <w:r w:rsidR="00A949B6" w:rsidRPr="00456405">
        <w:rPr>
          <w:rFonts w:ascii="Cambria" w:hAnsi="Cambria"/>
          <w:sz w:val="24"/>
          <w:szCs w:val="24"/>
        </w:rPr>
        <w:tab/>
      </w:r>
      <w:r w:rsidR="00A949B6" w:rsidRPr="00456405">
        <w:rPr>
          <w:rFonts w:ascii="Cambria" w:hAnsi="Cambria"/>
          <w:sz w:val="24"/>
          <w:szCs w:val="24"/>
        </w:rPr>
        <w:br/>
      </w:r>
      <w:r w:rsidR="008744F4" w:rsidRPr="00456405">
        <w:rPr>
          <w:rFonts w:ascii="Cambria" w:hAnsi="Cambria"/>
          <w:b/>
          <w:bCs/>
          <w:sz w:val="24"/>
          <w:szCs w:val="24"/>
        </w:rPr>
        <w:br/>
      </w:r>
      <w:r w:rsidR="00766D00" w:rsidRPr="00456405">
        <w:rPr>
          <w:rFonts w:ascii="Cambria" w:hAnsi="Cambria"/>
          <w:b/>
          <w:bCs/>
          <w:noProof/>
          <w:sz w:val="24"/>
          <w:szCs w:val="24"/>
        </w:rPr>
        <w:lastRenderedPageBreak/>
        <mc:AlternateContent>
          <mc:Choice Requires="wps">
            <w:drawing>
              <wp:anchor distT="45720" distB="45720" distL="114300" distR="114300" simplePos="0" relativeHeight="251694080" behindDoc="0" locked="0" layoutInCell="1" allowOverlap="1" wp14:anchorId="3B1A4BB9" wp14:editId="751EB320">
                <wp:simplePos x="0" y="0"/>
                <wp:positionH relativeFrom="margin">
                  <wp:align>center</wp:align>
                </wp:positionH>
                <wp:positionV relativeFrom="paragraph">
                  <wp:posOffset>3596640</wp:posOffset>
                </wp:positionV>
                <wp:extent cx="6370320" cy="2301240"/>
                <wp:effectExtent l="0" t="0" r="0" b="3810"/>
                <wp:wrapSquare wrapText="bothSides"/>
                <wp:docPr id="3234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2301240"/>
                        </a:xfrm>
                        <a:prstGeom prst="rect">
                          <a:avLst/>
                        </a:prstGeom>
                        <a:noFill/>
                        <a:ln w="9525">
                          <a:noFill/>
                          <a:miter lim="800000"/>
                          <a:headEnd/>
                          <a:tailEnd/>
                        </a:ln>
                      </wps:spPr>
                      <wps:txbx>
                        <w:txbxContent>
                          <w:p w14:paraId="3EF0AD0B" w14:textId="1944549E" w:rsidR="00A14CDC" w:rsidRDefault="00A14CDC" w:rsidP="00A14CDC">
                            <w:pPr>
                              <w:spacing w:beforeLines="20" w:before="48" w:afterLines="40" w:after="96" w:line="240" w:lineRule="auto"/>
                              <w:jc w:val="both"/>
                              <w:rPr>
                                <w:rFonts w:ascii="Cambria" w:hAnsi="Cambria"/>
                                <w:sz w:val="24"/>
                                <w:szCs w:val="24"/>
                              </w:rPr>
                            </w:pPr>
                            <w:r w:rsidRPr="00E11444">
                              <w:rPr>
                                <w:rFonts w:ascii="Cambria" w:hAnsi="Cambria"/>
                                <w:sz w:val="24"/>
                                <w:szCs w:val="24"/>
                              </w:rPr>
                              <w:t xml:space="preserve">Walmart and Costco maintain strong financial standing with Z-scores well above the distress threshold (&gt;4). Their strong revenue base backed by consistent cash flows and low leverage support the assessment of low credit risk, as confirmed by DD values above 10. </w:t>
                            </w:r>
                            <w:r w:rsidRPr="00E11444">
                              <w:rPr>
                                <w:rFonts w:ascii="Cambria" w:hAnsi="Cambria"/>
                                <w:sz w:val="24"/>
                                <w:szCs w:val="24"/>
                              </w:rPr>
                              <w:br/>
                              <w:t>Alibaba has seen a significant decline in Z-score (from 5.52 in 2019 to 2.80 in 2024),</w:t>
                            </w:r>
                            <w:r>
                              <w:rPr>
                                <w:rFonts w:ascii="Cambria" w:hAnsi="Cambria"/>
                                <w:b/>
                                <w:bCs/>
                                <w:sz w:val="24"/>
                                <w:szCs w:val="24"/>
                              </w:rPr>
                              <w:t xml:space="preserve"> </w:t>
                            </w:r>
                            <w:r>
                              <w:rPr>
                                <w:rFonts w:ascii="Cambria" w:hAnsi="Cambria"/>
                                <w:sz w:val="24"/>
                                <w:szCs w:val="24"/>
                              </w:rPr>
                              <w:t xml:space="preserve">indicating growing financial distress, amplified by regulatory constraints and increased market competition. DD suggests moderate distress risk. </w:t>
                            </w:r>
                            <w:r>
                              <w:rPr>
                                <w:rFonts w:ascii="Cambria" w:hAnsi="Cambria"/>
                                <w:sz w:val="24"/>
                                <w:szCs w:val="24"/>
                              </w:rPr>
                              <w:tab/>
                            </w:r>
                            <w:r>
                              <w:rPr>
                                <w:rFonts w:ascii="Cambria" w:hAnsi="Cambria"/>
                                <w:sz w:val="24"/>
                                <w:szCs w:val="24"/>
                              </w:rPr>
                              <w:br/>
                              <w:t xml:space="preserve">Carrefour’s Z-score consistently below 2.0, highlighting financial fragility. Although distress signals not imminent, company’s weak margins and high debt levels combined with recent operational inefficiencies increase credit risk. </w:t>
                            </w:r>
                            <w:r>
                              <w:rPr>
                                <w:rFonts w:ascii="Cambria" w:hAnsi="Cambria"/>
                                <w:sz w:val="24"/>
                                <w:szCs w:val="24"/>
                              </w:rPr>
                              <w:tab/>
                            </w:r>
                            <w:r>
                              <w:rPr>
                                <w:rFonts w:ascii="Cambria" w:hAnsi="Cambria"/>
                                <w:sz w:val="24"/>
                                <w:szCs w:val="24"/>
                              </w:rPr>
                              <w:br/>
                              <w:t>Magazine Luiza has the weakest credit profile amongst the peers, with Z-score of 1.42, placing them firmly in the high-risk default category. DD of just 2.12 confirms this reflecting significant scepticism regarding their solvency.</w:t>
                            </w:r>
                          </w:p>
                          <w:p w14:paraId="6938A603" w14:textId="2EE4C41D" w:rsidR="00A14CDC" w:rsidRDefault="00A14CDC" w:rsidP="00A14CD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A4BB9" id="_x0000_s1042" type="#_x0000_t202" style="position:absolute;left:0;text-align:left;margin-left:0;margin-top:283.2pt;width:501.6pt;height:181.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" filled="f" stroked="f">
                <v:textbox>
                  <w:txbxContent>
                    <w:p w14:paraId="3EF0AD0B" w14:textId="1944549E" w:rsidR="00A14CDC" w:rsidRDefault="00A14CDC" w:rsidP="00A14CDC">
                      <w:pPr>
                        <w:spacing w:beforeLines="20" w:before="48" w:afterLines="40" w:after="96" w:line="240" w:lineRule="auto"/>
                        <w:jc w:val="both"/>
                        <w:rPr>
                          <w:rFonts w:ascii="Cambria" w:hAnsi="Cambria"/>
                          <w:sz w:val="24"/>
                          <w:szCs w:val="24"/>
                        </w:rPr>
                      </w:pPr>
                      <w:r w:rsidRPr="00E11444">
                        <w:rPr>
                          <w:rFonts w:ascii="Cambria" w:hAnsi="Cambria"/>
                          <w:sz w:val="24"/>
                          <w:szCs w:val="24"/>
                        </w:rPr>
                        <w:t xml:space="preserve">Walmart and Costco maintain strong financial standing with Z-scores well above the distress threshold (&gt;4). Their strong revenue base backed by consistent cash flows and low leverage support the assessment of low credit risk, as confirmed by DD values above 10. </w:t>
                      </w:r>
                      <w:r w:rsidRPr="00E11444">
                        <w:rPr>
                          <w:rFonts w:ascii="Cambria" w:hAnsi="Cambria"/>
                          <w:sz w:val="24"/>
                          <w:szCs w:val="24"/>
                        </w:rPr>
                        <w:br/>
                        <w:t>Alibaba has seen a significant decline in Z-score (from 5.52 in 2019 to 2.80 in 2024),</w:t>
                      </w:r>
                      <w:r>
                        <w:rPr>
                          <w:rFonts w:ascii="Cambria" w:hAnsi="Cambria"/>
                          <w:b/>
                          <w:bCs/>
                          <w:sz w:val="24"/>
                          <w:szCs w:val="24"/>
                        </w:rPr>
                        <w:t xml:space="preserve"> </w:t>
                      </w:r>
                      <w:r>
                        <w:rPr>
                          <w:rFonts w:ascii="Cambria" w:hAnsi="Cambria"/>
                          <w:sz w:val="24"/>
                          <w:szCs w:val="24"/>
                        </w:rPr>
                        <w:t xml:space="preserve">indicating growing financial distress, amplified by regulatory constraints and increased market competition. DD suggests moderate distress risk. </w:t>
                      </w:r>
                      <w:r>
                        <w:rPr>
                          <w:rFonts w:ascii="Cambria" w:hAnsi="Cambria"/>
                          <w:sz w:val="24"/>
                          <w:szCs w:val="24"/>
                        </w:rPr>
                        <w:tab/>
                      </w:r>
                      <w:r>
                        <w:rPr>
                          <w:rFonts w:ascii="Cambria" w:hAnsi="Cambria"/>
                          <w:sz w:val="24"/>
                          <w:szCs w:val="24"/>
                        </w:rPr>
                        <w:br/>
                        <w:t xml:space="preserve">Carrefour’s Z-score consistently below 2.0, highlighting financial fragility. Although distress signals not imminent, company’s weak margins and high debt levels combined with recent operational inefficiencies increase credit risk. </w:t>
                      </w:r>
                      <w:r>
                        <w:rPr>
                          <w:rFonts w:ascii="Cambria" w:hAnsi="Cambria"/>
                          <w:sz w:val="24"/>
                          <w:szCs w:val="24"/>
                        </w:rPr>
                        <w:tab/>
                      </w:r>
                      <w:r>
                        <w:rPr>
                          <w:rFonts w:ascii="Cambria" w:hAnsi="Cambria"/>
                          <w:sz w:val="24"/>
                          <w:szCs w:val="24"/>
                        </w:rPr>
                        <w:br/>
                        <w:t>Magazine Luiza has the weakest credit profile amongst the peers, with Z-score of 1.42, placing them firmly in the high-risk default category. DD of just 2.12 confirms this reflecting significant scepticism regarding their solvency.</w:t>
                      </w:r>
                    </w:p>
                    <w:p w14:paraId="6938A603" w14:textId="2EE4C41D" w:rsidR="00A14CDC" w:rsidRDefault="00A14CDC" w:rsidP="00A14CDC">
                      <w:pPr>
                        <w:jc w:val="both"/>
                      </w:pPr>
                    </w:p>
                  </w:txbxContent>
                </v:textbox>
                <w10:wrap type="square" anchorx="margin"/>
              </v:shape>
            </w:pict>
          </mc:Fallback>
        </mc:AlternateContent>
      </w:r>
      <w:r w:rsidR="00356FFC" w:rsidRPr="00456405">
        <w:rPr>
          <w:rFonts w:ascii="Cambria" w:hAnsi="Cambria"/>
          <w:b/>
          <w:bCs/>
          <w:noProof/>
          <w:sz w:val="24"/>
          <w:szCs w:val="24"/>
        </w:rPr>
        <mc:AlternateContent>
          <mc:Choice Requires="wps">
            <w:drawing>
              <wp:anchor distT="45720" distB="45720" distL="114300" distR="114300" simplePos="0" relativeHeight="251700224" behindDoc="0" locked="0" layoutInCell="1" allowOverlap="1" wp14:anchorId="5A3CCB02" wp14:editId="16FFB23D">
                <wp:simplePos x="0" y="0"/>
                <wp:positionH relativeFrom="margin">
                  <wp:posOffset>-99060</wp:posOffset>
                </wp:positionH>
                <wp:positionV relativeFrom="paragraph">
                  <wp:posOffset>3162300</wp:posOffset>
                </wp:positionV>
                <wp:extent cx="6347460" cy="411480"/>
                <wp:effectExtent l="0" t="0" r="0" b="0"/>
                <wp:wrapSquare wrapText="bothSides"/>
                <wp:docPr id="1117534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411480"/>
                        </a:xfrm>
                        <a:prstGeom prst="rect">
                          <a:avLst/>
                        </a:prstGeom>
                        <a:noFill/>
                        <a:ln w="9525">
                          <a:noFill/>
                          <a:miter lim="800000"/>
                          <a:headEnd/>
                          <a:tailEnd/>
                        </a:ln>
                      </wps:spPr>
                      <wps:txbx>
                        <w:txbxContent>
                          <w:p w14:paraId="31333184" w14:textId="5D931404" w:rsidR="00356FFC" w:rsidRPr="00356FFC" w:rsidRDefault="00356FFC" w:rsidP="00356FFC">
                            <w:pPr>
                              <w:jc w:val="both"/>
                              <w:rPr>
                                <w:rFonts w:ascii="Cambria" w:hAnsi="Cambria"/>
                                <w:i/>
                                <w:iCs/>
                                <w:sz w:val="20"/>
                                <w:szCs w:val="20"/>
                                <w:lang w:val="en-US"/>
                              </w:rPr>
                            </w:pPr>
                            <w:r w:rsidRPr="00356FFC">
                              <w:rPr>
                                <w:rFonts w:ascii="Cambria" w:hAnsi="Cambria"/>
                                <w:b/>
                                <w:bCs/>
                                <w:i/>
                                <w:iCs/>
                                <w:sz w:val="20"/>
                                <w:szCs w:val="20"/>
                                <w:lang w:val="en-US"/>
                              </w:rPr>
                              <w:t xml:space="preserve">Table 6: </w:t>
                            </w:r>
                            <w:r w:rsidRPr="00356FFC">
                              <w:rPr>
                                <w:rFonts w:ascii="Cambria" w:hAnsi="Cambria"/>
                                <w:i/>
                                <w:iCs/>
                                <w:sz w:val="20"/>
                                <w:szCs w:val="20"/>
                                <w:lang w:val="en-US"/>
                              </w:rPr>
                              <w:t xml:space="preserve">Financial Performance and Credit Risk Overview – This table presents key financial performance and credit risk metrics for five major retailers.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CB02" id="_x0000_s1043" type="#_x0000_t202" style="position:absolute;left:0;text-align:left;margin-left:-7.8pt;margin-top:249pt;width:499.8pt;height:32.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" filled="f" stroked="f">
                <v:textbox>
                  <w:txbxContent>
                    <w:p w14:paraId="31333184" w14:textId="5D931404" w:rsidR="00356FFC" w:rsidRPr="00356FFC" w:rsidRDefault="00356FFC" w:rsidP="00356FFC">
                      <w:pPr>
                        <w:jc w:val="both"/>
                        <w:rPr>
                          <w:rFonts w:ascii="Cambria" w:hAnsi="Cambria"/>
                          <w:i/>
                          <w:iCs/>
                          <w:sz w:val="20"/>
                          <w:szCs w:val="20"/>
                          <w:lang w:val="en-US"/>
                        </w:rPr>
                      </w:pPr>
                      <w:r w:rsidRPr="00356FFC">
                        <w:rPr>
                          <w:rFonts w:ascii="Cambria" w:hAnsi="Cambria"/>
                          <w:b/>
                          <w:bCs/>
                          <w:i/>
                          <w:iCs/>
                          <w:sz w:val="20"/>
                          <w:szCs w:val="20"/>
                          <w:lang w:val="en-US"/>
                        </w:rPr>
                        <w:t xml:space="preserve">Table 6: </w:t>
                      </w:r>
                      <w:r w:rsidRPr="00356FFC">
                        <w:rPr>
                          <w:rFonts w:ascii="Cambria" w:hAnsi="Cambria"/>
                          <w:i/>
                          <w:iCs/>
                          <w:sz w:val="20"/>
                          <w:szCs w:val="20"/>
                          <w:lang w:val="en-US"/>
                        </w:rPr>
                        <w:t xml:space="preserve">Financial Performance and Credit Risk Overview – This table presents key financial performance and credit risk metrics for five major retailers. </w:t>
                      </w:r>
                    </w:p>
                  </w:txbxContent>
                </v:textbox>
                <w10:wrap type="square" anchorx="margin"/>
              </v:shape>
            </w:pict>
          </mc:Fallback>
        </mc:AlternateContent>
      </w:r>
      <w:r w:rsidR="00704293" w:rsidRPr="00456405">
        <w:rPr>
          <w:rFonts w:ascii="Cambria" w:hAnsi="Cambria"/>
          <w:b/>
          <w:bCs/>
          <w:noProof/>
          <w:sz w:val="24"/>
          <w:szCs w:val="24"/>
        </w:rPr>
        <mc:AlternateContent>
          <mc:Choice Requires="wps">
            <w:drawing>
              <wp:anchor distT="45720" distB="45720" distL="114300" distR="114300" simplePos="0" relativeHeight="251687936" behindDoc="0" locked="0" layoutInCell="1" allowOverlap="1" wp14:anchorId="6ADEDE05" wp14:editId="76ED9490">
                <wp:simplePos x="0" y="0"/>
                <wp:positionH relativeFrom="margin">
                  <wp:posOffset>-106680</wp:posOffset>
                </wp:positionH>
                <wp:positionV relativeFrom="paragraph">
                  <wp:posOffset>327660</wp:posOffset>
                </wp:positionV>
                <wp:extent cx="6728460" cy="2766060"/>
                <wp:effectExtent l="0" t="0" r="0" b="0"/>
                <wp:wrapSquare wrapText="bothSides"/>
                <wp:docPr id="14971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2766060"/>
                        </a:xfrm>
                        <a:prstGeom prst="rect">
                          <a:avLst/>
                        </a:prstGeom>
                        <a:noFill/>
                        <a:ln w="9525">
                          <a:noFill/>
                          <a:miter lim="800000"/>
                          <a:headEnd/>
                          <a:tailEnd/>
                        </a:ln>
                      </wps:spPr>
                      <wps:txbx>
                        <w:txbxContent>
                          <w:tbl>
                            <w:tblPr>
                              <w:tblStyle w:val="TableGrid"/>
                              <w:tblW w:w="9742" w:type="dxa"/>
                              <w:tblLook w:val="04A0" w:firstRow="1" w:lastRow="0" w:firstColumn="1" w:lastColumn="0" w:noHBand="0" w:noVBand="1"/>
                            </w:tblPr>
                            <w:tblGrid>
                              <w:gridCol w:w="1592"/>
                              <w:gridCol w:w="1082"/>
                              <w:gridCol w:w="1188"/>
                              <w:gridCol w:w="976"/>
                              <w:gridCol w:w="1780"/>
                              <w:gridCol w:w="963"/>
                              <w:gridCol w:w="966"/>
                              <w:gridCol w:w="1195"/>
                            </w:tblGrid>
                            <w:tr w:rsidR="002C05C6" w:rsidRPr="00704293" w14:paraId="3F89AA96" w14:textId="77777777" w:rsidTr="002C05C6">
                              <w:trPr>
                                <w:trHeight w:val="1311"/>
                              </w:trPr>
                              <w:tc>
                                <w:tcPr>
                                  <w:tcW w:w="1599" w:type="dxa"/>
                                </w:tcPr>
                                <w:p w14:paraId="582612E2"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Company</w:t>
                                  </w:r>
                                </w:p>
                              </w:tc>
                              <w:tc>
                                <w:tcPr>
                                  <w:tcW w:w="1071" w:type="dxa"/>
                                </w:tcPr>
                                <w:p w14:paraId="47AF5679"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Revenue</w:t>
                                  </w:r>
                                  <w:r w:rsidRPr="00704293">
                                    <w:rPr>
                                      <w:rFonts w:ascii="Cambria" w:hAnsi="Cambria"/>
                                      <w:b/>
                                      <w:bCs/>
                                    </w:rPr>
                                    <w:br/>
                                    <w:t>($B; FY2024)</w:t>
                                  </w:r>
                                </w:p>
                              </w:tc>
                              <w:tc>
                                <w:tcPr>
                                  <w:tcW w:w="1191" w:type="dxa"/>
                                </w:tcPr>
                                <w:p w14:paraId="2C9528CA" w14:textId="7BD0CA4C" w:rsidR="00704293" w:rsidRPr="00704293" w:rsidRDefault="00704293" w:rsidP="00704293">
                                  <w:pPr>
                                    <w:spacing w:beforeLines="20" w:before="48" w:afterLines="40" w:after="96"/>
                                    <w:rPr>
                                      <w:rFonts w:ascii="Cambria" w:hAnsi="Cambria"/>
                                      <w:b/>
                                      <w:bCs/>
                                    </w:rPr>
                                  </w:pPr>
                                  <w:r w:rsidRPr="00704293">
                                    <w:rPr>
                                      <w:rFonts w:ascii="Cambria" w:hAnsi="Cambria"/>
                                      <w:b/>
                                      <w:bCs/>
                                    </w:rPr>
                                    <w:t>EBITDA Margin (%)</w:t>
                                  </w:r>
                                </w:p>
                              </w:tc>
                              <w:tc>
                                <w:tcPr>
                                  <w:tcW w:w="976" w:type="dxa"/>
                                </w:tcPr>
                                <w:p w14:paraId="714A9623"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Net Income Margin (%)</w:t>
                                  </w:r>
                                </w:p>
                              </w:tc>
                              <w:tc>
                                <w:tcPr>
                                  <w:tcW w:w="1780" w:type="dxa"/>
                                </w:tcPr>
                                <w:p w14:paraId="556EA4DD"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Credit Rating</w:t>
                                  </w:r>
                                  <w:r w:rsidRPr="00704293">
                                    <w:rPr>
                                      <w:rFonts w:ascii="Cambria" w:hAnsi="Cambria"/>
                                      <w:b/>
                                      <w:bCs/>
                                    </w:rPr>
                                    <w:br/>
                                    <w:t>(S&amp;P/Moody’s)</w:t>
                                  </w:r>
                                </w:p>
                              </w:tc>
                              <w:tc>
                                <w:tcPr>
                                  <w:tcW w:w="963" w:type="dxa"/>
                                </w:tcPr>
                                <w:p w14:paraId="10B79EB6"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Altman Z-Score</w:t>
                                  </w:r>
                                  <w:r w:rsidRPr="00704293">
                                    <w:rPr>
                                      <w:rFonts w:ascii="Cambria" w:hAnsi="Cambria"/>
                                      <w:b/>
                                      <w:bCs/>
                                    </w:rPr>
                                    <w:br/>
                                    <w:t>(2024)</w:t>
                                  </w:r>
                                </w:p>
                              </w:tc>
                              <w:tc>
                                <w:tcPr>
                                  <w:tcW w:w="966" w:type="dxa"/>
                                </w:tcPr>
                                <w:p w14:paraId="6F505939"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Merton Model DD</w:t>
                                  </w:r>
                                  <w:r w:rsidRPr="00704293">
                                    <w:rPr>
                                      <w:rFonts w:ascii="Cambria" w:hAnsi="Cambria"/>
                                      <w:b/>
                                      <w:bCs/>
                                    </w:rPr>
                                    <w:br/>
                                    <w:t>(2024)</w:t>
                                  </w:r>
                                </w:p>
                              </w:tc>
                              <w:tc>
                                <w:tcPr>
                                  <w:tcW w:w="1196" w:type="dxa"/>
                                </w:tcPr>
                                <w:p w14:paraId="787BC6E1" w14:textId="6A6590B4" w:rsidR="00704293" w:rsidRPr="00704293" w:rsidRDefault="00704293" w:rsidP="00704293">
                                  <w:pPr>
                                    <w:spacing w:beforeLines="20" w:before="48" w:afterLines="40" w:after="96"/>
                                    <w:rPr>
                                      <w:rFonts w:ascii="Cambria" w:hAnsi="Cambria"/>
                                      <w:b/>
                                      <w:bCs/>
                                    </w:rPr>
                                  </w:pPr>
                                  <w:r w:rsidRPr="00704293">
                                    <w:rPr>
                                      <w:rFonts w:ascii="Cambria" w:hAnsi="Cambria"/>
                                      <w:b/>
                                      <w:bCs/>
                                    </w:rPr>
                                    <w:t>Risk Category</w:t>
                                  </w:r>
                                </w:p>
                              </w:tc>
                            </w:tr>
                            <w:tr w:rsidR="002C05C6" w:rsidRPr="00704293" w14:paraId="758EDE9F" w14:textId="77777777" w:rsidTr="002C05C6">
                              <w:trPr>
                                <w:trHeight w:val="736"/>
                              </w:trPr>
                              <w:tc>
                                <w:tcPr>
                                  <w:tcW w:w="1599" w:type="dxa"/>
                                </w:tcPr>
                                <w:p w14:paraId="1F621848"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Walmart Inc.</w:t>
                                  </w:r>
                                </w:p>
                              </w:tc>
                              <w:tc>
                                <w:tcPr>
                                  <w:tcW w:w="1071" w:type="dxa"/>
                                </w:tcPr>
                                <w:p w14:paraId="114A4931" w14:textId="77777777" w:rsidR="00704293" w:rsidRPr="00704293" w:rsidRDefault="00704293" w:rsidP="00704293">
                                  <w:pPr>
                                    <w:spacing w:beforeLines="20" w:before="48" w:afterLines="40" w:after="96"/>
                                    <w:rPr>
                                      <w:rFonts w:ascii="Cambria" w:hAnsi="Cambria"/>
                                    </w:rPr>
                                  </w:pPr>
                                  <w:r w:rsidRPr="00704293">
                                    <w:rPr>
                                      <w:rFonts w:ascii="Cambria" w:hAnsi="Cambria"/>
                                    </w:rPr>
                                    <w:t>$648.1B</w:t>
                                  </w:r>
                                </w:p>
                              </w:tc>
                              <w:tc>
                                <w:tcPr>
                                  <w:tcW w:w="1191" w:type="dxa"/>
                                </w:tcPr>
                                <w:p w14:paraId="69E697C4" w14:textId="77777777" w:rsidR="00704293" w:rsidRPr="00704293" w:rsidRDefault="00704293" w:rsidP="00704293">
                                  <w:pPr>
                                    <w:spacing w:beforeLines="20" w:before="48" w:afterLines="40" w:after="96"/>
                                    <w:rPr>
                                      <w:rFonts w:ascii="Cambria" w:hAnsi="Cambria"/>
                                    </w:rPr>
                                  </w:pPr>
                                  <w:r w:rsidRPr="00704293">
                                    <w:rPr>
                                      <w:rFonts w:ascii="Cambria" w:hAnsi="Cambria"/>
                                    </w:rPr>
                                    <w:t>6.0%</w:t>
                                  </w:r>
                                </w:p>
                              </w:tc>
                              <w:tc>
                                <w:tcPr>
                                  <w:tcW w:w="976" w:type="dxa"/>
                                </w:tcPr>
                                <w:p w14:paraId="4E593888" w14:textId="77777777" w:rsidR="00704293" w:rsidRPr="00704293" w:rsidRDefault="00704293" w:rsidP="00704293">
                                  <w:pPr>
                                    <w:spacing w:beforeLines="20" w:before="48" w:afterLines="40" w:after="96"/>
                                    <w:rPr>
                                      <w:rFonts w:ascii="Cambria" w:hAnsi="Cambria"/>
                                    </w:rPr>
                                  </w:pPr>
                                  <w:r w:rsidRPr="00704293">
                                    <w:rPr>
                                      <w:rFonts w:ascii="Cambria" w:hAnsi="Cambria"/>
                                    </w:rPr>
                                    <w:t>2.4%</w:t>
                                  </w:r>
                                </w:p>
                              </w:tc>
                              <w:tc>
                                <w:tcPr>
                                  <w:tcW w:w="1780" w:type="dxa"/>
                                </w:tcPr>
                                <w:p w14:paraId="4FDA9CB0" w14:textId="77777777" w:rsidR="00704293" w:rsidRPr="00704293" w:rsidRDefault="00704293" w:rsidP="00704293">
                                  <w:pPr>
                                    <w:spacing w:beforeLines="20" w:before="48" w:afterLines="40" w:after="96"/>
                                    <w:rPr>
                                      <w:rFonts w:ascii="Cambria" w:hAnsi="Cambria"/>
                                    </w:rPr>
                                  </w:pPr>
                                  <w:r w:rsidRPr="00704293">
                                    <w:rPr>
                                      <w:rFonts w:ascii="Cambria" w:hAnsi="Cambria"/>
                                    </w:rPr>
                                    <w:t>AA / Aa2</w:t>
                                  </w:r>
                                </w:p>
                              </w:tc>
                              <w:tc>
                                <w:tcPr>
                                  <w:tcW w:w="963" w:type="dxa"/>
                                </w:tcPr>
                                <w:p w14:paraId="10B9D944" w14:textId="77777777" w:rsidR="00704293" w:rsidRPr="00704293" w:rsidRDefault="00704293" w:rsidP="00704293">
                                  <w:pPr>
                                    <w:spacing w:beforeLines="20" w:before="48" w:afterLines="40" w:after="96"/>
                                    <w:rPr>
                                      <w:rFonts w:ascii="Cambria" w:hAnsi="Cambria"/>
                                    </w:rPr>
                                  </w:pPr>
                                  <w:r w:rsidRPr="00704293">
                                    <w:rPr>
                                      <w:rFonts w:ascii="Cambria" w:hAnsi="Cambria"/>
                                    </w:rPr>
                                    <w:t>5.16</w:t>
                                  </w:r>
                                </w:p>
                              </w:tc>
                              <w:tc>
                                <w:tcPr>
                                  <w:tcW w:w="966" w:type="dxa"/>
                                </w:tcPr>
                                <w:p w14:paraId="44D0CA90" w14:textId="77777777" w:rsidR="00704293" w:rsidRPr="00704293" w:rsidRDefault="00704293" w:rsidP="00704293">
                                  <w:pPr>
                                    <w:spacing w:beforeLines="20" w:before="48" w:afterLines="40" w:after="96"/>
                                    <w:rPr>
                                      <w:rFonts w:ascii="Cambria" w:hAnsi="Cambria"/>
                                    </w:rPr>
                                  </w:pPr>
                                  <w:r w:rsidRPr="00704293">
                                    <w:rPr>
                                      <w:rFonts w:ascii="Cambria" w:hAnsi="Cambria"/>
                                    </w:rPr>
                                    <w:t>13.09</w:t>
                                  </w:r>
                                </w:p>
                              </w:tc>
                              <w:tc>
                                <w:tcPr>
                                  <w:tcW w:w="1196" w:type="dxa"/>
                                </w:tcPr>
                                <w:p w14:paraId="18F7CD62" w14:textId="77777777" w:rsidR="00704293" w:rsidRPr="00704293" w:rsidRDefault="00704293" w:rsidP="00704293">
                                  <w:pPr>
                                    <w:spacing w:beforeLines="20" w:before="48" w:afterLines="40" w:after="96"/>
                                    <w:rPr>
                                      <w:rFonts w:ascii="Cambria" w:hAnsi="Cambria"/>
                                    </w:rPr>
                                  </w:pPr>
                                  <w:r w:rsidRPr="00704293">
                                    <w:rPr>
                                      <w:rFonts w:ascii="Cambria" w:hAnsi="Cambria"/>
                                    </w:rPr>
                                    <w:t>Low</w:t>
                                  </w:r>
                                </w:p>
                              </w:tc>
                            </w:tr>
                            <w:tr w:rsidR="002C05C6" w:rsidRPr="00704293" w14:paraId="171D00DC" w14:textId="77777777" w:rsidTr="002C05C6">
                              <w:trPr>
                                <w:trHeight w:val="441"/>
                              </w:trPr>
                              <w:tc>
                                <w:tcPr>
                                  <w:tcW w:w="1599" w:type="dxa"/>
                                </w:tcPr>
                                <w:p w14:paraId="04FF788B"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Costco</w:t>
                                  </w:r>
                                </w:p>
                              </w:tc>
                              <w:tc>
                                <w:tcPr>
                                  <w:tcW w:w="1071" w:type="dxa"/>
                                </w:tcPr>
                                <w:p w14:paraId="57C02CDC" w14:textId="77777777" w:rsidR="00704293" w:rsidRPr="00704293" w:rsidRDefault="00704293" w:rsidP="00704293">
                                  <w:pPr>
                                    <w:spacing w:beforeLines="20" w:before="48" w:afterLines="40" w:after="96"/>
                                    <w:rPr>
                                      <w:rFonts w:ascii="Cambria" w:hAnsi="Cambria"/>
                                    </w:rPr>
                                  </w:pPr>
                                  <w:r w:rsidRPr="00704293">
                                    <w:rPr>
                                      <w:rFonts w:ascii="Cambria" w:hAnsi="Cambria"/>
                                    </w:rPr>
                                    <w:t>$254.5B</w:t>
                                  </w:r>
                                </w:p>
                              </w:tc>
                              <w:tc>
                                <w:tcPr>
                                  <w:tcW w:w="1191" w:type="dxa"/>
                                </w:tcPr>
                                <w:p w14:paraId="0285CEE4" w14:textId="77777777" w:rsidR="00704293" w:rsidRPr="00704293" w:rsidRDefault="00704293" w:rsidP="00704293">
                                  <w:pPr>
                                    <w:spacing w:beforeLines="20" w:before="48" w:afterLines="40" w:after="96"/>
                                    <w:rPr>
                                      <w:rFonts w:ascii="Cambria" w:hAnsi="Cambria"/>
                                    </w:rPr>
                                  </w:pPr>
                                  <w:r w:rsidRPr="00704293">
                                    <w:rPr>
                                      <w:rFonts w:ascii="Cambria" w:hAnsi="Cambria"/>
                                    </w:rPr>
                                    <w:t>4.5%</w:t>
                                  </w:r>
                                </w:p>
                              </w:tc>
                              <w:tc>
                                <w:tcPr>
                                  <w:tcW w:w="976" w:type="dxa"/>
                                </w:tcPr>
                                <w:p w14:paraId="625EA192" w14:textId="77777777" w:rsidR="00704293" w:rsidRPr="00704293" w:rsidRDefault="00704293" w:rsidP="00704293">
                                  <w:pPr>
                                    <w:spacing w:beforeLines="20" w:before="48" w:afterLines="40" w:after="96"/>
                                    <w:rPr>
                                      <w:rFonts w:ascii="Cambria" w:hAnsi="Cambria"/>
                                    </w:rPr>
                                  </w:pPr>
                                  <w:r w:rsidRPr="00704293">
                                    <w:rPr>
                                      <w:rFonts w:ascii="Cambria" w:hAnsi="Cambria"/>
                                    </w:rPr>
                                    <w:t>2.9%</w:t>
                                  </w:r>
                                </w:p>
                              </w:tc>
                              <w:tc>
                                <w:tcPr>
                                  <w:tcW w:w="1780" w:type="dxa"/>
                                </w:tcPr>
                                <w:p w14:paraId="63694657" w14:textId="77777777" w:rsidR="00704293" w:rsidRPr="00704293" w:rsidRDefault="00704293" w:rsidP="00704293">
                                  <w:pPr>
                                    <w:spacing w:beforeLines="20" w:before="48" w:afterLines="40" w:after="96"/>
                                    <w:rPr>
                                      <w:rFonts w:ascii="Cambria" w:hAnsi="Cambria"/>
                                    </w:rPr>
                                  </w:pPr>
                                  <w:r w:rsidRPr="00704293">
                                    <w:rPr>
                                      <w:rFonts w:ascii="Cambria" w:hAnsi="Cambria"/>
                                    </w:rPr>
                                    <w:t>A+ / A1</w:t>
                                  </w:r>
                                </w:p>
                              </w:tc>
                              <w:tc>
                                <w:tcPr>
                                  <w:tcW w:w="963" w:type="dxa"/>
                                </w:tcPr>
                                <w:p w14:paraId="58BC6274" w14:textId="77777777" w:rsidR="00704293" w:rsidRPr="00704293" w:rsidRDefault="00704293" w:rsidP="00704293">
                                  <w:pPr>
                                    <w:spacing w:beforeLines="20" w:before="48" w:afterLines="40" w:after="96"/>
                                    <w:rPr>
                                      <w:rFonts w:ascii="Cambria" w:hAnsi="Cambria"/>
                                    </w:rPr>
                                  </w:pPr>
                                  <w:r w:rsidRPr="00704293">
                                    <w:rPr>
                                      <w:rFonts w:ascii="Cambria" w:hAnsi="Cambria"/>
                                    </w:rPr>
                                    <w:t>9.64</w:t>
                                  </w:r>
                                </w:p>
                              </w:tc>
                              <w:tc>
                                <w:tcPr>
                                  <w:tcW w:w="966" w:type="dxa"/>
                                </w:tcPr>
                                <w:p w14:paraId="4E19D6BA" w14:textId="77777777" w:rsidR="00704293" w:rsidRPr="00704293" w:rsidRDefault="00704293" w:rsidP="00704293">
                                  <w:pPr>
                                    <w:spacing w:beforeLines="20" w:before="48" w:afterLines="40" w:after="96"/>
                                    <w:rPr>
                                      <w:rFonts w:ascii="Cambria" w:hAnsi="Cambria"/>
                                    </w:rPr>
                                  </w:pPr>
                                  <w:r w:rsidRPr="00704293">
                                    <w:rPr>
                                      <w:rFonts w:ascii="Cambria" w:hAnsi="Cambria"/>
                                    </w:rPr>
                                    <w:t>15.23</w:t>
                                  </w:r>
                                </w:p>
                              </w:tc>
                              <w:tc>
                                <w:tcPr>
                                  <w:tcW w:w="1196" w:type="dxa"/>
                                </w:tcPr>
                                <w:p w14:paraId="504F8E90" w14:textId="77777777" w:rsidR="00704293" w:rsidRPr="00704293" w:rsidRDefault="00704293" w:rsidP="00704293">
                                  <w:pPr>
                                    <w:spacing w:beforeLines="20" w:before="48" w:afterLines="40" w:after="96"/>
                                    <w:rPr>
                                      <w:rFonts w:ascii="Cambria" w:hAnsi="Cambria"/>
                                    </w:rPr>
                                  </w:pPr>
                                  <w:r w:rsidRPr="00704293">
                                    <w:rPr>
                                      <w:rFonts w:ascii="Cambria" w:hAnsi="Cambria"/>
                                    </w:rPr>
                                    <w:t>Very Low</w:t>
                                  </w:r>
                                </w:p>
                              </w:tc>
                            </w:tr>
                            <w:tr w:rsidR="002C05C6" w:rsidRPr="00704293" w14:paraId="01E65ECE" w14:textId="77777777" w:rsidTr="002C05C6">
                              <w:trPr>
                                <w:trHeight w:val="441"/>
                              </w:trPr>
                              <w:tc>
                                <w:tcPr>
                                  <w:tcW w:w="1599" w:type="dxa"/>
                                </w:tcPr>
                                <w:p w14:paraId="4EB6A388"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Alibaba</w:t>
                                  </w:r>
                                </w:p>
                              </w:tc>
                              <w:tc>
                                <w:tcPr>
                                  <w:tcW w:w="1071" w:type="dxa"/>
                                </w:tcPr>
                                <w:p w14:paraId="4FAC674E" w14:textId="77777777" w:rsidR="00704293" w:rsidRPr="00704293" w:rsidRDefault="00704293" w:rsidP="00704293">
                                  <w:pPr>
                                    <w:spacing w:beforeLines="20" w:before="48" w:afterLines="40" w:after="96"/>
                                    <w:rPr>
                                      <w:rFonts w:ascii="Cambria" w:hAnsi="Cambria"/>
                                    </w:rPr>
                                  </w:pPr>
                                  <w:r w:rsidRPr="00704293">
                                    <w:rPr>
                                      <w:rFonts w:ascii="Cambria" w:hAnsi="Cambria"/>
                                    </w:rPr>
                                    <w:t>$134.5B</w:t>
                                  </w:r>
                                </w:p>
                              </w:tc>
                              <w:tc>
                                <w:tcPr>
                                  <w:tcW w:w="1191" w:type="dxa"/>
                                </w:tcPr>
                                <w:p w14:paraId="2403FF71" w14:textId="77777777" w:rsidR="00704293" w:rsidRPr="00704293" w:rsidRDefault="00704293" w:rsidP="00704293">
                                  <w:pPr>
                                    <w:spacing w:beforeLines="20" w:before="48" w:afterLines="40" w:after="96"/>
                                    <w:rPr>
                                      <w:rFonts w:ascii="Cambria" w:hAnsi="Cambria"/>
                                    </w:rPr>
                                  </w:pPr>
                                  <w:r w:rsidRPr="00704293">
                                    <w:rPr>
                                      <w:rFonts w:ascii="Cambria" w:hAnsi="Cambria"/>
                                    </w:rPr>
                                    <w:t>19.5%</w:t>
                                  </w:r>
                                </w:p>
                              </w:tc>
                              <w:tc>
                                <w:tcPr>
                                  <w:tcW w:w="976" w:type="dxa"/>
                                </w:tcPr>
                                <w:p w14:paraId="486B5F4D" w14:textId="77777777" w:rsidR="00704293" w:rsidRPr="00704293" w:rsidRDefault="00704293" w:rsidP="00704293">
                                  <w:pPr>
                                    <w:spacing w:beforeLines="20" w:before="48" w:afterLines="40" w:after="96"/>
                                    <w:rPr>
                                      <w:rFonts w:ascii="Cambria" w:hAnsi="Cambria"/>
                                    </w:rPr>
                                  </w:pPr>
                                  <w:r w:rsidRPr="00704293">
                                    <w:rPr>
                                      <w:rFonts w:ascii="Cambria" w:hAnsi="Cambria"/>
                                    </w:rPr>
                                    <w:t>8.5%</w:t>
                                  </w:r>
                                </w:p>
                              </w:tc>
                              <w:tc>
                                <w:tcPr>
                                  <w:tcW w:w="1780" w:type="dxa"/>
                                </w:tcPr>
                                <w:p w14:paraId="5A33F13A" w14:textId="77777777" w:rsidR="00704293" w:rsidRPr="00704293" w:rsidRDefault="00704293" w:rsidP="00704293">
                                  <w:pPr>
                                    <w:spacing w:beforeLines="20" w:before="48" w:afterLines="40" w:after="96"/>
                                    <w:rPr>
                                      <w:rFonts w:ascii="Cambria" w:hAnsi="Cambria"/>
                                    </w:rPr>
                                  </w:pPr>
                                  <w:r w:rsidRPr="00704293">
                                    <w:rPr>
                                      <w:rFonts w:ascii="Cambria" w:hAnsi="Cambria"/>
                                    </w:rPr>
                                    <w:t>A+ / A1</w:t>
                                  </w:r>
                                </w:p>
                              </w:tc>
                              <w:tc>
                                <w:tcPr>
                                  <w:tcW w:w="963" w:type="dxa"/>
                                </w:tcPr>
                                <w:p w14:paraId="15BA1943" w14:textId="77777777" w:rsidR="00704293" w:rsidRPr="00704293" w:rsidRDefault="00704293" w:rsidP="00704293">
                                  <w:pPr>
                                    <w:spacing w:beforeLines="20" w:before="48" w:afterLines="40" w:after="96"/>
                                    <w:rPr>
                                      <w:rFonts w:ascii="Cambria" w:hAnsi="Cambria"/>
                                    </w:rPr>
                                  </w:pPr>
                                  <w:r w:rsidRPr="00704293">
                                    <w:rPr>
                                      <w:rFonts w:ascii="Cambria" w:hAnsi="Cambria"/>
                                    </w:rPr>
                                    <w:t>2.80</w:t>
                                  </w:r>
                                </w:p>
                              </w:tc>
                              <w:tc>
                                <w:tcPr>
                                  <w:tcW w:w="966" w:type="dxa"/>
                                </w:tcPr>
                                <w:p w14:paraId="1F67D4FE" w14:textId="77777777" w:rsidR="00704293" w:rsidRPr="00704293" w:rsidRDefault="00704293" w:rsidP="00704293">
                                  <w:pPr>
                                    <w:spacing w:beforeLines="20" w:before="48" w:afterLines="40" w:after="96"/>
                                    <w:rPr>
                                      <w:rFonts w:ascii="Cambria" w:hAnsi="Cambria"/>
                                    </w:rPr>
                                  </w:pPr>
                                  <w:r w:rsidRPr="00704293">
                                    <w:rPr>
                                      <w:rFonts w:ascii="Cambria" w:hAnsi="Cambria"/>
                                    </w:rPr>
                                    <w:t>4.75</w:t>
                                  </w:r>
                                </w:p>
                              </w:tc>
                              <w:tc>
                                <w:tcPr>
                                  <w:tcW w:w="1196" w:type="dxa"/>
                                </w:tcPr>
                                <w:p w14:paraId="6D62C9D8" w14:textId="77777777" w:rsidR="00704293" w:rsidRPr="00704293" w:rsidRDefault="00704293" w:rsidP="00704293">
                                  <w:pPr>
                                    <w:spacing w:beforeLines="20" w:before="48" w:afterLines="40" w:after="96"/>
                                    <w:rPr>
                                      <w:rFonts w:ascii="Cambria" w:hAnsi="Cambria"/>
                                    </w:rPr>
                                  </w:pPr>
                                  <w:r w:rsidRPr="00704293">
                                    <w:rPr>
                                      <w:rFonts w:ascii="Cambria" w:hAnsi="Cambria"/>
                                    </w:rPr>
                                    <w:t>Moderate</w:t>
                                  </w:r>
                                </w:p>
                              </w:tc>
                            </w:tr>
                            <w:tr w:rsidR="002C05C6" w:rsidRPr="00704293" w14:paraId="67112FED" w14:textId="77777777" w:rsidTr="002C05C6">
                              <w:trPr>
                                <w:trHeight w:val="454"/>
                              </w:trPr>
                              <w:tc>
                                <w:tcPr>
                                  <w:tcW w:w="1599" w:type="dxa"/>
                                  <w:vAlign w:val="center"/>
                                </w:tcPr>
                                <w:p w14:paraId="7DCFB7B5"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Carrefour</w:t>
                                  </w:r>
                                </w:p>
                              </w:tc>
                              <w:tc>
                                <w:tcPr>
                                  <w:tcW w:w="1071" w:type="dxa"/>
                                  <w:vAlign w:val="center"/>
                                </w:tcPr>
                                <w:p w14:paraId="24C7A7C6" w14:textId="77777777" w:rsidR="00704293" w:rsidRPr="00704293" w:rsidRDefault="00704293" w:rsidP="00704293">
                                  <w:pPr>
                                    <w:spacing w:beforeLines="20" w:before="48" w:afterLines="40" w:after="96"/>
                                    <w:rPr>
                                      <w:rFonts w:ascii="Cambria" w:hAnsi="Cambria"/>
                                    </w:rPr>
                                  </w:pPr>
                                  <w:r w:rsidRPr="00704293">
                                    <w:rPr>
                                      <w:rFonts w:ascii="Cambria" w:hAnsi="Cambria"/>
                                    </w:rPr>
                                    <w:t>$90.1B</w:t>
                                  </w:r>
                                </w:p>
                              </w:tc>
                              <w:tc>
                                <w:tcPr>
                                  <w:tcW w:w="1191" w:type="dxa"/>
                                  <w:vAlign w:val="center"/>
                                </w:tcPr>
                                <w:p w14:paraId="1A7C1BA4" w14:textId="77777777" w:rsidR="00704293" w:rsidRPr="00704293" w:rsidRDefault="00704293" w:rsidP="00704293">
                                  <w:pPr>
                                    <w:spacing w:beforeLines="20" w:before="48" w:afterLines="40" w:after="96"/>
                                    <w:rPr>
                                      <w:rFonts w:ascii="Cambria" w:hAnsi="Cambria"/>
                                    </w:rPr>
                                  </w:pPr>
                                  <w:r w:rsidRPr="00704293">
                                    <w:rPr>
                                      <w:rFonts w:ascii="Cambria" w:hAnsi="Cambria"/>
                                    </w:rPr>
                                    <w:t>4.2%</w:t>
                                  </w:r>
                                </w:p>
                              </w:tc>
                              <w:tc>
                                <w:tcPr>
                                  <w:tcW w:w="976" w:type="dxa"/>
                                  <w:vAlign w:val="center"/>
                                </w:tcPr>
                                <w:p w14:paraId="263D2BB6" w14:textId="77777777" w:rsidR="00704293" w:rsidRPr="00704293" w:rsidRDefault="00704293" w:rsidP="00704293">
                                  <w:pPr>
                                    <w:spacing w:beforeLines="20" w:before="48" w:afterLines="40" w:after="96"/>
                                    <w:rPr>
                                      <w:rFonts w:ascii="Cambria" w:hAnsi="Cambria"/>
                                    </w:rPr>
                                  </w:pPr>
                                  <w:r w:rsidRPr="00704293">
                                    <w:rPr>
                                      <w:rFonts w:ascii="Cambria" w:hAnsi="Cambria"/>
                                    </w:rPr>
                                    <w:t>0.8%</w:t>
                                  </w:r>
                                </w:p>
                              </w:tc>
                              <w:tc>
                                <w:tcPr>
                                  <w:tcW w:w="1780" w:type="dxa"/>
                                  <w:vAlign w:val="center"/>
                                </w:tcPr>
                                <w:p w14:paraId="13C2A363" w14:textId="77777777" w:rsidR="00704293" w:rsidRPr="00704293" w:rsidRDefault="00704293" w:rsidP="00704293">
                                  <w:pPr>
                                    <w:spacing w:beforeLines="20" w:before="48" w:afterLines="40" w:after="96"/>
                                    <w:rPr>
                                      <w:rFonts w:ascii="Cambria" w:hAnsi="Cambria"/>
                                    </w:rPr>
                                  </w:pPr>
                                  <w:r w:rsidRPr="00704293">
                                    <w:rPr>
                                      <w:rFonts w:ascii="Cambria" w:hAnsi="Cambria"/>
                                    </w:rPr>
                                    <w:t>BBB / Baa1</w:t>
                                  </w:r>
                                </w:p>
                              </w:tc>
                              <w:tc>
                                <w:tcPr>
                                  <w:tcW w:w="963" w:type="dxa"/>
                                  <w:vAlign w:val="center"/>
                                </w:tcPr>
                                <w:p w14:paraId="2D02BE45" w14:textId="77777777" w:rsidR="00704293" w:rsidRPr="00704293" w:rsidRDefault="00704293" w:rsidP="00704293">
                                  <w:pPr>
                                    <w:spacing w:beforeLines="20" w:before="48" w:afterLines="40" w:after="96"/>
                                    <w:rPr>
                                      <w:rFonts w:ascii="Cambria" w:hAnsi="Cambria"/>
                                    </w:rPr>
                                  </w:pPr>
                                  <w:r w:rsidRPr="00704293">
                                    <w:rPr>
                                      <w:rFonts w:ascii="Cambria" w:hAnsi="Cambria"/>
                                    </w:rPr>
                                    <w:t>1.91</w:t>
                                  </w:r>
                                </w:p>
                              </w:tc>
                              <w:tc>
                                <w:tcPr>
                                  <w:tcW w:w="966" w:type="dxa"/>
                                  <w:vAlign w:val="center"/>
                                </w:tcPr>
                                <w:p w14:paraId="5D4A2479" w14:textId="77777777" w:rsidR="00704293" w:rsidRPr="00704293" w:rsidRDefault="00704293" w:rsidP="00704293">
                                  <w:pPr>
                                    <w:spacing w:beforeLines="20" w:before="48" w:afterLines="40" w:after="96"/>
                                    <w:rPr>
                                      <w:rFonts w:ascii="Cambria" w:hAnsi="Cambria"/>
                                    </w:rPr>
                                  </w:pPr>
                                  <w:r w:rsidRPr="00704293">
                                    <w:rPr>
                                      <w:rFonts w:ascii="Cambria" w:hAnsi="Cambria"/>
                                    </w:rPr>
                                    <w:t>4.58</w:t>
                                  </w:r>
                                </w:p>
                              </w:tc>
                              <w:tc>
                                <w:tcPr>
                                  <w:tcW w:w="1196" w:type="dxa"/>
                                  <w:vAlign w:val="center"/>
                                </w:tcPr>
                                <w:p w14:paraId="006613C5" w14:textId="77777777" w:rsidR="00704293" w:rsidRPr="00704293" w:rsidRDefault="00704293" w:rsidP="00704293">
                                  <w:pPr>
                                    <w:spacing w:beforeLines="20" w:before="48" w:afterLines="40" w:after="96"/>
                                    <w:rPr>
                                      <w:rFonts w:ascii="Cambria" w:hAnsi="Cambria"/>
                                    </w:rPr>
                                  </w:pPr>
                                  <w:r w:rsidRPr="00704293">
                                    <w:rPr>
                                      <w:rFonts w:ascii="Cambria" w:hAnsi="Cambria"/>
                                    </w:rPr>
                                    <w:t>Moderate</w:t>
                                  </w:r>
                                </w:p>
                              </w:tc>
                            </w:tr>
                            <w:tr w:rsidR="002C05C6" w:rsidRPr="00704293" w14:paraId="06018813" w14:textId="77777777" w:rsidTr="002C05C6">
                              <w:trPr>
                                <w:trHeight w:val="722"/>
                              </w:trPr>
                              <w:tc>
                                <w:tcPr>
                                  <w:tcW w:w="1599" w:type="dxa"/>
                                  <w:vAlign w:val="center"/>
                                </w:tcPr>
                                <w:p w14:paraId="19687C41"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Magazine Luiza</w:t>
                                  </w:r>
                                </w:p>
                              </w:tc>
                              <w:tc>
                                <w:tcPr>
                                  <w:tcW w:w="1071" w:type="dxa"/>
                                  <w:vAlign w:val="center"/>
                                </w:tcPr>
                                <w:p w14:paraId="587393B7" w14:textId="77777777" w:rsidR="00704293" w:rsidRPr="00704293" w:rsidRDefault="00704293" w:rsidP="00704293">
                                  <w:pPr>
                                    <w:spacing w:beforeLines="20" w:before="48" w:afterLines="40" w:after="96"/>
                                    <w:rPr>
                                      <w:rFonts w:ascii="Cambria" w:hAnsi="Cambria"/>
                                    </w:rPr>
                                  </w:pPr>
                                  <w:r w:rsidRPr="00704293">
                                    <w:rPr>
                                      <w:rFonts w:ascii="Cambria" w:hAnsi="Cambria"/>
                                    </w:rPr>
                                    <w:t>$6.9B</w:t>
                                  </w:r>
                                </w:p>
                              </w:tc>
                              <w:tc>
                                <w:tcPr>
                                  <w:tcW w:w="1191" w:type="dxa"/>
                                  <w:vAlign w:val="center"/>
                                </w:tcPr>
                                <w:p w14:paraId="64F6C5F8" w14:textId="77777777" w:rsidR="00704293" w:rsidRPr="00704293" w:rsidRDefault="00704293" w:rsidP="00704293">
                                  <w:pPr>
                                    <w:spacing w:beforeLines="20" w:before="48" w:afterLines="40" w:after="96"/>
                                    <w:rPr>
                                      <w:rFonts w:ascii="Cambria" w:hAnsi="Cambria"/>
                                    </w:rPr>
                                  </w:pPr>
                                  <w:r w:rsidRPr="00704293">
                                    <w:rPr>
                                      <w:rFonts w:ascii="Cambria" w:hAnsi="Cambria"/>
                                    </w:rPr>
                                    <w:t>4.7%</w:t>
                                  </w:r>
                                </w:p>
                              </w:tc>
                              <w:tc>
                                <w:tcPr>
                                  <w:tcW w:w="976" w:type="dxa"/>
                                  <w:vAlign w:val="center"/>
                                </w:tcPr>
                                <w:p w14:paraId="6A15A9E9" w14:textId="77777777" w:rsidR="00704293" w:rsidRPr="00704293" w:rsidRDefault="00704293" w:rsidP="00704293">
                                  <w:pPr>
                                    <w:spacing w:beforeLines="20" w:before="48" w:afterLines="40" w:after="96"/>
                                    <w:rPr>
                                      <w:rFonts w:ascii="Cambria" w:hAnsi="Cambria"/>
                                    </w:rPr>
                                  </w:pPr>
                                  <w:r w:rsidRPr="00704293">
                                    <w:rPr>
                                      <w:rFonts w:ascii="Cambria" w:hAnsi="Cambria"/>
                                    </w:rPr>
                                    <w:t>1.0%</w:t>
                                  </w:r>
                                </w:p>
                              </w:tc>
                              <w:tc>
                                <w:tcPr>
                                  <w:tcW w:w="1780" w:type="dxa"/>
                                  <w:vAlign w:val="center"/>
                                </w:tcPr>
                                <w:p w14:paraId="5C244249" w14:textId="77777777" w:rsidR="00704293" w:rsidRPr="00704293" w:rsidRDefault="00704293" w:rsidP="00704293">
                                  <w:pPr>
                                    <w:spacing w:beforeLines="20" w:before="48" w:afterLines="40" w:after="96"/>
                                    <w:rPr>
                                      <w:rFonts w:ascii="Cambria" w:hAnsi="Cambria"/>
                                    </w:rPr>
                                  </w:pPr>
                                  <w:r w:rsidRPr="00704293">
                                    <w:rPr>
                                      <w:rFonts w:ascii="Cambria" w:hAnsi="Cambria"/>
                                    </w:rPr>
                                    <w:t>BB- / Ba3</w:t>
                                  </w:r>
                                </w:p>
                              </w:tc>
                              <w:tc>
                                <w:tcPr>
                                  <w:tcW w:w="963" w:type="dxa"/>
                                  <w:vAlign w:val="center"/>
                                </w:tcPr>
                                <w:p w14:paraId="760FC0E9" w14:textId="77777777" w:rsidR="00704293" w:rsidRPr="00704293" w:rsidRDefault="00704293" w:rsidP="00704293">
                                  <w:pPr>
                                    <w:spacing w:beforeLines="20" w:before="48" w:afterLines="40" w:after="96"/>
                                    <w:rPr>
                                      <w:rFonts w:ascii="Cambria" w:hAnsi="Cambria"/>
                                    </w:rPr>
                                  </w:pPr>
                                  <w:r w:rsidRPr="00704293">
                                    <w:rPr>
                                      <w:rFonts w:ascii="Cambria" w:hAnsi="Cambria"/>
                                    </w:rPr>
                                    <w:t>1.42</w:t>
                                  </w:r>
                                </w:p>
                              </w:tc>
                              <w:tc>
                                <w:tcPr>
                                  <w:tcW w:w="966" w:type="dxa"/>
                                  <w:vAlign w:val="center"/>
                                </w:tcPr>
                                <w:p w14:paraId="5568950B" w14:textId="77777777" w:rsidR="00704293" w:rsidRPr="00704293" w:rsidRDefault="00704293" w:rsidP="00704293">
                                  <w:pPr>
                                    <w:spacing w:beforeLines="20" w:before="48" w:afterLines="40" w:after="96"/>
                                    <w:rPr>
                                      <w:rFonts w:ascii="Cambria" w:hAnsi="Cambria"/>
                                    </w:rPr>
                                  </w:pPr>
                                  <w:r w:rsidRPr="00704293">
                                    <w:rPr>
                                      <w:rFonts w:ascii="Cambria" w:hAnsi="Cambria"/>
                                    </w:rPr>
                                    <w:t>2.12</w:t>
                                  </w:r>
                                </w:p>
                              </w:tc>
                              <w:tc>
                                <w:tcPr>
                                  <w:tcW w:w="1196" w:type="dxa"/>
                                  <w:vAlign w:val="center"/>
                                </w:tcPr>
                                <w:p w14:paraId="282A9E24" w14:textId="77777777" w:rsidR="00704293" w:rsidRPr="00704293" w:rsidRDefault="00704293" w:rsidP="00704293">
                                  <w:pPr>
                                    <w:spacing w:beforeLines="20" w:before="48" w:afterLines="40" w:after="96"/>
                                    <w:rPr>
                                      <w:rFonts w:ascii="Cambria" w:hAnsi="Cambria"/>
                                    </w:rPr>
                                  </w:pPr>
                                  <w:r w:rsidRPr="00704293">
                                    <w:rPr>
                                      <w:rFonts w:ascii="Cambria" w:hAnsi="Cambria"/>
                                    </w:rPr>
                                    <w:t>High</w:t>
                                  </w:r>
                                </w:p>
                              </w:tc>
                            </w:tr>
                          </w:tbl>
                          <w:p w14:paraId="3622446B" w14:textId="1318C802" w:rsidR="00704293" w:rsidRDefault="007042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EDE05" id="_x0000_s1044" type="#_x0000_t202" style="position:absolute;left:0;text-align:left;margin-left:-8.4pt;margin-top:25.8pt;width:529.8pt;height:217.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" filled="f" stroked="f">
                <v:textbox>
                  <w:txbxContent>
                    <w:tbl>
                      <w:tblPr>
                        <w:tblStyle w:val="TableGrid"/>
                        <w:tblW w:w="9742" w:type="dxa"/>
                        <w:tblLook w:val="04A0" w:firstRow="1" w:lastRow="0" w:firstColumn="1" w:lastColumn="0" w:noHBand="0" w:noVBand="1"/>
                      </w:tblPr>
                      <w:tblGrid>
                        <w:gridCol w:w="1592"/>
                        <w:gridCol w:w="1082"/>
                        <w:gridCol w:w="1188"/>
                        <w:gridCol w:w="976"/>
                        <w:gridCol w:w="1780"/>
                        <w:gridCol w:w="963"/>
                        <w:gridCol w:w="966"/>
                        <w:gridCol w:w="1195"/>
                      </w:tblGrid>
                      <w:tr w:rsidR="002C05C6" w:rsidRPr="00704293" w14:paraId="3F89AA96" w14:textId="77777777" w:rsidTr="002C05C6">
                        <w:trPr>
                          <w:trHeight w:val="1311"/>
                        </w:trPr>
                        <w:tc>
                          <w:tcPr>
                            <w:tcW w:w="1599" w:type="dxa"/>
                          </w:tcPr>
                          <w:p w14:paraId="582612E2"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Company</w:t>
                            </w:r>
                          </w:p>
                        </w:tc>
                        <w:tc>
                          <w:tcPr>
                            <w:tcW w:w="1071" w:type="dxa"/>
                          </w:tcPr>
                          <w:p w14:paraId="47AF5679"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Revenue</w:t>
                            </w:r>
                            <w:r w:rsidRPr="00704293">
                              <w:rPr>
                                <w:rFonts w:ascii="Cambria" w:hAnsi="Cambria"/>
                                <w:b/>
                                <w:bCs/>
                              </w:rPr>
                              <w:br/>
                              <w:t>($B; FY2024)</w:t>
                            </w:r>
                          </w:p>
                        </w:tc>
                        <w:tc>
                          <w:tcPr>
                            <w:tcW w:w="1191" w:type="dxa"/>
                          </w:tcPr>
                          <w:p w14:paraId="2C9528CA" w14:textId="7BD0CA4C" w:rsidR="00704293" w:rsidRPr="00704293" w:rsidRDefault="00704293" w:rsidP="00704293">
                            <w:pPr>
                              <w:spacing w:beforeLines="20" w:before="48" w:afterLines="40" w:after="96"/>
                              <w:rPr>
                                <w:rFonts w:ascii="Cambria" w:hAnsi="Cambria"/>
                                <w:b/>
                                <w:bCs/>
                              </w:rPr>
                            </w:pPr>
                            <w:r w:rsidRPr="00704293">
                              <w:rPr>
                                <w:rFonts w:ascii="Cambria" w:hAnsi="Cambria"/>
                                <w:b/>
                                <w:bCs/>
                              </w:rPr>
                              <w:t>EBITDA Margin (%)</w:t>
                            </w:r>
                          </w:p>
                        </w:tc>
                        <w:tc>
                          <w:tcPr>
                            <w:tcW w:w="976" w:type="dxa"/>
                          </w:tcPr>
                          <w:p w14:paraId="714A9623"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Net Income Margin (%)</w:t>
                            </w:r>
                          </w:p>
                        </w:tc>
                        <w:tc>
                          <w:tcPr>
                            <w:tcW w:w="1780" w:type="dxa"/>
                          </w:tcPr>
                          <w:p w14:paraId="556EA4DD"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Credit Rating</w:t>
                            </w:r>
                            <w:r w:rsidRPr="00704293">
                              <w:rPr>
                                <w:rFonts w:ascii="Cambria" w:hAnsi="Cambria"/>
                                <w:b/>
                                <w:bCs/>
                              </w:rPr>
                              <w:br/>
                              <w:t>(S&amp;P/Moody’s)</w:t>
                            </w:r>
                          </w:p>
                        </w:tc>
                        <w:tc>
                          <w:tcPr>
                            <w:tcW w:w="963" w:type="dxa"/>
                          </w:tcPr>
                          <w:p w14:paraId="10B79EB6"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Altman Z-Score</w:t>
                            </w:r>
                            <w:r w:rsidRPr="00704293">
                              <w:rPr>
                                <w:rFonts w:ascii="Cambria" w:hAnsi="Cambria"/>
                                <w:b/>
                                <w:bCs/>
                              </w:rPr>
                              <w:br/>
                              <w:t>(2024)</w:t>
                            </w:r>
                          </w:p>
                        </w:tc>
                        <w:tc>
                          <w:tcPr>
                            <w:tcW w:w="966" w:type="dxa"/>
                          </w:tcPr>
                          <w:p w14:paraId="6F505939"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Merton Model DD</w:t>
                            </w:r>
                            <w:r w:rsidRPr="00704293">
                              <w:rPr>
                                <w:rFonts w:ascii="Cambria" w:hAnsi="Cambria"/>
                                <w:b/>
                                <w:bCs/>
                              </w:rPr>
                              <w:br/>
                              <w:t>(2024)</w:t>
                            </w:r>
                          </w:p>
                        </w:tc>
                        <w:tc>
                          <w:tcPr>
                            <w:tcW w:w="1196" w:type="dxa"/>
                          </w:tcPr>
                          <w:p w14:paraId="787BC6E1" w14:textId="6A6590B4" w:rsidR="00704293" w:rsidRPr="00704293" w:rsidRDefault="00704293" w:rsidP="00704293">
                            <w:pPr>
                              <w:spacing w:beforeLines="20" w:before="48" w:afterLines="40" w:after="96"/>
                              <w:rPr>
                                <w:rFonts w:ascii="Cambria" w:hAnsi="Cambria"/>
                                <w:b/>
                                <w:bCs/>
                              </w:rPr>
                            </w:pPr>
                            <w:r w:rsidRPr="00704293">
                              <w:rPr>
                                <w:rFonts w:ascii="Cambria" w:hAnsi="Cambria"/>
                                <w:b/>
                                <w:bCs/>
                              </w:rPr>
                              <w:t>Risk Category</w:t>
                            </w:r>
                          </w:p>
                        </w:tc>
                      </w:tr>
                      <w:tr w:rsidR="002C05C6" w:rsidRPr="00704293" w14:paraId="758EDE9F" w14:textId="77777777" w:rsidTr="002C05C6">
                        <w:trPr>
                          <w:trHeight w:val="736"/>
                        </w:trPr>
                        <w:tc>
                          <w:tcPr>
                            <w:tcW w:w="1599" w:type="dxa"/>
                          </w:tcPr>
                          <w:p w14:paraId="1F621848"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Walmart Inc.</w:t>
                            </w:r>
                          </w:p>
                        </w:tc>
                        <w:tc>
                          <w:tcPr>
                            <w:tcW w:w="1071" w:type="dxa"/>
                          </w:tcPr>
                          <w:p w14:paraId="114A4931" w14:textId="77777777" w:rsidR="00704293" w:rsidRPr="00704293" w:rsidRDefault="00704293" w:rsidP="00704293">
                            <w:pPr>
                              <w:spacing w:beforeLines="20" w:before="48" w:afterLines="40" w:after="96"/>
                              <w:rPr>
                                <w:rFonts w:ascii="Cambria" w:hAnsi="Cambria"/>
                              </w:rPr>
                            </w:pPr>
                            <w:r w:rsidRPr="00704293">
                              <w:rPr>
                                <w:rFonts w:ascii="Cambria" w:hAnsi="Cambria"/>
                              </w:rPr>
                              <w:t>$648.1B</w:t>
                            </w:r>
                          </w:p>
                        </w:tc>
                        <w:tc>
                          <w:tcPr>
                            <w:tcW w:w="1191" w:type="dxa"/>
                          </w:tcPr>
                          <w:p w14:paraId="69E697C4" w14:textId="77777777" w:rsidR="00704293" w:rsidRPr="00704293" w:rsidRDefault="00704293" w:rsidP="00704293">
                            <w:pPr>
                              <w:spacing w:beforeLines="20" w:before="48" w:afterLines="40" w:after="96"/>
                              <w:rPr>
                                <w:rFonts w:ascii="Cambria" w:hAnsi="Cambria"/>
                              </w:rPr>
                            </w:pPr>
                            <w:r w:rsidRPr="00704293">
                              <w:rPr>
                                <w:rFonts w:ascii="Cambria" w:hAnsi="Cambria"/>
                              </w:rPr>
                              <w:t>6.0%</w:t>
                            </w:r>
                          </w:p>
                        </w:tc>
                        <w:tc>
                          <w:tcPr>
                            <w:tcW w:w="976" w:type="dxa"/>
                          </w:tcPr>
                          <w:p w14:paraId="4E593888" w14:textId="77777777" w:rsidR="00704293" w:rsidRPr="00704293" w:rsidRDefault="00704293" w:rsidP="00704293">
                            <w:pPr>
                              <w:spacing w:beforeLines="20" w:before="48" w:afterLines="40" w:after="96"/>
                              <w:rPr>
                                <w:rFonts w:ascii="Cambria" w:hAnsi="Cambria"/>
                              </w:rPr>
                            </w:pPr>
                            <w:r w:rsidRPr="00704293">
                              <w:rPr>
                                <w:rFonts w:ascii="Cambria" w:hAnsi="Cambria"/>
                              </w:rPr>
                              <w:t>2.4%</w:t>
                            </w:r>
                          </w:p>
                        </w:tc>
                        <w:tc>
                          <w:tcPr>
                            <w:tcW w:w="1780" w:type="dxa"/>
                          </w:tcPr>
                          <w:p w14:paraId="4FDA9CB0" w14:textId="77777777" w:rsidR="00704293" w:rsidRPr="00704293" w:rsidRDefault="00704293" w:rsidP="00704293">
                            <w:pPr>
                              <w:spacing w:beforeLines="20" w:before="48" w:afterLines="40" w:after="96"/>
                              <w:rPr>
                                <w:rFonts w:ascii="Cambria" w:hAnsi="Cambria"/>
                              </w:rPr>
                            </w:pPr>
                            <w:r w:rsidRPr="00704293">
                              <w:rPr>
                                <w:rFonts w:ascii="Cambria" w:hAnsi="Cambria"/>
                              </w:rPr>
                              <w:t>AA / Aa2</w:t>
                            </w:r>
                          </w:p>
                        </w:tc>
                        <w:tc>
                          <w:tcPr>
                            <w:tcW w:w="963" w:type="dxa"/>
                          </w:tcPr>
                          <w:p w14:paraId="10B9D944" w14:textId="77777777" w:rsidR="00704293" w:rsidRPr="00704293" w:rsidRDefault="00704293" w:rsidP="00704293">
                            <w:pPr>
                              <w:spacing w:beforeLines="20" w:before="48" w:afterLines="40" w:after="96"/>
                              <w:rPr>
                                <w:rFonts w:ascii="Cambria" w:hAnsi="Cambria"/>
                              </w:rPr>
                            </w:pPr>
                            <w:r w:rsidRPr="00704293">
                              <w:rPr>
                                <w:rFonts w:ascii="Cambria" w:hAnsi="Cambria"/>
                              </w:rPr>
                              <w:t>5.16</w:t>
                            </w:r>
                          </w:p>
                        </w:tc>
                        <w:tc>
                          <w:tcPr>
                            <w:tcW w:w="966" w:type="dxa"/>
                          </w:tcPr>
                          <w:p w14:paraId="44D0CA90" w14:textId="77777777" w:rsidR="00704293" w:rsidRPr="00704293" w:rsidRDefault="00704293" w:rsidP="00704293">
                            <w:pPr>
                              <w:spacing w:beforeLines="20" w:before="48" w:afterLines="40" w:after="96"/>
                              <w:rPr>
                                <w:rFonts w:ascii="Cambria" w:hAnsi="Cambria"/>
                              </w:rPr>
                            </w:pPr>
                            <w:r w:rsidRPr="00704293">
                              <w:rPr>
                                <w:rFonts w:ascii="Cambria" w:hAnsi="Cambria"/>
                              </w:rPr>
                              <w:t>13.09</w:t>
                            </w:r>
                          </w:p>
                        </w:tc>
                        <w:tc>
                          <w:tcPr>
                            <w:tcW w:w="1196" w:type="dxa"/>
                          </w:tcPr>
                          <w:p w14:paraId="18F7CD62" w14:textId="77777777" w:rsidR="00704293" w:rsidRPr="00704293" w:rsidRDefault="00704293" w:rsidP="00704293">
                            <w:pPr>
                              <w:spacing w:beforeLines="20" w:before="48" w:afterLines="40" w:after="96"/>
                              <w:rPr>
                                <w:rFonts w:ascii="Cambria" w:hAnsi="Cambria"/>
                              </w:rPr>
                            </w:pPr>
                            <w:r w:rsidRPr="00704293">
                              <w:rPr>
                                <w:rFonts w:ascii="Cambria" w:hAnsi="Cambria"/>
                              </w:rPr>
                              <w:t>Low</w:t>
                            </w:r>
                          </w:p>
                        </w:tc>
                      </w:tr>
                      <w:tr w:rsidR="002C05C6" w:rsidRPr="00704293" w14:paraId="171D00DC" w14:textId="77777777" w:rsidTr="002C05C6">
                        <w:trPr>
                          <w:trHeight w:val="441"/>
                        </w:trPr>
                        <w:tc>
                          <w:tcPr>
                            <w:tcW w:w="1599" w:type="dxa"/>
                          </w:tcPr>
                          <w:p w14:paraId="04FF788B"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Costco</w:t>
                            </w:r>
                          </w:p>
                        </w:tc>
                        <w:tc>
                          <w:tcPr>
                            <w:tcW w:w="1071" w:type="dxa"/>
                          </w:tcPr>
                          <w:p w14:paraId="57C02CDC" w14:textId="77777777" w:rsidR="00704293" w:rsidRPr="00704293" w:rsidRDefault="00704293" w:rsidP="00704293">
                            <w:pPr>
                              <w:spacing w:beforeLines="20" w:before="48" w:afterLines="40" w:after="96"/>
                              <w:rPr>
                                <w:rFonts w:ascii="Cambria" w:hAnsi="Cambria"/>
                              </w:rPr>
                            </w:pPr>
                            <w:r w:rsidRPr="00704293">
                              <w:rPr>
                                <w:rFonts w:ascii="Cambria" w:hAnsi="Cambria"/>
                              </w:rPr>
                              <w:t>$254.5B</w:t>
                            </w:r>
                          </w:p>
                        </w:tc>
                        <w:tc>
                          <w:tcPr>
                            <w:tcW w:w="1191" w:type="dxa"/>
                          </w:tcPr>
                          <w:p w14:paraId="0285CEE4" w14:textId="77777777" w:rsidR="00704293" w:rsidRPr="00704293" w:rsidRDefault="00704293" w:rsidP="00704293">
                            <w:pPr>
                              <w:spacing w:beforeLines="20" w:before="48" w:afterLines="40" w:after="96"/>
                              <w:rPr>
                                <w:rFonts w:ascii="Cambria" w:hAnsi="Cambria"/>
                              </w:rPr>
                            </w:pPr>
                            <w:r w:rsidRPr="00704293">
                              <w:rPr>
                                <w:rFonts w:ascii="Cambria" w:hAnsi="Cambria"/>
                              </w:rPr>
                              <w:t>4.5%</w:t>
                            </w:r>
                          </w:p>
                        </w:tc>
                        <w:tc>
                          <w:tcPr>
                            <w:tcW w:w="976" w:type="dxa"/>
                          </w:tcPr>
                          <w:p w14:paraId="625EA192" w14:textId="77777777" w:rsidR="00704293" w:rsidRPr="00704293" w:rsidRDefault="00704293" w:rsidP="00704293">
                            <w:pPr>
                              <w:spacing w:beforeLines="20" w:before="48" w:afterLines="40" w:after="96"/>
                              <w:rPr>
                                <w:rFonts w:ascii="Cambria" w:hAnsi="Cambria"/>
                              </w:rPr>
                            </w:pPr>
                            <w:r w:rsidRPr="00704293">
                              <w:rPr>
                                <w:rFonts w:ascii="Cambria" w:hAnsi="Cambria"/>
                              </w:rPr>
                              <w:t>2.9%</w:t>
                            </w:r>
                          </w:p>
                        </w:tc>
                        <w:tc>
                          <w:tcPr>
                            <w:tcW w:w="1780" w:type="dxa"/>
                          </w:tcPr>
                          <w:p w14:paraId="63694657" w14:textId="77777777" w:rsidR="00704293" w:rsidRPr="00704293" w:rsidRDefault="00704293" w:rsidP="00704293">
                            <w:pPr>
                              <w:spacing w:beforeLines="20" w:before="48" w:afterLines="40" w:after="96"/>
                              <w:rPr>
                                <w:rFonts w:ascii="Cambria" w:hAnsi="Cambria"/>
                              </w:rPr>
                            </w:pPr>
                            <w:r w:rsidRPr="00704293">
                              <w:rPr>
                                <w:rFonts w:ascii="Cambria" w:hAnsi="Cambria"/>
                              </w:rPr>
                              <w:t>A+ / A1</w:t>
                            </w:r>
                          </w:p>
                        </w:tc>
                        <w:tc>
                          <w:tcPr>
                            <w:tcW w:w="963" w:type="dxa"/>
                          </w:tcPr>
                          <w:p w14:paraId="58BC6274" w14:textId="77777777" w:rsidR="00704293" w:rsidRPr="00704293" w:rsidRDefault="00704293" w:rsidP="00704293">
                            <w:pPr>
                              <w:spacing w:beforeLines="20" w:before="48" w:afterLines="40" w:after="96"/>
                              <w:rPr>
                                <w:rFonts w:ascii="Cambria" w:hAnsi="Cambria"/>
                              </w:rPr>
                            </w:pPr>
                            <w:r w:rsidRPr="00704293">
                              <w:rPr>
                                <w:rFonts w:ascii="Cambria" w:hAnsi="Cambria"/>
                              </w:rPr>
                              <w:t>9.64</w:t>
                            </w:r>
                          </w:p>
                        </w:tc>
                        <w:tc>
                          <w:tcPr>
                            <w:tcW w:w="966" w:type="dxa"/>
                          </w:tcPr>
                          <w:p w14:paraId="4E19D6BA" w14:textId="77777777" w:rsidR="00704293" w:rsidRPr="00704293" w:rsidRDefault="00704293" w:rsidP="00704293">
                            <w:pPr>
                              <w:spacing w:beforeLines="20" w:before="48" w:afterLines="40" w:after="96"/>
                              <w:rPr>
                                <w:rFonts w:ascii="Cambria" w:hAnsi="Cambria"/>
                              </w:rPr>
                            </w:pPr>
                            <w:r w:rsidRPr="00704293">
                              <w:rPr>
                                <w:rFonts w:ascii="Cambria" w:hAnsi="Cambria"/>
                              </w:rPr>
                              <w:t>15.23</w:t>
                            </w:r>
                          </w:p>
                        </w:tc>
                        <w:tc>
                          <w:tcPr>
                            <w:tcW w:w="1196" w:type="dxa"/>
                          </w:tcPr>
                          <w:p w14:paraId="504F8E90" w14:textId="77777777" w:rsidR="00704293" w:rsidRPr="00704293" w:rsidRDefault="00704293" w:rsidP="00704293">
                            <w:pPr>
                              <w:spacing w:beforeLines="20" w:before="48" w:afterLines="40" w:after="96"/>
                              <w:rPr>
                                <w:rFonts w:ascii="Cambria" w:hAnsi="Cambria"/>
                              </w:rPr>
                            </w:pPr>
                            <w:r w:rsidRPr="00704293">
                              <w:rPr>
                                <w:rFonts w:ascii="Cambria" w:hAnsi="Cambria"/>
                              </w:rPr>
                              <w:t>Very Low</w:t>
                            </w:r>
                          </w:p>
                        </w:tc>
                      </w:tr>
                      <w:tr w:rsidR="002C05C6" w:rsidRPr="00704293" w14:paraId="01E65ECE" w14:textId="77777777" w:rsidTr="002C05C6">
                        <w:trPr>
                          <w:trHeight w:val="441"/>
                        </w:trPr>
                        <w:tc>
                          <w:tcPr>
                            <w:tcW w:w="1599" w:type="dxa"/>
                          </w:tcPr>
                          <w:p w14:paraId="4EB6A388"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Alibaba</w:t>
                            </w:r>
                          </w:p>
                        </w:tc>
                        <w:tc>
                          <w:tcPr>
                            <w:tcW w:w="1071" w:type="dxa"/>
                          </w:tcPr>
                          <w:p w14:paraId="4FAC674E" w14:textId="77777777" w:rsidR="00704293" w:rsidRPr="00704293" w:rsidRDefault="00704293" w:rsidP="00704293">
                            <w:pPr>
                              <w:spacing w:beforeLines="20" w:before="48" w:afterLines="40" w:after="96"/>
                              <w:rPr>
                                <w:rFonts w:ascii="Cambria" w:hAnsi="Cambria"/>
                              </w:rPr>
                            </w:pPr>
                            <w:r w:rsidRPr="00704293">
                              <w:rPr>
                                <w:rFonts w:ascii="Cambria" w:hAnsi="Cambria"/>
                              </w:rPr>
                              <w:t>$134.5B</w:t>
                            </w:r>
                          </w:p>
                        </w:tc>
                        <w:tc>
                          <w:tcPr>
                            <w:tcW w:w="1191" w:type="dxa"/>
                          </w:tcPr>
                          <w:p w14:paraId="2403FF71" w14:textId="77777777" w:rsidR="00704293" w:rsidRPr="00704293" w:rsidRDefault="00704293" w:rsidP="00704293">
                            <w:pPr>
                              <w:spacing w:beforeLines="20" w:before="48" w:afterLines="40" w:after="96"/>
                              <w:rPr>
                                <w:rFonts w:ascii="Cambria" w:hAnsi="Cambria"/>
                              </w:rPr>
                            </w:pPr>
                            <w:r w:rsidRPr="00704293">
                              <w:rPr>
                                <w:rFonts w:ascii="Cambria" w:hAnsi="Cambria"/>
                              </w:rPr>
                              <w:t>19.5%</w:t>
                            </w:r>
                          </w:p>
                        </w:tc>
                        <w:tc>
                          <w:tcPr>
                            <w:tcW w:w="976" w:type="dxa"/>
                          </w:tcPr>
                          <w:p w14:paraId="486B5F4D" w14:textId="77777777" w:rsidR="00704293" w:rsidRPr="00704293" w:rsidRDefault="00704293" w:rsidP="00704293">
                            <w:pPr>
                              <w:spacing w:beforeLines="20" w:before="48" w:afterLines="40" w:after="96"/>
                              <w:rPr>
                                <w:rFonts w:ascii="Cambria" w:hAnsi="Cambria"/>
                              </w:rPr>
                            </w:pPr>
                            <w:r w:rsidRPr="00704293">
                              <w:rPr>
                                <w:rFonts w:ascii="Cambria" w:hAnsi="Cambria"/>
                              </w:rPr>
                              <w:t>8.5%</w:t>
                            </w:r>
                          </w:p>
                        </w:tc>
                        <w:tc>
                          <w:tcPr>
                            <w:tcW w:w="1780" w:type="dxa"/>
                          </w:tcPr>
                          <w:p w14:paraId="5A33F13A" w14:textId="77777777" w:rsidR="00704293" w:rsidRPr="00704293" w:rsidRDefault="00704293" w:rsidP="00704293">
                            <w:pPr>
                              <w:spacing w:beforeLines="20" w:before="48" w:afterLines="40" w:after="96"/>
                              <w:rPr>
                                <w:rFonts w:ascii="Cambria" w:hAnsi="Cambria"/>
                              </w:rPr>
                            </w:pPr>
                            <w:r w:rsidRPr="00704293">
                              <w:rPr>
                                <w:rFonts w:ascii="Cambria" w:hAnsi="Cambria"/>
                              </w:rPr>
                              <w:t>A+ / A1</w:t>
                            </w:r>
                          </w:p>
                        </w:tc>
                        <w:tc>
                          <w:tcPr>
                            <w:tcW w:w="963" w:type="dxa"/>
                          </w:tcPr>
                          <w:p w14:paraId="15BA1943" w14:textId="77777777" w:rsidR="00704293" w:rsidRPr="00704293" w:rsidRDefault="00704293" w:rsidP="00704293">
                            <w:pPr>
                              <w:spacing w:beforeLines="20" w:before="48" w:afterLines="40" w:after="96"/>
                              <w:rPr>
                                <w:rFonts w:ascii="Cambria" w:hAnsi="Cambria"/>
                              </w:rPr>
                            </w:pPr>
                            <w:r w:rsidRPr="00704293">
                              <w:rPr>
                                <w:rFonts w:ascii="Cambria" w:hAnsi="Cambria"/>
                              </w:rPr>
                              <w:t>2.80</w:t>
                            </w:r>
                          </w:p>
                        </w:tc>
                        <w:tc>
                          <w:tcPr>
                            <w:tcW w:w="966" w:type="dxa"/>
                          </w:tcPr>
                          <w:p w14:paraId="1F67D4FE" w14:textId="77777777" w:rsidR="00704293" w:rsidRPr="00704293" w:rsidRDefault="00704293" w:rsidP="00704293">
                            <w:pPr>
                              <w:spacing w:beforeLines="20" w:before="48" w:afterLines="40" w:after="96"/>
                              <w:rPr>
                                <w:rFonts w:ascii="Cambria" w:hAnsi="Cambria"/>
                              </w:rPr>
                            </w:pPr>
                            <w:r w:rsidRPr="00704293">
                              <w:rPr>
                                <w:rFonts w:ascii="Cambria" w:hAnsi="Cambria"/>
                              </w:rPr>
                              <w:t>4.75</w:t>
                            </w:r>
                          </w:p>
                        </w:tc>
                        <w:tc>
                          <w:tcPr>
                            <w:tcW w:w="1196" w:type="dxa"/>
                          </w:tcPr>
                          <w:p w14:paraId="6D62C9D8" w14:textId="77777777" w:rsidR="00704293" w:rsidRPr="00704293" w:rsidRDefault="00704293" w:rsidP="00704293">
                            <w:pPr>
                              <w:spacing w:beforeLines="20" w:before="48" w:afterLines="40" w:after="96"/>
                              <w:rPr>
                                <w:rFonts w:ascii="Cambria" w:hAnsi="Cambria"/>
                              </w:rPr>
                            </w:pPr>
                            <w:r w:rsidRPr="00704293">
                              <w:rPr>
                                <w:rFonts w:ascii="Cambria" w:hAnsi="Cambria"/>
                              </w:rPr>
                              <w:t>Moderate</w:t>
                            </w:r>
                          </w:p>
                        </w:tc>
                      </w:tr>
                      <w:tr w:rsidR="002C05C6" w:rsidRPr="00704293" w14:paraId="67112FED" w14:textId="77777777" w:rsidTr="002C05C6">
                        <w:trPr>
                          <w:trHeight w:val="454"/>
                        </w:trPr>
                        <w:tc>
                          <w:tcPr>
                            <w:tcW w:w="1599" w:type="dxa"/>
                            <w:vAlign w:val="center"/>
                          </w:tcPr>
                          <w:p w14:paraId="7DCFB7B5"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Carrefour</w:t>
                            </w:r>
                          </w:p>
                        </w:tc>
                        <w:tc>
                          <w:tcPr>
                            <w:tcW w:w="1071" w:type="dxa"/>
                            <w:vAlign w:val="center"/>
                          </w:tcPr>
                          <w:p w14:paraId="24C7A7C6" w14:textId="77777777" w:rsidR="00704293" w:rsidRPr="00704293" w:rsidRDefault="00704293" w:rsidP="00704293">
                            <w:pPr>
                              <w:spacing w:beforeLines="20" w:before="48" w:afterLines="40" w:after="96"/>
                              <w:rPr>
                                <w:rFonts w:ascii="Cambria" w:hAnsi="Cambria"/>
                              </w:rPr>
                            </w:pPr>
                            <w:r w:rsidRPr="00704293">
                              <w:rPr>
                                <w:rFonts w:ascii="Cambria" w:hAnsi="Cambria"/>
                              </w:rPr>
                              <w:t>$90.1B</w:t>
                            </w:r>
                          </w:p>
                        </w:tc>
                        <w:tc>
                          <w:tcPr>
                            <w:tcW w:w="1191" w:type="dxa"/>
                            <w:vAlign w:val="center"/>
                          </w:tcPr>
                          <w:p w14:paraId="1A7C1BA4" w14:textId="77777777" w:rsidR="00704293" w:rsidRPr="00704293" w:rsidRDefault="00704293" w:rsidP="00704293">
                            <w:pPr>
                              <w:spacing w:beforeLines="20" w:before="48" w:afterLines="40" w:after="96"/>
                              <w:rPr>
                                <w:rFonts w:ascii="Cambria" w:hAnsi="Cambria"/>
                              </w:rPr>
                            </w:pPr>
                            <w:r w:rsidRPr="00704293">
                              <w:rPr>
                                <w:rFonts w:ascii="Cambria" w:hAnsi="Cambria"/>
                              </w:rPr>
                              <w:t>4.2%</w:t>
                            </w:r>
                          </w:p>
                        </w:tc>
                        <w:tc>
                          <w:tcPr>
                            <w:tcW w:w="976" w:type="dxa"/>
                            <w:vAlign w:val="center"/>
                          </w:tcPr>
                          <w:p w14:paraId="263D2BB6" w14:textId="77777777" w:rsidR="00704293" w:rsidRPr="00704293" w:rsidRDefault="00704293" w:rsidP="00704293">
                            <w:pPr>
                              <w:spacing w:beforeLines="20" w:before="48" w:afterLines="40" w:after="96"/>
                              <w:rPr>
                                <w:rFonts w:ascii="Cambria" w:hAnsi="Cambria"/>
                              </w:rPr>
                            </w:pPr>
                            <w:r w:rsidRPr="00704293">
                              <w:rPr>
                                <w:rFonts w:ascii="Cambria" w:hAnsi="Cambria"/>
                              </w:rPr>
                              <w:t>0.8%</w:t>
                            </w:r>
                          </w:p>
                        </w:tc>
                        <w:tc>
                          <w:tcPr>
                            <w:tcW w:w="1780" w:type="dxa"/>
                            <w:vAlign w:val="center"/>
                          </w:tcPr>
                          <w:p w14:paraId="13C2A363" w14:textId="77777777" w:rsidR="00704293" w:rsidRPr="00704293" w:rsidRDefault="00704293" w:rsidP="00704293">
                            <w:pPr>
                              <w:spacing w:beforeLines="20" w:before="48" w:afterLines="40" w:after="96"/>
                              <w:rPr>
                                <w:rFonts w:ascii="Cambria" w:hAnsi="Cambria"/>
                              </w:rPr>
                            </w:pPr>
                            <w:r w:rsidRPr="00704293">
                              <w:rPr>
                                <w:rFonts w:ascii="Cambria" w:hAnsi="Cambria"/>
                              </w:rPr>
                              <w:t>BBB / Baa1</w:t>
                            </w:r>
                          </w:p>
                        </w:tc>
                        <w:tc>
                          <w:tcPr>
                            <w:tcW w:w="963" w:type="dxa"/>
                            <w:vAlign w:val="center"/>
                          </w:tcPr>
                          <w:p w14:paraId="2D02BE45" w14:textId="77777777" w:rsidR="00704293" w:rsidRPr="00704293" w:rsidRDefault="00704293" w:rsidP="00704293">
                            <w:pPr>
                              <w:spacing w:beforeLines="20" w:before="48" w:afterLines="40" w:after="96"/>
                              <w:rPr>
                                <w:rFonts w:ascii="Cambria" w:hAnsi="Cambria"/>
                              </w:rPr>
                            </w:pPr>
                            <w:r w:rsidRPr="00704293">
                              <w:rPr>
                                <w:rFonts w:ascii="Cambria" w:hAnsi="Cambria"/>
                              </w:rPr>
                              <w:t>1.91</w:t>
                            </w:r>
                          </w:p>
                        </w:tc>
                        <w:tc>
                          <w:tcPr>
                            <w:tcW w:w="966" w:type="dxa"/>
                            <w:vAlign w:val="center"/>
                          </w:tcPr>
                          <w:p w14:paraId="5D4A2479" w14:textId="77777777" w:rsidR="00704293" w:rsidRPr="00704293" w:rsidRDefault="00704293" w:rsidP="00704293">
                            <w:pPr>
                              <w:spacing w:beforeLines="20" w:before="48" w:afterLines="40" w:after="96"/>
                              <w:rPr>
                                <w:rFonts w:ascii="Cambria" w:hAnsi="Cambria"/>
                              </w:rPr>
                            </w:pPr>
                            <w:r w:rsidRPr="00704293">
                              <w:rPr>
                                <w:rFonts w:ascii="Cambria" w:hAnsi="Cambria"/>
                              </w:rPr>
                              <w:t>4.58</w:t>
                            </w:r>
                          </w:p>
                        </w:tc>
                        <w:tc>
                          <w:tcPr>
                            <w:tcW w:w="1196" w:type="dxa"/>
                            <w:vAlign w:val="center"/>
                          </w:tcPr>
                          <w:p w14:paraId="006613C5" w14:textId="77777777" w:rsidR="00704293" w:rsidRPr="00704293" w:rsidRDefault="00704293" w:rsidP="00704293">
                            <w:pPr>
                              <w:spacing w:beforeLines="20" w:before="48" w:afterLines="40" w:after="96"/>
                              <w:rPr>
                                <w:rFonts w:ascii="Cambria" w:hAnsi="Cambria"/>
                              </w:rPr>
                            </w:pPr>
                            <w:r w:rsidRPr="00704293">
                              <w:rPr>
                                <w:rFonts w:ascii="Cambria" w:hAnsi="Cambria"/>
                              </w:rPr>
                              <w:t>Moderate</w:t>
                            </w:r>
                          </w:p>
                        </w:tc>
                      </w:tr>
                      <w:tr w:rsidR="002C05C6" w:rsidRPr="00704293" w14:paraId="06018813" w14:textId="77777777" w:rsidTr="002C05C6">
                        <w:trPr>
                          <w:trHeight w:val="722"/>
                        </w:trPr>
                        <w:tc>
                          <w:tcPr>
                            <w:tcW w:w="1599" w:type="dxa"/>
                            <w:vAlign w:val="center"/>
                          </w:tcPr>
                          <w:p w14:paraId="19687C41" w14:textId="77777777" w:rsidR="00704293" w:rsidRPr="00704293" w:rsidRDefault="00704293" w:rsidP="00704293">
                            <w:pPr>
                              <w:spacing w:beforeLines="20" w:before="48" w:afterLines="40" w:after="96"/>
                              <w:rPr>
                                <w:rFonts w:ascii="Cambria" w:hAnsi="Cambria"/>
                                <w:b/>
                                <w:bCs/>
                              </w:rPr>
                            </w:pPr>
                            <w:r w:rsidRPr="00704293">
                              <w:rPr>
                                <w:rFonts w:ascii="Cambria" w:hAnsi="Cambria"/>
                                <w:b/>
                                <w:bCs/>
                              </w:rPr>
                              <w:t>Magazine Luiza</w:t>
                            </w:r>
                          </w:p>
                        </w:tc>
                        <w:tc>
                          <w:tcPr>
                            <w:tcW w:w="1071" w:type="dxa"/>
                            <w:vAlign w:val="center"/>
                          </w:tcPr>
                          <w:p w14:paraId="587393B7" w14:textId="77777777" w:rsidR="00704293" w:rsidRPr="00704293" w:rsidRDefault="00704293" w:rsidP="00704293">
                            <w:pPr>
                              <w:spacing w:beforeLines="20" w:before="48" w:afterLines="40" w:after="96"/>
                              <w:rPr>
                                <w:rFonts w:ascii="Cambria" w:hAnsi="Cambria"/>
                              </w:rPr>
                            </w:pPr>
                            <w:r w:rsidRPr="00704293">
                              <w:rPr>
                                <w:rFonts w:ascii="Cambria" w:hAnsi="Cambria"/>
                              </w:rPr>
                              <w:t>$6.9B</w:t>
                            </w:r>
                          </w:p>
                        </w:tc>
                        <w:tc>
                          <w:tcPr>
                            <w:tcW w:w="1191" w:type="dxa"/>
                            <w:vAlign w:val="center"/>
                          </w:tcPr>
                          <w:p w14:paraId="64F6C5F8" w14:textId="77777777" w:rsidR="00704293" w:rsidRPr="00704293" w:rsidRDefault="00704293" w:rsidP="00704293">
                            <w:pPr>
                              <w:spacing w:beforeLines="20" w:before="48" w:afterLines="40" w:after="96"/>
                              <w:rPr>
                                <w:rFonts w:ascii="Cambria" w:hAnsi="Cambria"/>
                              </w:rPr>
                            </w:pPr>
                            <w:r w:rsidRPr="00704293">
                              <w:rPr>
                                <w:rFonts w:ascii="Cambria" w:hAnsi="Cambria"/>
                              </w:rPr>
                              <w:t>4.7%</w:t>
                            </w:r>
                          </w:p>
                        </w:tc>
                        <w:tc>
                          <w:tcPr>
                            <w:tcW w:w="976" w:type="dxa"/>
                            <w:vAlign w:val="center"/>
                          </w:tcPr>
                          <w:p w14:paraId="6A15A9E9" w14:textId="77777777" w:rsidR="00704293" w:rsidRPr="00704293" w:rsidRDefault="00704293" w:rsidP="00704293">
                            <w:pPr>
                              <w:spacing w:beforeLines="20" w:before="48" w:afterLines="40" w:after="96"/>
                              <w:rPr>
                                <w:rFonts w:ascii="Cambria" w:hAnsi="Cambria"/>
                              </w:rPr>
                            </w:pPr>
                            <w:r w:rsidRPr="00704293">
                              <w:rPr>
                                <w:rFonts w:ascii="Cambria" w:hAnsi="Cambria"/>
                              </w:rPr>
                              <w:t>1.0%</w:t>
                            </w:r>
                          </w:p>
                        </w:tc>
                        <w:tc>
                          <w:tcPr>
                            <w:tcW w:w="1780" w:type="dxa"/>
                            <w:vAlign w:val="center"/>
                          </w:tcPr>
                          <w:p w14:paraId="5C244249" w14:textId="77777777" w:rsidR="00704293" w:rsidRPr="00704293" w:rsidRDefault="00704293" w:rsidP="00704293">
                            <w:pPr>
                              <w:spacing w:beforeLines="20" w:before="48" w:afterLines="40" w:after="96"/>
                              <w:rPr>
                                <w:rFonts w:ascii="Cambria" w:hAnsi="Cambria"/>
                              </w:rPr>
                            </w:pPr>
                            <w:r w:rsidRPr="00704293">
                              <w:rPr>
                                <w:rFonts w:ascii="Cambria" w:hAnsi="Cambria"/>
                              </w:rPr>
                              <w:t>BB- / Ba3</w:t>
                            </w:r>
                          </w:p>
                        </w:tc>
                        <w:tc>
                          <w:tcPr>
                            <w:tcW w:w="963" w:type="dxa"/>
                            <w:vAlign w:val="center"/>
                          </w:tcPr>
                          <w:p w14:paraId="760FC0E9" w14:textId="77777777" w:rsidR="00704293" w:rsidRPr="00704293" w:rsidRDefault="00704293" w:rsidP="00704293">
                            <w:pPr>
                              <w:spacing w:beforeLines="20" w:before="48" w:afterLines="40" w:after="96"/>
                              <w:rPr>
                                <w:rFonts w:ascii="Cambria" w:hAnsi="Cambria"/>
                              </w:rPr>
                            </w:pPr>
                            <w:r w:rsidRPr="00704293">
                              <w:rPr>
                                <w:rFonts w:ascii="Cambria" w:hAnsi="Cambria"/>
                              </w:rPr>
                              <w:t>1.42</w:t>
                            </w:r>
                          </w:p>
                        </w:tc>
                        <w:tc>
                          <w:tcPr>
                            <w:tcW w:w="966" w:type="dxa"/>
                            <w:vAlign w:val="center"/>
                          </w:tcPr>
                          <w:p w14:paraId="5568950B" w14:textId="77777777" w:rsidR="00704293" w:rsidRPr="00704293" w:rsidRDefault="00704293" w:rsidP="00704293">
                            <w:pPr>
                              <w:spacing w:beforeLines="20" w:before="48" w:afterLines="40" w:after="96"/>
                              <w:rPr>
                                <w:rFonts w:ascii="Cambria" w:hAnsi="Cambria"/>
                              </w:rPr>
                            </w:pPr>
                            <w:r w:rsidRPr="00704293">
                              <w:rPr>
                                <w:rFonts w:ascii="Cambria" w:hAnsi="Cambria"/>
                              </w:rPr>
                              <w:t>2.12</w:t>
                            </w:r>
                          </w:p>
                        </w:tc>
                        <w:tc>
                          <w:tcPr>
                            <w:tcW w:w="1196" w:type="dxa"/>
                            <w:vAlign w:val="center"/>
                          </w:tcPr>
                          <w:p w14:paraId="282A9E24" w14:textId="77777777" w:rsidR="00704293" w:rsidRPr="00704293" w:rsidRDefault="00704293" w:rsidP="00704293">
                            <w:pPr>
                              <w:spacing w:beforeLines="20" w:before="48" w:afterLines="40" w:after="96"/>
                              <w:rPr>
                                <w:rFonts w:ascii="Cambria" w:hAnsi="Cambria"/>
                              </w:rPr>
                            </w:pPr>
                            <w:r w:rsidRPr="00704293">
                              <w:rPr>
                                <w:rFonts w:ascii="Cambria" w:hAnsi="Cambria"/>
                              </w:rPr>
                              <w:t>High</w:t>
                            </w:r>
                          </w:p>
                        </w:tc>
                      </w:tr>
                    </w:tbl>
                    <w:p w14:paraId="3622446B" w14:textId="1318C802" w:rsidR="00704293" w:rsidRDefault="00704293"/>
                  </w:txbxContent>
                </v:textbox>
                <w10:wrap type="square" anchorx="margin"/>
              </v:shape>
            </w:pict>
          </mc:Fallback>
        </mc:AlternateContent>
      </w:r>
      <w:r w:rsidR="008744F4" w:rsidRPr="00456405">
        <w:rPr>
          <w:rFonts w:ascii="Cambria" w:hAnsi="Cambria"/>
          <w:b/>
          <w:bCs/>
          <w:sz w:val="24"/>
          <w:szCs w:val="24"/>
        </w:rPr>
        <w:t>Financial Performance and Credit Risk Overview</w:t>
      </w:r>
      <w:r w:rsidR="008744F4" w:rsidRPr="00456405">
        <w:rPr>
          <w:rFonts w:ascii="Cambria" w:hAnsi="Cambria"/>
          <w:b/>
          <w:bCs/>
          <w:sz w:val="24"/>
          <w:szCs w:val="24"/>
        </w:rPr>
        <w:tab/>
      </w:r>
      <w:r w:rsidR="008744F4" w:rsidRPr="00456405">
        <w:rPr>
          <w:rFonts w:ascii="Cambria" w:hAnsi="Cambria"/>
          <w:b/>
          <w:bCs/>
          <w:sz w:val="24"/>
          <w:szCs w:val="24"/>
        </w:rPr>
        <w:br/>
      </w:r>
      <w:r w:rsidR="00766D00" w:rsidRPr="00456405">
        <w:rPr>
          <w:rFonts w:ascii="Cambria" w:hAnsi="Cambria"/>
          <w:b/>
          <w:bCs/>
          <w:sz w:val="24"/>
          <w:szCs w:val="24"/>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rPr>
        <w:br/>
      </w:r>
      <w:r w:rsidR="002F655B" w:rsidRPr="00456405">
        <w:rPr>
          <w:rFonts w:ascii="Cambria" w:hAnsi="Cambria"/>
          <w:b/>
          <w:bCs/>
          <w:noProof/>
          <w:sz w:val="24"/>
          <w:szCs w:val="24"/>
        </w:rPr>
        <w:lastRenderedPageBreak/>
        <mc:AlternateContent>
          <mc:Choice Requires="wps">
            <w:drawing>
              <wp:anchor distT="45720" distB="45720" distL="114300" distR="114300" simplePos="0" relativeHeight="251702272" behindDoc="0" locked="0" layoutInCell="1" allowOverlap="1" wp14:anchorId="2CB53485" wp14:editId="23F956BC">
                <wp:simplePos x="0" y="0"/>
                <wp:positionH relativeFrom="margin">
                  <wp:posOffset>-101600</wp:posOffset>
                </wp:positionH>
                <wp:positionV relativeFrom="paragraph">
                  <wp:posOffset>338455</wp:posOffset>
                </wp:positionV>
                <wp:extent cx="6652260" cy="2988310"/>
                <wp:effectExtent l="0" t="0" r="0" b="2540"/>
                <wp:wrapSquare wrapText="bothSides"/>
                <wp:docPr id="855507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298831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2003"/>
                              <w:gridCol w:w="2003"/>
                              <w:gridCol w:w="2003"/>
                              <w:gridCol w:w="2003"/>
                              <w:gridCol w:w="1754"/>
                            </w:tblGrid>
                            <w:tr w:rsidR="002F655B" w:rsidRPr="00BC5235" w14:paraId="6557E2EF" w14:textId="77777777" w:rsidTr="00BC5235">
                              <w:trPr>
                                <w:trHeight w:val="1080"/>
                              </w:trPr>
                              <w:tc>
                                <w:tcPr>
                                  <w:tcW w:w="2003" w:type="dxa"/>
                                  <w:vAlign w:val="center"/>
                                </w:tcPr>
                                <w:p w14:paraId="7CB14E60"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Company</w:t>
                                  </w:r>
                                </w:p>
                              </w:tc>
                              <w:tc>
                                <w:tcPr>
                                  <w:tcW w:w="2003" w:type="dxa"/>
                                  <w:vAlign w:val="center"/>
                                </w:tcPr>
                                <w:p w14:paraId="3918A3CC"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Revenue Growth (2025-2027)</w:t>
                                  </w:r>
                                </w:p>
                              </w:tc>
                              <w:tc>
                                <w:tcPr>
                                  <w:tcW w:w="2003" w:type="dxa"/>
                                  <w:vAlign w:val="center"/>
                                </w:tcPr>
                                <w:p w14:paraId="0150AABF"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EBITDA Margin (2025)</w:t>
                                  </w:r>
                                </w:p>
                              </w:tc>
                              <w:tc>
                                <w:tcPr>
                                  <w:tcW w:w="2003" w:type="dxa"/>
                                  <w:vAlign w:val="center"/>
                                </w:tcPr>
                                <w:p w14:paraId="0EB30881"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Net Income Margin (2025)</w:t>
                                  </w:r>
                                </w:p>
                              </w:tc>
                              <w:tc>
                                <w:tcPr>
                                  <w:tcW w:w="1754" w:type="dxa"/>
                                  <w:vAlign w:val="center"/>
                                </w:tcPr>
                                <w:p w14:paraId="0559E94D"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Credit Outlook</w:t>
                                  </w:r>
                                </w:p>
                              </w:tc>
                            </w:tr>
                            <w:tr w:rsidR="002F655B" w:rsidRPr="00BC5235" w14:paraId="667BE23D" w14:textId="77777777" w:rsidTr="00BC5235">
                              <w:trPr>
                                <w:trHeight w:val="478"/>
                              </w:trPr>
                              <w:tc>
                                <w:tcPr>
                                  <w:tcW w:w="2003" w:type="dxa"/>
                                  <w:vAlign w:val="center"/>
                                </w:tcPr>
                                <w:p w14:paraId="77A9D69B"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Walmart Inc.</w:t>
                                  </w:r>
                                </w:p>
                              </w:tc>
                              <w:tc>
                                <w:tcPr>
                                  <w:tcW w:w="2003" w:type="dxa"/>
                                  <w:vAlign w:val="center"/>
                                </w:tcPr>
                                <w:p w14:paraId="499AF07E" w14:textId="77777777" w:rsidR="002F655B" w:rsidRPr="00BC5235" w:rsidRDefault="002F655B" w:rsidP="00BC5235">
                                  <w:pPr>
                                    <w:spacing w:beforeLines="20" w:before="48" w:afterLines="40" w:after="96"/>
                                    <w:rPr>
                                      <w:rFonts w:ascii="Cambria" w:hAnsi="Cambria"/>
                                    </w:rPr>
                                  </w:pPr>
                                  <w:r w:rsidRPr="00BC5235">
                                    <w:rPr>
                                      <w:rFonts w:ascii="Cambria" w:hAnsi="Cambria"/>
                                    </w:rPr>
                                    <w:t>5.0% CAGR</w:t>
                                  </w:r>
                                </w:p>
                              </w:tc>
                              <w:tc>
                                <w:tcPr>
                                  <w:tcW w:w="2003" w:type="dxa"/>
                                  <w:vAlign w:val="center"/>
                                </w:tcPr>
                                <w:p w14:paraId="5808F919" w14:textId="77777777" w:rsidR="002F655B" w:rsidRPr="00BC5235" w:rsidRDefault="002F655B" w:rsidP="00BC5235">
                                  <w:pPr>
                                    <w:spacing w:beforeLines="20" w:before="48" w:afterLines="40" w:after="96"/>
                                    <w:rPr>
                                      <w:rFonts w:ascii="Cambria" w:hAnsi="Cambria"/>
                                    </w:rPr>
                                  </w:pPr>
                                  <w:r w:rsidRPr="00BC5235">
                                    <w:rPr>
                                      <w:rFonts w:ascii="Cambria" w:hAnsi="Cambria"/>
                                    </w:rPr>
                                    <w:t>6.2%</w:t>
                                  </w:r>
                                </w:p>
                              </w:tc>
                              <w:tc>
                                <w:tcPr>
                                  <w:tcW w:w="2003" w:type="dxa"/>
                                  <w:vAlign w:val="center"/>
                                </w:tcPr>
                                <w:p w14:paraId="6B49206D" w14:textId="77777777" w:rsidR="002F655B" w:rsidRPr="00BC5235" w:rsidRDefault="002F655B" w:rsidP="00BC5235">
                                  <w:pPr>
                                    <w:spacing w:beforeLines="20" w:before="48" w:afterLines="40" w:after="96"/>
                                    <w:rPr>
                                      <w:rFonts w:ascii="Cambria" w:hAnsi="Cambria"/>
                                    </w:rPr>
                                  </w:pPr>
                                  <w:r w:rsidRPr="00BC5235">
                                    <w:rPr>
                                      <w:rFonts w:ascii="Cambria" w:hAnsi="Cambria"/>
                                    </w:rPr>
                                    <w:t>2.5%</w:t>
                                  </w:r>
                                </w:p>
                              </w:tc>
                              <w:tc>
                                <w:tcPr>
                                  <w:tcW w:w="1754" w:type="dxa"/>
                                  <w:vAlign w:val="center"/>
                                </w:tcPr>
                                <w:p w14:paraId="6F6DE876" w14:textId="77777777" w:rsidR="002F655B" w:rsidRPr="00BC5235" w:rsidRDefault="002F655B" w:rsidP="00BC5235">
                                  <w:pPr>
                                    <w:spacing w:beforeLines="20" w:before="48" w:afterLines="40" w:after="96"/>
                                    <w:rPr>
                                      <w:rFonts w:ascii="Cambria" w:hAnsi="Cambria"/>
                                    </w:rPr>
                                  </w:pPr>
                                  <w:r w:rsidRPr="00BC5235">
                                    <w:rPr>
                                      <w:rFonts w:ascii="Cambria" w:hAnsi="Cambria"/>
                                    </w:rPr>
                                    <w:t>Stable</w:t>
                                  </w:r>
                                </w:p>
                              </w:tc>
                            </w:tr>
                            <w:tr w:rsidR="002F655B" w:rsidRPr="00BC5235" w14:paraId="3AE460F9" w14:textId="77777777" w:rsidTr="00BC5235">
                              <w:trPr>
                                <w:trHeight w:val="464"/>
                              </w:trPr>
                              <w:tc>
                                <w:tcPr>
                                  <w:tcW w:w="2003" w:type="dxa"/>
                                  <w:vAlign w:val="center"/>
                                </w:tcPr>
                                <w:p w14:paraId="39A3233D"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Costco</w:t>
                                  </w:r>
                                </w:p>
                              </w:tc>
                              <w:tc>
                                <w:tcPr>
                                  <w:tcW w:w="2003" w:type="dxa"/>
                                  <w:vAlign w:val="center"/>
                                </w:tcPr>
                                <w:p w14:paraId="428BB646" w14:textId="77777777" w:rsidR="002F655B" w:rsidRPr="00BC5235" w:rsidRDefault="002F655B" w:rsidP="00BC5235">
                                  <w:pPr>
                                    <w:spacing w:beforeLines="20" w:before="48" w:afterLines="40" w:after="96"/>
                                    <w:rPr>
                                      <w:rFonts w:ascii="Cambria" w:hAnsi="Cambria"/>
                                    </w:rPr>
                                  </w:pPr>
                                  <w:r w:rsidRPr="00BC5235">
                                    <w:rPr>
                                      <w:rFonts w:ascii="Cambria" w:hAnsi="Cambria"/>
                                    </w:rPr>
                                    <w:t>4.8% CAGR</w:t>
                                  </w:r>
                                </w:p>
                              </w:tc>
                              <w:tc>
                                <w:tcPr>
                                  <w:tcW w:w="2003" w:type="dxa"/>
                                  <w:vAlign w:val="center"/>
                                </w:tcPr>
                                <w:p w14:paraId="04DC707A" w14:textId="77777777" w:rsidR="002F655B" w:rsidRPr="00BC5235" w:rsidRDefault="002F655B" w:rsidP="00BC5235">
                                  <w:pPr>
                                    <w:spacing w:beforeLines="20" w:before="48" w:afterLines="40" w:after="96"/>
                                    <w:rPr>
                                      <w:rFonts w:ascii="Cambria" w:hAnsi="Cambria"/>
                                    </w:rPr>
                                  </w:pPr>
                                  <w:r w:rsidRPr="00BC5235">
                                    <w:rPr>
                                      <w:rFonts w:ascii="Cambria" w:hAnsi="Cambria"/>
                                    </w:rPr>
                                    <w:t>4.7%</w:t>
                                  </w:r>
                                </w:p>
                              </w:tc>
                              <w:tc>
                                <w:tcPr>
                                  <w:tcW w:w="2003" w:type="dxa"/>
                                  <w:vAlign w:val="center"/>
                                </w:tcPr>
                                <w:p w14:paraId="17D3B205" w14:textId="77777777" w:rsidR="002F655B" w:rsidRPr="00BC5235" w:rsidRDefault="002F655B" w:rsidP="00BC5235">
                                  <w:pPr>
                                    <w:spacing w:beforeLines="20" w:before="48" w:afterLines="40" w:after="96"/>
                                    <w:rPr>
                                      <w:rFonts w:ascii="Cambria" w:hAnsi="Cambria"/>
                                    </w:rPr>
                                  </w:pPr>
                                  <w:r w:rsidRPr="00BC5235">
                                    <w:rPr>
                                      <w:rFonts w:ascii="Cambria" w:hAnsi="Cambria"/>
                                    </w:rPr>
                                    <w:t>3.1%</w:t>
                                  </w:r>
                                </w:p>
                              </w:tc>
                              <w:tc>
                                <w:tcPr>
                                  <w:tcW w:w="1754" w:type="dxa"/>
                                  <w:vAlign w:val="center"/>
                                </w:tcPr>
                                <w:p w14:paraId="2F61180C" w14:textId="77777777" w:rsidR="002F655B" w:rsidRPr="00BC5235" w:rsidRDefault="002F655B" w:rsidP="00BC5235">
                                  <w:pPr>
                                    <w:spacing w:beforeLines="20" w:before="48" w:afterLines="40" w:after="96"/>
                                    <w:rPr>
                                      <w:rFonts w:ascii="Cambria" w:hAnsi="Cambria"/>
                                    </w:rPr>
                                  </w:pPr>
                                  <w:r w:rsidRPr="00BC5235">
                                    <w:rPr>
                                      <w:rFonts w:ascii="Cambria" w:hAnsi="Cambria"/>
                                    </w:rPr>
                                    <w:t>Positive</w:t>
                                  </w:r>
                                </w:p>
                              </w:tc>
                            </w:tr>
                            <w:tr w:rsidR="002F655B" w:rsidRPr="00BC5235" w14:paraId="572870F1" w14:textId="77777777" w:rsidTr="00BC5235">
                              <w:trPr>
                                <w:trHeight w:val="464"/>
                              </w:trPr>
                              <w:tc>
                                <w:tcPr>
                                  <w:tcW w:w="2003" w:type="dxa"/>
                                  <w:vAlign w:val="center"/>
                                </w:tcPr>
                                <w:p w14:paraId="6668F769"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Alibaba</w:t>
                                  </w:r>
                                </w:p>
                              </w:tc>
                              <w:tc>
                                <w:tcPr>
                                  <w:tcW w:w="2003" w:type="dxa"/>
                                  <w:vAlign w:val="center"/>
                                </w:tcPr>
                                <w:p w14:paraId="63E877DF" w14:textId="77777777" w:rsidR="002F655B" w:rsidRPr="00BC5235" w:rsidRDefault="002F655B" w:rsidP="00BC5235">
                                  <w:pPr>
                                    <w:spacing w:beforeLines="20" w:before="48" w:afterLines="40" w:after="96"/>
                                    <w:rPr>
                                      <w:rFonts w:ascii="Cambria" w:hAnsi="Cambria"/>
                                    </w:rPr>
                                  </w:pPr>
                                  <w:r w:rsidRPr="00BC5235">
                                    <w:rPr>
                                      <w:rFonts w:ascii="Cambria" w:hAnsi="Cambria"/>
                                    </w:rPr>
                                    <w:t>6.0% CAGR</w:t>
                                  </w:r>
                                </w:p>
                              </w:tc>
                              <w:tc>
                                <w:tcPr>
                                  <w:tcW w:w="2003" w:type="dxa"/>
                                  <w:vAlign w:val="center"/>
                                </w:tcPr>
                                <w:p w14:paraId="684B8219" w14:textId="77777777" w:rsidR="002F655B" w:rsidRPr="00BC5235" w:rsidRDefault="002F655B" w:rsidP="00BC5235">
                                  <w:pPr>
                                    <w:spacing w:beforeLines="20" w:before="48" w:afterLines="40" w:after="96"/>
                                    <w:rPr>
                                      <w:rFonts w:ascii="Cambria" w:hAnsi="Cambria"/>
                                    </w:rPr>
                                  </w:pPr>
                                  <w:r w:rsidRPr="00BC5235">
                                    <w:rPr>
                                      <w:rFonts w:ascii="Cambria" w:hAnsi="Cambria"/>
                                    </w:rPr>
                                    <w:t>20.1%</w:t>
                                  </w:r>
                                </w:p>
                              </w:tc>
                              <w:tc>
                                <w:tcPr>
                                  <w:tcW w:w="2003" w:type="dxa"/>
                                  <w:vAlign w:val="center"/>
                                </w:tcPr>
                                <w:p w14:paraId="33CADBFD" w14:textId="77777777" w:rsidR="002F655B" w:rsidRPr="00BC5235" w:rsidRDefault="002F655B" w:rsidP="00BC5235">
                                  <w:pPr>
                                    <w:spacing w:beforeLines="20" w:before="48" w:afterLines="40" w:after="96"/>
                                    <w:rPr>
                                      <w:rFonts w:ascii="Cambria" w:hAnsi="Cambria"/>
                                    </w:rPr>
                                  </w:pPr>
                                  <w:r w:rsidRPr="00BC5235">
                                    <w:rPr>
                                      <w:rFonts w:ascii="Cambria" w:hAnsi="Cambria"/>
                                    </w:rPr>
                                    <w:t>9.0%</w:t>
                                  </w:r>
                                </w:p>
                              </w:tc>
                              <w:tc>
                                <w:tcPr>
                                  <w:tcW w:w="1754" w:type="dxa"/>
                                  <w:vAlign w:val="center"/>
                                </w:tcPr>
                                <w:p w14:paraId="086649C3" w14:textId="77777777" w:rsidR="002F655B" w:rsidRPr="00BC5235" w:rsidRDefault="002F655B" w:rsidP="00BC5235">
                                  <w:pPr>
                                    <w:spacing w:beforeLines="20" w:before="48" w:afterLines="40" w:after="96"/>
                                    <w:rPr>
                                      <w:rFonts w:ascii="Cambria" w:hAnsi="Cambria"/>
                                    </w:rPr>
                                  </w:pPr>
                                  <w:r w:rsidRPr="00BC5235">
                                    <w:rPr>
                                      <w:rFonts w:ascii="Cambria" w:hAnsi="Cambria"/>
                                    </w:rPr>
                                    <w:t>Negative</w:t>
                                  </w:r>
                                </w:p>
                              </w:tc>
                            </w:tr>
                            <w:tr w:rsidR="002F655B" w:rsidRPr="00BC5235" w14:paraId="0E852863" w14:textId="77777777" w:rsidTr="00BC5235">
                              <w:trPr>
                                <w:trHeight w:val="464"/>
                              </w:trPr>
                              <w:tc>
                                <w:tcPr>
                                  <w:tcW w:w="2003" w:type="dxa"/>
                                  <w:vAlign w:val="center"/>
                                </w:tcPr>
                                <w:p w14:paraId="4581A2BF"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Carrefour</w:t>
                                  </w:r>
                                </w:p>
                              </w:tc>
                              <w:tc>
                                <w:tcPr>
                                  <w:tcW w:w="2003" w:type="dxa"/>
                                  <w:vAlign w:val="center"/>
                                </w:tcPr>
                                <w:p w14:paraId="194D4105" w14:textId="77777777" w:rsidR="002F655B" w:rsidRPr="00BC5235" w:rsidRDefault="002F655B" w:rsidP="00BC5235">
                                  <w:pPr>
                                    <w:spacing w:beforeLines="20" w:before="48" w:afterLines="40" w:after="96"/>
                                    <w:rPr>
                                      <w:rFonts w:ascii="Cambria" w:hAnsi="Cambria"/>
                                    </w:rPr>
                                  </w:pPr>
                                  <w:r w:rsidRPr="00BC5235">
                                    <w:rPr>
                                      <w:rFonts w:ascii="Cambria" w:hAnsi="Cambria"/>
                                    </w:rPr>
                                    <w:t>2.3% CAGR</w:t>
                                  </w:r>
                                </w:p>
                              </w:tc>
                              <w:tc>
                                <w:tcPr>
                                  <w:tcW w:w="2003" w:type="dxa"/>
                                  <w:vAlign w:val="center"/>
                                </w:tcPr>
                                <w:p w14:paraId="43C4292B" w14:textId="77777777" w:rsidR="002F655B" w:rsidRPr="00BC5235" w:rsidRDefault="002F655B" w:rsidP="00BC5235">
                                  <w:pPr>
                                    <w:spacing w:beforeLines="20" w:before="48" w:afterLines="40" w:after="96"/>
                                    <w:rPr>
                                      <w:rFonts w:ascii="Cambria" w:hAnsi="Cambria"/>
                                    </w:rPr>
                                  </w:pPr>
                                  <w:r w:rsidRPr="00BC5235">
                                    <w:rPr>
                                      <w:rFonts w:ascii="Cambria" w:hAnsi="Cambria"/>
                                    </w:rPr>
                                    <w:t>4.0%</w:t>
                                  </w:r>
                                </w:p>
                              </w:tc>
                              <w:tc>
                                <w:tcPr>
                                  <w:tcW w:w="2003" w:type="dxa"/>
                                  <w:vAlign w:val="center"/>
                                </w:tcPr>
                                <w:p w14:paraId="576C33FB" w14:textId="77777777" w:rsidR="002F655B" w:rsidRPr="00BC5235" w:rsidRDefault="002F655B" w:rsidP="00BC5235">
                                  <w:pPr>
                                    <w:spacing w:beforeLines="20" w:before="48" w:afterLines="40" w:after="96"/>
                                    <w:rPr>
                                      <w:rFonts w:ascii="Cambria" w:hAnsi="Cambria"/>
                                    </w:rPr>
                                  </w:pPr>
                                  <w:r w:rsidRPr="00BC5235">
                                    <w:rPr>
                                      <w:rFonts w:ascii="Cambria" w:hAnsi="Cambria"/>
                                    </w:rPr>
                                    <w:t>0.9%</w:t>
                                  </w:r>
                                </w:p>
                              </w:tc>
                              <w:tc>
                                <w:tcPr>
                                  <w:tcW w:w="1754" w:type="dxa"/>
                                  <w:vAlign w:val="center"/>
                                </w:tcPr>
                                <w:p w14:paraId="6D130A75" w14:textId="77777777" w:rsidR="002F655B" w:rsidRPr="00BC5235" w:rsidRDefault="002F655B" w:rsidP="00BC5235">
                                  <w:pPr>
                                    <w:spacing w:beforeLines="20" w:before="48" w:afterLines="40" w:after="96"/>
                                    <w:rPr>
                                      <w:rFonts w:ascii="Cambria" w:hAnsi="Cambria"/>
                                    </w:rPr>
                                  </w:pPr>
                                  <w:r w:rsidRPr="00BC5235">
                                    <w:rPr>
                                      <w:rFonts w:ascii="Cambria" w:hAnsi="Cambria"/>
                                    </w:rPr>
                                    <w:t>Negative</w:t>
                                  </w:r>
                                </w:p>
                              </w:tc>
                            </w:tr>
                            <w:tr w:rsidR="002F655B" w:rsidRPr="00BC5235" w14:paraId="4E0CFF35" w14:textId="77777777" w:rsidTr="00BC5235">
                              <w:trPr>
                                <w:trHeight w:val="464"/>
                              </w:trPr>
                              <w:tc>
                                <w:tcPr>
                                  <w:tcW w:w="2003" w:type="dxa"/>
                                  <w:vAlign w:val="center"/>
                                </w:tcPr>
                                <w:p w14:paraId="256B1770"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Magazine Luiza</w:t>
                                  </w:r>
                                </w:p>
                              </w:tc>
                              <w:tc>
                                <w:tcPr>
                                  <w:tcW w:w="2003" w:type="dxa"/>
                                  <w:vAlign w:val="center"/>
                                </w:tcPr>
                                <w:p w14:paraId="186EE361" w14:textId="77777777" w:rsidR="002F655B" w:rsidRPr="00BC5235" w:rsidRDefault="002F655B" w:rsidP="00BC5235">
                                  <w:pPr>
                                    <w:spacing w:beforeLines="20" w:before="48" w:afterLines="40" w:after="96"/>
                                    <w:rPr>
                                      <w:rFonts w:ascii="Cambria" w:hAnsi="Cambria"/>
                                    </w:rPr>
                                  </w:pPr>
                                  <w:r w:rsidRPr="00BC5235">
                                    <w:rPr>
                                      <w:rFonts w:ascii="Cambria" w:hAnsi="Cambria"/>
                                    </w:rPr>
                                    <w:t>1.5% CAGR</w:t>
                                  </w:r>
                                </w:p>
                              </w:tc>
                              <w:tc>
                                <w:tcPr>
                                  <w:tcW w:w="2003" w:type="dxa"/>
                                  <w:vAlign w:val="center"/>
                                </w:tcPr>
                                <w:p w14:paraId="7115C2D9" w14:textId="77777777" w:rsidR="002F655B" w:rsidRPr="00BC5235" w:rsidRDefault="002F655B" w:rsidP="00BC5235">
                                  <w:pPr>
                                    <w:spacing w:beforeLines="20" w:before="48" w:afterLines="40" w:after="96"/>
                                    <w:rPr>
                                      <w:rFonts w:ascii="Cambria" w:hAnsi="Cambria"/>
                                    </w:rPr>
                                  </w:pPr>
                                  <w:r w:rsidRPr="00BC5235">
                                    <w:rPr>
                                      <w:rFonts w:ascii="Cambria" w:hAnsi="Cambria"/>
                                    </w:rPr>
                                    <w:t>5.0%</w:t>
                                  </w:r>
                                </w:p>
                              </w:tc>
                              <w:tc>
                                <w:tcPr>
                                  <w:tcW w:w="2003" w:type="dxa"/>
                                  <w:vAlign w:val="center"/>
                                </w:tcPr>
                                <w:p w14:paraId="6AE0EB07" w14:textId="77777777" w:rsidR="002F655B" w:rsidRPr="00BC5235" w:rsidRDefault="002F655B" w:rsidP="00BC5235">
                                  <w:pPr>
                                    <w:spacing w:beforeLines="20" w:before="48" w:afterLines="40" w:after="96"/>
                                    <w:rPr>
                                      <w:rFonts w:ascii="Cambria" w:hAnsi="Cambria"/>
                                    </w:rPr>
                                  </w:pPr>
                                  <w:r w:rsidRPr="00BC5235">
                                    <w:rPr>
                                      <w:rFonts w:ascii="Cambria" w:hAnsi="Cambria"/>
                                    </w:rPr>
                                    <w:t>1.3%</w:t>
                                  </w:r>
                                </w:p>
                              </w:tc>
                              <w:tc>
                                <w:tcPr>
                                  <w:tcW w:w="1754" w:type="dxa"/>
                                  <w:vAlign w:val="center"/>
                                </w:tcPr>
                                <w:p w14:paraId="51A55078" w14:textId="77777777" w:rsidR="002F655B" w:rsidRPr="00BC5235" w:rsidRDefault="002F655B" w:rsidP="00BC5235">
                                  <w:pPr>
                                    <w:spacing w:beforeLines="20" w:before="48" w:afterLines="40" w:after="96"/>
                                    <w:rPr>
                                      <w:rFonts w:ascii="Cambria" w:hAnsi="Cambria"/>
                                    </w:rPr>
                                  </w:pPr>
                                  <w:r w:rsidRPr="00BC5235">
                                    <w:rPr>
                                      <w:rFonts w:ascii="Cambria" w:hAnsi="Cambria"/>
                                    </w:rPr>
                                    <w:t>High Risk</w:t>
                                  </w:r>
                                </w:p>
                              </w:tc>
                            </w:tr>
                          </w:tbl>
                          <w:p w14:paraId="63A77882" w14:textId="0485D76E" w:rsidR="002F655B" w:rsidRPr="009D0B27" w:rsidRDefault="00333488" w:rsidP="002F655B">
                            <w:pPr>
                              <w:rPr>
                                <w:rFonts w:ascii="Cambria" w:hAnsi="Cambria"/>
                                <w:i/>
                                <w:iCs/>
                                <w:sz w:val="20"/>
                                <w:szCs w:val="20"/>
                              </w:rPr>
                            </w:pPr>
                            <w:r>
                              <w:br/>
                            </w:r>
                            <w:r w:rsidRPr="009D0B27">
                              <w:rPr>
                                <w:rFonts w:ascii="Cambria" w:hAnsi="Cambria"/>
                                <w:b/>
                                <w:bCs/>
                                <w:i/>
                                <w:iCs/>
                                <w:sz w:val="20"/>
                                <w:szCs w:val="20"/>
                              </w:rPr>
                              <w:t xml:space="preserve">Table 7: </w:t>
                            </w:r>
                            <w:r w:rsidRPr="009D0B27">
                              <w:rPr>
                                <w:rFonts w:ascii="Cambria" w:hAnsi="Cambria"/>
                                <w:i/>
                                <w:iCs/>
                                <w:sz w:val="20"/>
                                <w:szCs w:val="20"/>
                              </w:rPr>
                              <w:t xml:space="preserve">Credit Outlook – This table provides the projected financial performance metrics for the retailers, offering insights into future financial stability and risk assessment.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53485" id="_x0000_s1045" type="#_x0000_t202" style="position:absolute;left:0;text-align:left;margin-left:-8pt;margin-top:26.65pt;width:523.8pt;height:235.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" filled="f" stroked="f">
                <v:textbox>
                  <w:txbxContent>
                    <w:tbl>
                      <w:tblPr>
                        <w:tblStyle w:val="TableGrid"/>
                        <w:tblW w:w="0" w:type="auto"/>
                        <w:tblLook w:val="04A0" w:firstRow="1" w:lastRow="0" w:firstColumn="1" w:lastColumn="0" w:noHBand="0" w:noVBand="1"/>
                      </w:tblPr>
                      <w:tblGrid>
                        <w:gridCol w:w="2003"/>
                        <w:gridCol w:w="2003"/>
                        <w:gridCol w:w="2003"/>
                        <w:gridCol w:w="2003"/>
                        <w:gridCol w:w="1754"/>
                      </w:tblGrid>
                      <w:tr w:rsidR="002F655B" w:rsidRPr="00BC5235" w14:paraId="6557E2EF" w14:textId="77777777" w:rsidTr="00BC5235">
                        <w:trPr>
                          <w:trHeight w:val="1080"/>
                        </w:trPr>
                        <w:tc>
                          <w:tcPr>
                            <w:tcW w:w="2003" w:type="dxa"/>
                            <w:vAlign w:val="center"/>
                          </w:tcPr>
                          <w:p w14:paraId="7CB14E60"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Company</w:t>
                            </w:r>
                          </w:p>
                        </w:tc>
                        <w:tc>
                          <w:tcPr>
                            <w:tcW w:w="2003" w:type="dxa"/>
                            <w:vAlign w:val="center"/>
                          </w:tcPr>
                          <w:p w14:paraId="3918A3CC"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Revenue Growth (2025-2027)</w:t>
                            </w:r>
                          </w:p>
                        </w:tc>
                        <w:tc>
                          <w:tcPr>
                            <w:tcW w:w="2003" w:type="dxa"/>
                            <w:vAlign w:val="center"/>
                          </w:tcPr>
                          <w:p w14:paraId="0150AABF"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EBITDA Margin (2025)</w:t>
                            </w:r>
                          </w:p>
                        </w:tc>
                        <w:tc>
                          <w:tcPr>
                            <w:tcW w:w="2003" w:type="dxa"/>
                            <w:vAlign w:val="center"/>
                          </w:tcPr>
                          <w:p w14:paraId="0EB30881"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Projected Net Income Margin (2025)</w:t>
                            </w:r>
                          </w:p>
                        </w:tc>
                        <w:tc>
                          <w:tcPr>
                            <w:tcW w:w="1754" w:type="dxa"/>
                            <w:vAlign w:val="center"/>
                          </w:tcPr>
                          <w:p w14:paraId="0559E94D"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Credit Outlook</w:t>
                            </w:r>
                          </w:p>
                        </w:tc>
                      </w:tr>
                      <w:tr w:rsidR="002F655B" w:rsidRPr="00BC5235" w14:paraId="667BE23D" w14:textId="77777777" w:rsidTr="00BC5235">
                        <w:trPr>
                          <w:trHeight w:val="478"/>
                        </w:trPr>
                        <w:tc>
                          <w:tcPr>
                            <w:tcW w:w="2003" w:type="dxa"/>
                            <w:vAlign w:val="center"/>
                          </w:tcPr>
                          <w:p w14:paraId="77A9D69B"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Walmart Inc.</w:t>
                            </w:r>
                          </w:p>
                        </w:tc>
                        <w:tc>
                          <w:tcPr>
                            <w:tcW w:w="2003" w:type="dxa"/>
                            <w:vAlign w:val="center"/>
                          </w:tcPr>
                          <w:p w14:paraId="499AF07E" w14:textId="77777777" w:rsidR="002F655B" w:rsidRPr="00BC5235" w:rsidRDefault="002F655B" w:rsidP="00BC5235">
                            <w:pPr>
                              <w:spacing w:beforeLines="20" w:before="48" w:afterLines="40" w:after="96"/>
                              <w:rPr>
                                <w:rFonts w:ascii="Cambria" w:hAnsi="Cambria"/>
                              </w:rPr>
                            </w:pPr>
                            <w:r w:rsidRPr="00BC5235">
                              <w:rPr>
                                <w:rFonts w:ascii="Cambria" w:hAnsi="Cambria"/>
                              </w:rPr>
                              <w:t>5.0% CAGR</w:t>
                            </w:r>
                          </w:p>
                        </w:tc>
                        <w:tc>
                          <w:tcPr>
                            <w:tcW w:w="2003" w:type="dxa"/>
                            <w:vAlign w:val="center"/>
                          </w:tcPr>
                          <w:p w14:paraId="5808F919" w14:textId="77777777" w:rsidR="002F655B" w:rsidRPr="00BC5235" w:rsidRDefault="002F655B" w:rsidP="00BC5235">
                            <w:pPr>
                              <w:spacing w:beforeLines="20" w:before="48" w:afterLines="40" w:after="96"/>
                              <w:rPr>
                                <w:rFonts w:ascii="Cambria" w:hAnsi="Cambria"/>
                              </w:rPr>
                            </w:pPr>
                            <w:r w:rsidRPr="00BC5235">
                              <w:rPr>
                                <w:rFonts w:ascii="Cambria" w:hAnsi="Cambria"/>
                              </w:rPr>
                              <w:t>6.2%</w:t>
                            </w:r>
                          </w:p>
                        </w:tc>
                        <w:tc>
                          <w:tcPr>
                            <w:tcW w:w="2003" w:type="dxa"/>
                            <w:vAlign w:val="center"/>
                          </w:tcPr>
                          <w:p w14:paraId="6B49206D" w14:textId="77777777" w:rsidR="002F655B" w:rsidRPr="00BC5235" w:rsidRDefault="002F655B" w:rsidP="00BC5235">
                            <w:pPr>
                              <w:spacing w:beforeLines="20" w:before="48" w:afterLines="40" w:after="96"/>
                              <w:rPr>
                                <w:rFonts w:ascii="Cambria" w:hAnsi="Cambria"/>
                              </w:rPr>
                            </w:pPr>
                            <w:r w:rsidRPr="00BC5235">
                              <w:rPr>
                                <w:rFonts w:ascii="Cambria" w:hAnsi="Cambria"/>
                              </w:rPr>
                              <w:t>2.5%</w:t>
                            </w:r>
                          </w:p>
                        </w:tc>
                        <w:tc>
                          <w:tcPr>
                            <w:tcW w:w="1754" w:type="dxa"/>
                            <w:vAlign w:val="center"/>
                          </w:tcPr>
                          <w:p w14:paraId="6F6DE876" w14:textId="77777777" w:rsidR="002F655B" w:rsidRPr="00BC5235" w:rsidRDefault="002F655B" w:rsidP="00BC5235">
                            <w:pPr>
                              <w:spacing w:beforeLines="20" w:before="48" w:afterLines="40" w:after="96"/>
                              <w:rPr>
                                <w:rFonts w:ascii="Cambria" w:hAnsi="Cambria"/>
                              </w:rPr>
                            </w:pPr>
                            <w:r w:rsidRPr="00BC5235">
                              <w:rPr>
                                <w:rFonts w:ascii="Cambria" w:hAnsi="Cambria"/>
                              </w:rPr>
                              <w:t>Stable</w:t>
                            </w:r>
                          </w:p>
                        </w:tc>
                      </w:tr>
                      <w:tr w:rsidR="002F655B" w:rsidRPr="00BC5235" w14:paraId="3AE460F9" w14:textId="77777777" w:rsidTr="00BC5235">
                        <w:trPr>
                          <w:trHeight w:val="464"/>
                        </w:trPr>
                        <w:tc>
                          <w:tcPr>
                            <w:tcW w:w="2003" w:type="dxa"/>
                            <w:vAlign w:val="center"/>
                          </w:tcPr>
                          <w:p w14:paraId="39A3233D"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Costco</w:t>
                            </w:r>
                          </w:p>
                        </w:tc>
                        <w:tc>
                          <w:tcPr>
                            <w:tcW w:w="2003" w:type="dxa"/>
                            <w:vAlign w:val="center"/>
                          </w:tcPr>
                          <w:p w14:paraId="428BB646" w14:textId="77777777" w:rsidR="002F655B" w:rsidRPr="00BC5235" w:rsidRDefault="002F655B" w:rsidP="00BC5235">
                            <w:pPr>
                              <w:spacing w:beforeLines="20" w:before="48" w:afterLines="40" w:after="96"/>
                              <w:rPr>
                                <w:rFonts w:ascii="Cambria" w:hAnsi="Cambria"/>
                              </w:rPr>
                            </w:pPr>
                            <w:r w:rsidRPr="00BC5235">
                              <w:rPr>
                                <w:rFonts w:ascii="Cambria" w:hAnsi="Cambria"/>
                              </w:rPr>
                              <w:t>4.8% CAGR</w:t>
                            </w:r>
                          </w:p>
                        </w:tc>
                        <w:tc>
                          <w:tcPr>
                            <w:tcW w:w="2003" w:type="dxa"/>
                            <w:vAlign w:val="center"/>
                          </w:tcPr>
                          <w:p w14:paraId="04DC707A" w14:textId="77777777" w:rsidR="002F655B" w:rsidRPr="00BC5235" w:rsidRDefault="002F655B" w:rsidP="00BC5235">
                            <w:pPr>
                              <w:spacing w:beforeLines="20" w:before="48" w:afterLines="40" w:after="96"/>
                              <w:rPr>
                                <w:rFonts w:ascii="Cambria" w:hAnsi="Cambria"/>
                              </w:rPr>
                            </w:pPr>
                            <w:r w:rsidRPr="00BC5235">
                              <w:rPr>
                                <w:rFonts w:ascii="Cambria" w:hAnsi="Cambria"/>
                              </w:rPr>
                              <w:t>4.7%</w:t>
                            </w:r>
                          </w:p>
                        </w:tc>
                        <w:tc>
                          <w:tcPr>
                            <w:tcW w:w="2003" w:type="dxa"/>
                            <w:vAlign w:val="center"/>
                          </w:tcPr>
                          <w:p w14:paraId="17D3B205" w14:textId="77777777" w:rsidR="002F655B" w:rsidRPr="00BC5235" w:rsidRDefault="002F655B" w:rsidP="00BC5235">
                            <w:pPr>
                              <w:spacing w:beforeLines="20" w:before="48" w:afterLines="40" w:after="96"/>
                              <w:rPr>
                                <w:rFonts w:ascii="Cambria" w:hAnsi="Cambria"/>
                              </w:rPr>
                            </w:pPr>
                            <w:r w:rsidRPr="00BC5235">
                              <w:rPr>
                                <w:rFonts w:ascii="Cambria" w:hAnsi="Cambria"/>
                              </w:rPr>
                              <w:t>3.1%</w:t>
                            </w:r>
                          </w:p>
                        </w:tc>
                        <w:tc>
                          <w:tcPr>
                            <w:tcW w:w="1754" w:type="dxa"/>
                            <w:vAlign w:val="center"/>
                          </w:tcPr>
                          <w:p w14:paraId="2F61180C" w14:textId="77777777" w:rsidR="002F655B" w:rsidRPr="00BC5235" w:rsidRDefault="002F655B" w:rsidP="00BC5235">
                            <w:pPr>
                              <w:spacing w:beforeLines="20" w:before="48" w:afterLines="40" w:after="96"/>
                              <w:rPr>
                                <w:rFonts w:ascii="Cambria" w:hAnsi="Cambria"/>
                              </w:rPr>
                            </w:pPr>
                            <w:r w:rsidRPr="00BC5235">
                              <w:rPr>
                                <w:rFonts w:ascii="Cambria" w:hAnsi="Cambria"/>
                              </w:rPr>
                              <w:t>Positive</w:t>
                            </w:r>
                          </w:p>
                        </w:tc>
                      </w:tr>
                      <w:tr w:rsidR="002F655B" w:rsidRPr="00BC5235" w14:paraId="572870F1" w14:textId="77777777" w:rsidTr="00BC5235">
                        <w:trPr>
                          <w:trHeight w:val="464"/>
                        </w:trPr>
                        <w:tc>
                          <w:tcPr>
                            <w:tcW w:w="2003" w:type="dxa"/>
                            <w:vAlign w:val="center"/>
                          </w:tcPr>
                          <w:p w14:paraId="6668F769"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Alibaba</w:t>
                            </w:r>
                          </w:p>
                        </w:tc>
                        <w:tc>
                          <w:tcPr>
                            <w:tcW w:w="2003" w:type="dxa"/>
                            <w:vAlign w:val="center"/>
                          </w:tcPr>
                          <w:p w14:paraId="63E877DF" w14:textId="77777777" w:rsidR="002F655B" w:rsidRPr="00BC5235" w:rsidRDefault="002F655B" w:rsidP="00BC5235">
                            <w:pPr>
                              <w:spacing w:beforeLines="20" w:before="48" w:afterLines="40" w:after="96"/>
                              <w:rPr>
                                <w:rFonts w:ascii="Cambria" w:hAnsi="Cambria"/>
                              </w:rPr>
                            </w:pPr>
                            <w:r w:rsidRPr="00BC5235">
                              <w:rPr>
                                <w:rFonts w:ascii="Cambria" w:hAnsi="Cambria"/>
                              </w:rPr>
                              <w:t>6.0% CAGR</w:t>
                            </w:r>
                          </w:p>
                        </w:tc>
                        <w:tc>
                          <w:tcPr>
                            <w:tcW w:w="2003" w:type="dxa"/>
                            <w:vAlign w:val="center"/>
                          </w:tcPr>
                          <w:p w14:paraId="684B8219" w14:textId="77777777" w:rsidR="002F655B" w:rsidRPr="00BC5235" w:rsidRDefault="002F655B" w:rsidP="00BC5235">
                            <w:pPr>
                              <w:spacing w:beforeLines="20" w:before="48" w:afterLines="40" w:after="96"/>
                              <w:rPr>
                                <w:rFonts w:ascii="Cambria" w:hAnsi="Cambria"/>
                              </w:rPr>
                            </w:pPr>
                            <w:r w:rsidRPr="00BC5235">
                              <w:rPr>
                                <w:rFonts w:ascii="Cambria" w:hAnsi="Cambria"/>
                              </w:rPr>
                              <w:t>20.1%</w:t>
                            </w:r>
                          </w:p>
                        </w:tc>
                        <w:tc>
                          <w:tcPr>
                            <w:tcW w:w="2003" w:type="dxa"/>
                            <w:vAlign w:val="center"/>
                          </w:tcPr>
                          <w:p w14:paraId="33CADBFD" w14:textId="77777777" w:rsidR="002F655B" w:rsidRPr="00BC5235" w:rsidRDefault="002F655B" w:rsidP="00BC5235">
                            <w:pPr>
                              <w:spacing w:beforeLines="20" w:before="48" w:afterLines="40" w:after="96"/>
                              <w:rPr>
                                <w:rFonts w:ascii="Cambria" w:hAnsi="Cambria"/>
                              </w:rPr>
                            </w:pPr>
                            <w:r w:rsidRPr="00BC5235">
                              <w:rPr>
                                <w:rFonts w:ascii="Cambria" w:hAnsi="Cambria"/>
                              </w:rPr>
                              <w:t>9.0%</w:t>
                            </w:r>
                          </w:p>
                        </w:tc>
                        <w:tc>
                          <w:tcPr>
                            <w:tcW w:w="1754" w:type="dxa"/>
                            <w:vAlign w:val="center"/>
                          </w:tcPr>
                          <w:p w14:paraId="086649C3" w14:textId="77777777" w:rsidR="002F655B" w:rsidRPr="00BC5235" w:rsidRDefault="002F655B" w:rsidP="00BC5235">
                            <w:pPr>
                              <w:spacing w:beforeLines="20" w:before="48" w:afterLines="40" w:after="96"/>
                              <w:rPr>
                                <w:rFonts w:ascii="Cambria" w:hAnsi="Cambria"/>
                              </w:rPr>
                            </w:pPr>
                            <w:r w:rsidRPr="00BC5235">
                              <w:rPr>
                                <w:rFonts w:ascii="Cambria" w:hAnsi="Cambria"/>
                              </w:rPr>
                              <w:t>Negative</w:t>
                            </w:r>
                          </w:p>
                        </w:tc>
                      </w:tr>
                      <w:tr w:rsidR="002F655B" w:rsidRPr="00BC5235" w14:paraId="0E852863" w14:textId="77777777" w:rsidTr="00BC5235">
                        <w:trPr>
                          <w:trHeight w:val="464"/>
                        </w:trPr>
                        <w:tc>
                          <w:tcPr>
                            <w:tcW w:w="2003" w:type="dxa"/>
                            <w:vAlign w:val="center"/>
                          </w:tcPr>
                          <w:p w14:paraId="4581A2BF"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Carrefour</w:t>
                            </w:r>
                          </w:p>
                        </w:tc>
                        <w:tc>
                          <w:tcPr>
                            <w:tcW w:w="2003" w:type="dxa"/>
                            <w:vAlign w:val="center"/>
                          </w:tcPr>
                          <w:p w14:paraId="194D4105" w14:textId="77777777" w:rsidR="002F655B" w:rsidRPr="00BC5235" w:rsidRDefault="002F655B" w:rsidP="00BC5235">
                            <w:pPr>
                              <w:spacing w:beforeLines="20" w:before="48" w:afterLines="40" w:after="96"/>
                              <w:rPr>
                                <w:rFonts w:ascii="Cambria" w:hAnsi="Cambria"/>
                              </w:rPr>
                            </w:pPr>
                            <w:r w:rsidRPr="00BC5235">
                              <w:rPr>
                                <w:rFonts w:ascii="Cambria" w:hAnsi="Cambria"/>
                              </w:rPr>
                              <w:t>2.3% CAGR</w:t>
                            </w:r>
                          </w:p>
                        </w:tc>
                        <w:tc>
                          <w:tcPr>
                            <w:tcW w:w="2003" w:type="dxa"/>
                            <w:vAlign w:val="center"/>
                          </w:tcPr>
                          <w:p w14:paraId="43C4292B" w14:textId="77777777" w:rsidR="002F655B" w:rsidRPr="00BC5235" w:rsidRDefault="002F655B" w:rsidP="00BC5235">
                            <w:pPr>
                              <w:spacing w:beforeLines="20" w:before="48" w:afterLines="40" w:after="96"/>
                              <w:rPr>
                                <w:rFonts w:ascii="Cambria" w:hAnsi="Cambria"/>
                              </w:rPr>
                            </w:pPr>
                            <w:r w:rsidRPr="00BC5235">
                              <w:rPr>
                                <w:rFonts w:ascii="Cambria" w:hAnsi="Cambria"/>
                              </w:rPr>
                              <w:t>4.0%</w:t>
                            </w:r>
                          </w:p>
                        </w:tc>
                        <w:tc>
                          <w:tcPr>
                            <w:tcW w:w="2003" w:type="dxa"/>
                            <w:vAlign w:val="center"/>
                          </w:tcPr>
                          <w:p w14:paraId="576C33FB" w14:textId="77777777" w:rsidR="002F655B" w:rsidRPr="00BC5235" w:rsidRDefault="002F655B" w:rsidP="00BC5235">
                            <w:pPr>
                              <w:spacing w:beforeLines="20" w:before="48" w:afterLines="40" w:after="96"/>
                              <w:rPr>
                                <w:rFonts w:ascii="Cambria" w:hAnsi="Cambria"/>
                              </w:rPr>
                            </w:pPr>
                            <w:r w:rsidRPr="00BC5235">
                              <w:rPr>
                                <w:rFonts w:ascii="Cambria" w:hAnsi="Cambria"/>
                              </w:rPr>
                              <w:t>0.9%</w:t>
                            </w:r>
                          </w:p>
                        </w:tc>
                        <w:tc>
                          <w:tcPr>
                            <w:tcW w:w="1754" w:type="dxa"/>
                            <w:vAlign w:val="center"/>
                          </w:tcPr>
                          <w:p w14:paraId="6D130A75" w14:textId="77777777" w:rsidR="002F655B" w:rsidRPr="00BC5235" w:rsidRDefault="002F655B" w:rsidP="00BC5235">
                            <w:pPr>
                              <w:spacing w:beforeLines="20" w:before="48" w:afterLines="40" w:after="96"/>
                              <w:rPr>
                                <w:rFonts w:ascii="Cambria" w:hAnsi="Cambria"/>
                              </w:rPr>
                            </w:pPr>
                            <w:r w:rsidRPr="00BC5235">
                              <w:rPr>
                                <w:rFonts w:ascii="Cambria" w:hAnsi="Cambria"/>
                              </w:rPr>
                              <w:t>Negative</w:t>
                            </w:r>
                          </w:p>
                        </w:tc>
                      </w:tr>
                      <w:tr w:rsidR="002F655B" w:rsidRPr="00BC5235" w14:paraId="4E0CFF35" w14:textId="77777777" w:rsidTr="00BC5235">
                        <w:trPr>
                          <w:trHeight w:val="464"/>
                        </w:trPr>
                        <w:tc>
                          <w:tcPr>
                            <w:tcW w:w="2003" w:type="dxa"/>
                            <w:vAlign w:val="center"/>
                          </w:tcPr>
                          <w:p w14:paraId="256B1770" w14:textId="77777777" w:rsidR="002F655B" w:rsidRPr="00BC5235" w:rsidRDefault="002F655B" w:rsidP="00BC5235">
                            <w:pPr>
                              <w:spacing w:beforeLines="20" w:before="48" w:afterLines="40" w:after="96"/>
                              <w:rPr>
                                <w:rFonts w:ascii="Cambria" w:hAnsi="Cambria"/>
                                <w:b/>
                                <w:bCs/>
                              </w:rPr>
                            </w:pPr>
                            <w:r w:rsidRPr="00BC5235">
                              <w:rPr>
                                <w:rFonts w:ascii="Cambria" w:hAnsi="Cambria"/>
                                <w:b/>
                                <w:bCs/>
                              </w:rPr>
                              <w:t>Magazine Luiza</w:t>
                            </w:r>
                          </w:p>
                        </w:tc>
                        <w:tc>
                          <w:tcPr>
                            <w:tcW w:w="2003" w:type="dxa"/>
                            <w:vAlign w:val="center"/>
                          </w:tcPr>
                          <w:p w14:paraId="186EE361" w14:textId="77777777" w:rsidR="002F655B" w:rsidRPr="00BC5235" w:rsidRDefault="002F655B" w:rsidP="00BC5235">
                            <w:pPr>
                              <w:spacing w:beforeLines="20" w:before="48" w:afterLines="40" w:after="96"/>
                              <w:rPr>
                                <w:rFonts w:ascii="Cambria" w:hAnsi="Cambria"/>
                              </w:rPr>
                            </w:pPr>
                            <w:r w:rsidRPr="00BC5235">
                              <w:rPr>
                                <w:rFonts w:ascii="Cambria" w:hAnsi="Cambria"/>
                              </w:rPr>
                              <w:t>1.5% CAGR</w:t>
                            </w:r>
                          </w:p>
                        </w:tc>
                        <w:tc>
                          <w:tcPr>
                            <w:tcW w:w="2003" w:type="dxa"/>
                            <w:vAlign w:val="center"/>
                          </w:tcPr>
                          <w:p w14:paraId="7115C2D9" w14:textId="77777777" w:rsidR="002F655B" w:rsidRPr="00BC5235" w:rsidRDefault="002F655B" w:rsidP="00BC5235">
                            <w:pPr>
                              <w:spacing w:beforeLines="20" w:before="48" w:afterLines="40" w:after="96"/>
                              <w:rPr>
                                <w:rFonts w:ascii="Cambria" w:hAnsi="Cambria"/>
                              </w:rPr>
                            </w:pPr>
                            <w:r w:rsidRPr="00BC5235">
                              <w:rPr>
                                <w:rFonts w:ascii="Cambria" w:hAnsi="Cambria"/>
                              </w:rPr>
                              <w:t>5.0%</w:t>
                            </w:r>
                          </w:p>
                        </w:tc>
                        <w:tc>
                          <w:tcPr>
                            <w:tcW w:w="2003" w:type="dxa"/>
                            <w:vAlign w:val="center"/>
                          </w:tcPr>
                          <w:p w14:paraId="6AE0EB07" w14:textId="77777777" w:rsidR="002F655B" w:rsidRPr="00BC5235" w:rsidRDefault="002F655B" w:rsidP="00BC5235">
                            <w:pPr>
                              <w:spacing w:beforeLines="20" w:before="48" w:afterLines="40" w:after="96"/>
                              <w:rPr>
                                <w:rFonts w:ascii="Cambria" w:hAnsi="Cambria"/>
                              </w:rPr>
                            </w:pPr>
                            <w:r w:rsidRPr="00BC5235">
                              <w:rPr>
                                <w:rFonts w:ascii="Cambria" w:hAnsi="Cambria"/>
                              </w:rPr>
                              <w:t>1.3%</w:t>
                            </w:r>
                          </w:p>
                        </w:tc>
                        <w:tc>
                          <w:tcPr>
                            <w:tcW w:w="1754" w:type="dxa"/>
                            <w:vAlign w:val="center"/>
                          </w:tcPr>
                          <w:p w14:paraId="51A55078" w14:textId="77777777" w:rsidR="002F655B" w:rsidRPr="00BC5235" w:rsidRDefault="002F655B" w:rsidP="00BC5235">
                            <w:pPr>
                              <w:spacing w:beforeLines="20" w:before="48" w:afterLines="40" w:after="96"/>
                              <w:rPr>
                                <w:rFonts w:ascii="Cambria" w:hAnsi="Cambria"/>
                              </w:rPr>
                            </w:pPr>
                            <w:r w:rsidRPr="00BC5235">
                              <w:rPr>
                                <w:rFonts w:ascii="Cambria" w:hAnsi="Cambria"/>
                              </w:rPr>
                              <w:t>High Risk</w:t>
                            </w:r>
                          </w:p>
                        </w:tc>
                      </w:tr>
                    </w:tbl>
                    <w:p w14:paraId="63A77882" w14:textId="0485D76E" w:rsidR="002F655B" w:rsidRPr="009D0B27" w:rsidRDefault="00333488" w:rsidP="002F655B">
                      <w:pPr>
                        <w:rPr>
                          <w:rFonts w:ascii="Cambria" w:hAnsi="Cambria"/>
                          <w:i/>
                          <w:iCs/>
                          <w:sz w:val="20"/>
                          <w:szCs w:val="20"/>
                        </w:rPr>
                      </w:pPr>
                      <w:r>
                        <w:br/>
                      </w:r>
                      <w:r w:rsidRPr="009D0B27">
                        <w:rPr>
                          <w:rFonts w:ascii="Cambria" w:hAnsi="Cambria"/>
                          <w:b/>
                          <w:bCs/>
                          <w:i/>
                          <w:iCs/>
                          <w:sz w:val="20"/>
                          <w:szCs w:val="20"/>
                        </w:rPr>
                        <w:t xml:space="preserve">Table 7: </w:t>
                      </w:r>
                      <w:r w:rsidRPr="009D0B27">
                        <w:rPr>
                          <w:rFonts w:ascii="Cambria" w:hAnsi="Cambria"/>
                          <w:i/>
                          <w:iCs/>
                          <w:sz w:val="20"/>
                          <w:szCs w:val="20"/>
                        </w:rPr>
                        <w:t xml:space="preserve">Credit Outlook – This table provides the projected financial performance metrics for the retailers, offering insights into future financial stability and risk assessment. </w:t>
                      </w:r>
                    </w:p>
                  </w:txbxContent>
                </v:textbox>
                <w10:wrap type="square" anchorx="margin"/>
              </v:shape>
            </w:pict>
          </mc:Fallback>
        </mc:AlternateContent>
      </w:r>
      <w:r w:rsidR="00A30D12" w:rsidRPr="00456405">
        <w:rPr>
          <w:rFonts w:ascii="Cambria" w:hAnsi="Cambria"/>
          <w:b/>
          <w:bCs/>
          <w:noProof/>
          <w:sz w:val="24"/>
          <w:szCs w:val="24"/>
        </w:rPr>
        <w:t>Credit Outlook and Risk Assessment</w:t>
      </w:r>
      <w:r w:rsidR="00BC5235" w:rsidRPr="00456405">
        <w:rPr>
          <w:rFonts w:ascii="Cambria" w:hAnsi="Cambria"/>
          <w:b/>
          <w:bCs/>
          <w:sz w:val="24"/>
          <w:szCs w:val="24"/>
        </w:rPr>
        <w:tab/>
      </w:r>
      <w:r w:rsidR="009D0B27" w:rsidRPr="00456405">
        <w:rPr>
          <w:rFonts w:ascii="Cambria" w:hAnsi="Cambria"/>
          <w:b/>
          <w:bCs/>
          <w:sz w:val="24"/>
          <w:szCs w:val="24"/>
        </w:rPr>
        <w:br/>
      </w:r>
      <w:r w:rsidR="00205AE8" w:rsidRPr="00456405">
        <w:rPr>
          <w:rFonts w:ascii="Cambria" w:hAnsi="Cambria"/>
          <w:b/>
          <w:bCs/>
          <w:sz w:val="24"/>
          <w:szCs w:val="24"/>
        </w:rPr>
        <w:t xml:space="preserve">Safe Investment Grade: </w:t>
      </w:r>
      <w:r w:rsidR="00205AE8" w:rsidRPr="00456405">
        <w:rPr>
          <w:rFonts w:ascii="Cambria" w:hAnsi="Cambria"/>
          <w:sz w:val="24"/>
          <w:szCs w:val="24"/>
        </w:rPr>
        <w:t xml:space="preserve">Costco and Walmart retain their strong investment-grade credit quality, making them attractive for stable leverage issuance and favourable lending conditions. </w:t>
      </w:r>
      <w:r w:rsidR="00205AE8" w:rsidRPr="00456405">
        <w:rPr>
          <w:rFonts w:ascii="Cambria" w:hAnsi="Cambria"/>
          <w:sz w:val="24"/>
          <w:szCs w:val="24"/>
        </w:rPr>
        <w:tab/>
      </w:r>
      <w:r w:rsidR="00205AE8" w:rsidRPr="00456405">
        <w:rPr>
          <w:rFonts w:ascii="Cambria" w:hAnsi="Cambria"/>
          <w:sz w:val="24"/>
          <w:szCs w:val="24"/>
        </w:rPr>
        <w:br/>
      </w:r>
      <w:r w:rsidR="00205AE8" w:rsidRPr="00456405">
        <w:rPr>
          <w:rFonts w:ascii="Cambria" w:hAnsi="Cambria"/>
          <w:sz w:val="24"/>
          <w:szCs w:val="24"/>
        </w:rPr>
        <w:br/>
      </w:r>
      <w:r w:rsidR="00205AE8" w:rsidRPr="00456405">
        <w:rPr>
          <w:rFonts w:ascii="Cambria" w:hAnsi="Cambria"/>
          <w:b/>
          <w:bCs/>
          <w:sz w:val="24"/>
          <w:szCs w:val="24"/>
        </w:rPr>
        <w:t xml:space="preserve">Caution Advised: </w:t>
      </w:r>
      <w:r w:rsidR="00205AE8" w:rsidRPr="00456405">
        <w:rPr>
          <w:rFonts w:ascii="Cambria" w:hAnsi="Cambria"/>
          <w:sz w:val="24"/>
          <w:szCs w:val="24"/>
        </w:rPr>
        <w:t>Alibaba and Carrefour show signs of weakening credit strength, requiring close monitoring for regulatory and financial risks.</w:t>
      </w:r>
      <w:r w:rsidR="00205AE8" w:rsidRPr="00456405">
        <w:rPr>
          <w:rFonts w:ascii="Cambria" w:hAnsi="Cambria"/>
          <w:sz w:val="24"/>
          <w:szCs w:val="24"/>
        </w:rPr>
        <w:tab/>
      </w:r>
      <w:r w:rsidR="00205AE8" w:rsidRPr="00456405">
        <w:rPr>
          <w:rFonts w:ascii="Cambria" w:hAnsi="Cambria"/>
          <w:sz w:val="24"/>
          <w:szCs w:val="24"/>
        </w:rPr>
        <w:br/>
      </w:r>
      <w:r w:rsidR="00205AE8" w:rsidRPr="00456405">
        <w:rPr>
          <w:rFonts w:ascii="Cambria" w:hAnsi="Cambria"/>
          <w:sz w:val="24"/>
          <w:szCs w:val="24"/>
        </w:rPr>
        <w:br/>
      </w:r>
      <w:r w:rsidR="00205AE8" w:rsidRPr="00456405">
        <w:rPr>
          <w:rFonts w:ascii="Cambria" w:hAnsi="Cambria"/>
          <w:b/>
          <w:bCs/>
          <w:sz w:val="24"/>
          <w:szCs w:val="24"/>
        </w:rPr>
        <w:t>High Distress Risk:</w:t>
      </w:r>
      <w:r w:rsidR="00205AE8" w:rsidRPr="00456405">
        <w:rPr>
          <w:rFonts w:ascii="Cambria" w:hAnsi="Cambria"/>
          <w:sz w:val="24"/>
          <w:szCs w:val="24"/>
        </w:rPr>
        <w:t xml:space="preserve"> Magazine Luiza is at risk of credit default unless urgent restructuring and financial stabili</w:t>
      </w:r>
      <w:r w:rsidR="00101DB8" w:rsidRPr="00456405">
        <w:rPr>
          <w:rFonts w:ascii="Cambria" w:hAnsi="Cambria"/>
          <w:sz w:val="24"/>
          <w:szCs w:val="24"/>
        </w:rPr>
        <w:t>s</w:t>
      </w:r>
      <w:r w:rsidR="00205AE8" w:rsidRPr="00456405">
        <w:rPr>
          <w:rFonts w:ascii="Cambria" w:hAnsi="Cambria"/>
          <w:sz w:val="24"/>
          <w:szCs w:val="24"/>
        </w:rPr>
        <w:t>ation strategies are executed.</w:t>
      </w:r>
      <w:r w:rsidR="003831A2" w:rsidRPr="00456405">
        <w:rPr>
          <w:rFonts w:ascii="Cambria" w:hAnsi="Cambria"/>
          <w:sz w:val="24"/>
          <w:szCs w:val="24"/>
        </w:rPr>
        <w:tab/>
      </w:r>
      <w:r w:rsidR="003831A2" w:rsidRPr="00456405">
        <w:rPr>
          <w:rFonts w:ascii="Cambria" w:hAnsi="Cambria"/>
          <w:sz w:val="24"/>
          <w:szCs w:val="24"/>
        </w:rPr>
        <w:br/>
      </w:r>
      <w:r w:rsidR="003831A2" w:rsidRPr="00456405">
        <w:rPr>
          <w:rFonts w:ascii="Cambria" w:hAnsi="Cambria"/>
          <w:sz w:val="24"/>
          <w:szCs w:val="24"/>
        </w:rPr>
        <w:br/>
      </w:r>
    </w:p>
    <w:p w14:paraId="69BF5A82" w14:textId="77777777" w:rsidR="003831A2" w:rsidRPr="00456405" w:rsidRDefault="003831A2">
      <w:pPr>
        <w:rPr>
          <w:rFonts w:ascii="Cambria" w:hAnsi="Cambria"/>
          <w:sz w:val="24"/>
          <w:szCs w:val="24"/>
        </w:rPr>
      </w:pPr>
      <w:r w:rsidRPr="00456405">
        <w:rPr>
          <w:rFonts w:ascii="Cambria" w:hAnsi="Cambria"/>
          <w:sz w:val="24"/>
          <w:szCs w:val="24"/>
        </w:rPr>
        <w:br w:type="page"/>
      </w:r>
    </w:p>
    <w:p w14:paraId="3F6B06A7" w14:textId="6048EF3E" w:rsidR="008970CB" w:rsidRPr="00456405" w:rsidRDefault="000A34F4" w:rsidP="00730709">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743232" behindDoc="0" locked="0" layoutInCell="1" allowOverlap="1" wp14:anchorId="690F0167" wp14:editId="5E594740">
                <wp:simplePos x="0" y="0"/>
                <wp:positionH relativeFrom="column">
                  <wp:posOffset>91440</wp:posOffset>
                </wp:positionH>
                <wp:positionV relativeFrom="paragraph">
                  <wp:posOffset>388620</wp:posOffset>
                </wp:positionV>
                <wp:extent cx="3999230" cy="388620"/>
                <wp:effectExtent l="0" t="0" r="1270" b="0"/>
                <wp:wrapSquare wrapText="bothSides"/>
                <wp:docPr id="189811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388620"/>
                        </a:xfrm>
                        <a:prstGeom prst="rect">
                          <a:avLst/>
                        </a:prstGeom>
                        <a:solidFill>
                          <a:srgbClr val="FFFFFF"/>
                        </a:solidFill>
                        <a:ln w="9525">
                          <a:noFill/>
                          <a:miter lim="800000"/>
                          <a:headEnd/>
                          <a:tailEnd/>
                        </a:ln>
                      </wps:spPr>
                      <wps:txbx>
                        <w:txbxContent>
                          <w:p w14:paraId="539FD8E8" w14:textId="5E5A9F39" w:rsidR="000A34F4" w:rsidRDefault="000A34F4">
                            <w:r>
                              <w:rPr>
                                <w:rFonts w:ascii="Cambria" w:hAnsi="Cambria"/>
                                <w:b/>
                                <w:bCs/>
                                <w:sz w:val="24"/>
                                <w:szCs w:val="24"/>
                              </w:rPr>
                              <w:t>1. Walmart Inc. Financial Statements</w:t>
                            </w:r>
                            <w:r>
                              <w:rPr>
                                <w:rFonts w:ascii="Cambria" w:hAnsi="Cambria"/>
                                <w:b/>
                                <w:bCs/>
                                <w:sz w:val="24"/>
                                <w:szCs w:val="24"/>
                              </w:rPr>
                              <w:tab/>
                            </w:r>
                            <w:r>
                              <w:rPr>
                                <w:rFonts w:ascii="Cambria" w:hAnsi="Cambria"/>
                                <w:b/>
                                <w:bCs/>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F0167" id="_x0000_s1046" type="#_x0000_t202" style="position:absolute;left:0;text-align:left;margin-left:7.2pt;margin-top:30.6pt;width:314.9pt;height:30.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" stroked="f">
                <v:textbox>
                  <w:txbxContent>
                    <w:p w14:paraId="539FD8E8" w14:textId="5E5A9F39" w:rsidR="000A34F4" w:rsidRDefault="000A34F4">
                      <w:r>
                        <w:rPr>
                          <w:rFonts w:ascii="Cambria" w:hAnsi="Cambria"/>
                          <w:b/>
                          <w:bCs/>
                          <w:sz w:val="24"/>
                          <w:szCs w:val="24"/>
                        </w:rPr>
                        <w:t>1. Walmart Inc. Financial Statements</w:t>
                      </w:r>
                      <w:r>
                        <w:rPr>
                          <w:rFonts w:ascii="Cambria" w:hAnsi="Cambria"/>
                          <w:b/>
                          <w:bCs/>
                          <w:sz w:val="24"/>
                          <w:szCs w:val="24"/>
                        </w:rPr>
                        <w:tab/>
                      </w:r>
                      <w:r>
                        <w:rPr>
                          <w:rFonts w:ascii="Cambria" w:hAnsi="Cambria"/>
                          <w:b/>
                          <w:bCs/>
                          <w:sz w:val="24"/>
                          <w:szCs w:val="24"/>
                        </w:rPr>
                        <w:br/>
                      </w:r>
                    </w:p>
                  </w:txbxContent>
                </v:textbox>
                <w10:wrap type="square"/>
              </v:shape>
            </w:pict>
          </mc:Fallback>
        </mc:AlternateContent>
      </w:r>
      <w:r w:rsidR="00E67059" w:rsidRPr="00456405">
        <w:rPr>
          <w:rFonts w:ascii="Cambria" w:hAnsi="Cambria"/>
          <w:b/>
          <w:bCs/>
          <w:noProof/>
          <w:sz w:val="24"/>
          <w:szCs w:val="24"/>
        </w:rPr>
        <mc:AlternateContent>
          <mc:Choice Requires="wps">
            <w:drawing>
              <wp:anchor distT="45720" distB="45720" distL="114300" distR="114300" simplePos="0" relativeHeight="251704320" behindDoc="0" locked="0" layoutInCell="1" allowOverlap="1" wp14:anchorId="55BA6B2A" wp14:editId="52E5AD6C">
                <wp:simplePos x="0" y="0"/>
                <wp:positionH relativeFrom="margin">
                  <wp:align>right</wp:align>
                </wp:positionH>
                <wp:positionV relativeFrom="paragraph">
                  <wp:posOffset>777240</wp:posOffset>
                </wp:positionV>
                <wp:extent cx="6164580" cy="6614160"/>
                <wp:effectExtent l="0" t="0" r="0" b="0"/>
                <wp:wrapSquare wrapText="bothSides"/>
                <wp:docPr id="947555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6614160"/>
                        </a:xfrm>
                        <a:prstGeom prst="rect">
                          <a:avLst/>
                        </a:prstGeom>
                        <a:noFill/>
                        <a:ln w="9525">
                          <a:noFill/>
                          <a:miter lim="800000"/>
                          <a:headEnd/>
                          <a:tailEnd/>
                        </a:ln>
                      </wps:spPr>
                      <wps:txbx>
                        <w:txbxContent>
                          <w:tbl>
                            <w:tblPr>
                              <w:tblW w:w="4992" w:type="pct"/>
                              <w:tblLook w:val="04A0" w:firstRow="1" w:lastRow="0" w:firstColumn="1" w:lastColumn="0" w:noHBand="0" w:noVBand="1"/>
                            </w:tblPr>
                            <w:tblGrid>
                              <w:gridCol w:w="3746"/>
                              <w:gridCol w:w="913"/>
                              <w:gridCol w:w="912"/>
                              <w:gridCol w:w="912"/>
                              <w:gridCol w:w="912"/>
                              <w:gridCol w:w="912"/>
                              <w:gridCol w:w="1099"/>
                            </w:tblGrid>
                            <w:tr w:rsidR="003C2F53" w:rsidRPr="00E11EEC" w14:paraId="4BA4ED65" w14:textId="77777777" w:rsidTr="000E7471">
                              <w:trPr>
                                <w:trHeight w:val="204"/>
                              </w:trPr>
                              <w:tc>
                                <w:tcPr>
                                  <w:tcW w:w="1991" w:type="pct"/>
                                  <w:tcBorders>
                                    <w:top w:val="nil"/>
                                    <w:left w:val="nil"/>
                                    <w:bottom w:val="nil"/>
                                    <w:right w:val="nil"/>
                                  </w:tcBorders>
                                  <w:noWrap/>
                                  <w:vAlign w:val="bottom"/>
                                  <w:hideMark/>
                                </w:tcPr>
                                <w:p w14:paraId="4A17254C"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Walmart Inc. (</w:t>
                                  </w:r>
                                  <w:r w:rsidRPr="00E67059">
                                    <w:rPr>
                                      <w:rFonts w:ascii="Cambria" w:eastAsia="Times New Roman" w:hAnsi="Cambria" w:cs="Arial"/>
                                      <w:b/>
                                      <w:bCs/>
                                      <w:color w:val="000000"/>
                                      <w:kern w:val="0"/>
                                      <w:sz w:val="14"/>
                                      <w:szCs w:val="14"/>
                                      <w:lang w:eastAsia="en-IN"/>
                                      <w14:ligatures w14:val="none"/>
                                    </w:rPr>
                                    <w:t>NYSE:WMT) &gt; Financials &gt; Ratios</w:t>
                                  </w:r>
                                </w:p>
                              </w:tc>
                              <w:tc>
                                <w:tcPr>
                                  <w:tcW w:w="485" w:type="pct"/>
                                  <w:tcBorders>
                                    <w:top w:val="nil"/>
                                    <w:left w:val="nil"/>
                                    <w:bottom w:val="nil"/>
                                    <w:right w:val="nil"/>
                                  </w:tcBorders>
                                  <w:noWrap/>
                                  <w:vAlign w:val="bottom"/>
                                  <w:hideMark/>
                                </w:tcPr>
                                <w:p w14:paraId="74FEA4B4"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vAlign w:val="bottom"/>
                                  <w:hideMark/>
                                </w:tcPr>
                                <w:p w14:paraId="6801944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1FA1A66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1778C17D"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0EA3A19E"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vAlign w:val="bottom"/>
                                  <w:hideMark/>
                                </w:tcPr>
                                <w:p w14:paraId="367BEFA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0E7471" w:rsidRPr="00E11EEC" w14:paraId="33FFCB81" w14:textId="77777777" w:rsidTr="000E7471">
                              <w:trPr>
                                <w:trHeight w:val="204"/>
                              </w:trPr>
                              <w:tc>
                                <w:tcPr>
                                  <w:tcW w:w="1991" w:type="pct"/>
                                  <w:tcBorders>
                                    <w:top w:val="nil"/>
                                    <w:left w:val="nil"/>
                                    <w:bottom w:val="nil"/>
                                    <w:right w:val="nil"/>
                                  </w:tcBorders>
                                  <w:shd w:val="clear" w:color="000000" w:fill="003366"/>
                                  <w:noWrap/>
                                  <w:vAlign w:val="bottom"/>
                                  <w:hideMark/>
                                </w:tcPr>
                                <w:p w14:paraId="113429D7"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Ratios</w:t>
                                  </w:r>
                                </w:p>
                              </w:tc>
                              <w:tc>
                                <w:tcPr>
                                  <w:tcW w:w="485" w:type="pct"/>
                                  <w:tcBorders>
                                    <w:top w:val="nil"/>
                                    <w:left w:val="nil"/>
                                    <w:bottom w:val="nil"/>
                                    <w:right w:val="nil"/>
                                  </w:tcBorders>
                                  <w:shd w:val="clear" w:color="000000" w:fill="003366"/>
                                  <w:noWrap/>
                                  <w:vAlign w:val="bottom"/>
                                  <w:hideMark/>
                                </w:tcPr>
                                <w:p w14:paraId="1935D109"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40A0F506"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79E4CE34"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59C797BA"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591497B4"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585" w:type="pct"/>
                                  <w:tcBorders>
                                    <w:top w:val="nil"/>
                                    <w:left w:val="nil"/>
                                    <w:bottom w:val="nil"/>
                                    <w:right w:val="nil"/>
                                  </w:tcBorders>
                                  <w:shd w:val="clear" w:color="000000" w:fill="003366"/>
                                  <w:noWrap/>
                                  <w:vAlign w:val="bottom"/>
                                  <w:hideMark/>
                                </w:tcPr>
                                <w:p w14:paraId="060CCC21"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r>
                            <w:tr w:rsidR="00E67059" w:rsidRPr="00E11EEC" w14:paraId="281E047D" w14:textId="77777777" w:rsidTr="000E7471">
                              <w:trPr>
                                <w:trHeight w:val="612"/>
                              </w:trPr>
                              <w:tc>
                                <w:tcPr>
                                  <w:tcW w:w="1991" w:type="pct"/>
                                  <w:tcBorders>
                                    <w:top w:val="nil"/>
                                    <w:left w:val="nil"/>
                                    <w:bottom w:val="nil"/>
                                    <w:right w:val="nil"/>
                                  </w:tcBorders>
                                  <w:shd w:val="clear" w:color="000000" w:fill="F0F0DC"/>
                                  <w:vAlign w:val="bottom"/>
                                  <w:hideMark/>
                                </w:tcPr>
                                <w:p w14:paraId="772EF29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For the Fiscal Period Ending</w:t>
                                  </w:r>
                                </w:p>
                              </w:tc>
                              <w:tc>
                                <w:tcPr>
                                  <w:tcW w:w="485" w:type="pct"/>
                                  <w:tcBorders>
                                    <w:top w:val="nil"/>
                                    <w:left w:val="nil"/>
                                    <w:bottom w:val="nil"/>
                                    <w:right w:val="nil"/>
                                  </w:tcBorders>
                                  <w:shd w:val="clear" w:color="000000" w:fill="F0F0DC"/>
                                  <w:vAlign w:val="bottom"/>
                                  <w:hideMark/>
                                </w:tcPr>
                                <w:p w14:paraId="5F1CBBA8"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Jan-31-2020</w:t>
                                  </w:r>
                                </w:p>
                              </w:tc>
                              <w:tc>
                                <w:tcPr>
                                  <w:tcW w:w="485" w:type="pct"/>
                                  <w:tcBorders>
                                    <w:top w:val="nil"/>
                                    <w:left w:val="nil"/>
                                    <w:bottom w:val="nil"/>
                                    <w:right w:val="nil"/>
                                  </w:tcBorders>
                                  <w:shd w:val="clear" w:color="000000" w:fill="F0F0DC"/>
                                  <w:vAlign w:val="bottom"/>
                                  <w:hideMark/>
                                </w:tcPr>
                                <w:p w14:paraId="6C57F62B"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Jan-31-2021</w:t>
                                  </w:r>
                                </w:p>
                              </w:tc>
                              <w:tc>
                                <w:tcPr>
                                  <w:tcW w:w="485" w:type="pct"/>
                                  <w:tcBorders>
                                    <w:top w:val="nil"/>
                                    <w:left w:val="nil"/>
                                    <w:bottom w:val="nil"/>
                                    <w:right w:val="nil"/>
                                  </w:tcBorders>
                                  <w:shd w:val="clear" w:color="000000" w:fill="F0F0DC"/>
                                  <w:vAlign w:val="bottom"/>
                                  <w:hideMark/>
                                </w:tcPr>
                                <w:p w14:paraId="058BBD2C"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Jan-31-2022</w:t>
                                  </w:r>
                                </w:p>
                              </w:tc>
                              <w:tc>
                                <w:tcPr>
                                  <w:tcW w:w="485" w:type="pct"/>
                                  <w:tcBorders>
                                    <w:top w:val="nil"/>
                                    <w:left w:val="nil"/>
                                    <w:bottom w:val="nil"/>
                                    <w:right w:val="nil"/>
                                  </w:tcBorders>
                                  <w:shd w:val="clear" w:color="000000" w:fill="F0F0DC"/>
                                  <w:vAlign w:val="bottom"/>
                                  <w:hideMark/>
                                </w:tcPr>
                                <w:p w14:paraId="5CE4E3AD"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Jan-31-2023</w:t>
                                  </w:r>
                                </w:p>
                              </w:tc>
                              <w:tc>
                                <w:tcPr>
                                  <w:tcW w:w="485" w:type="pct"/>
                                  <w:tcBorders>
                                    <w:top w:val="nil"/>
                                    <w:left w:val="nil"/>
                                    <w:bottom w:val="nil"/>
                                    <w:right w:val="nil"/>
                                  </w:tcBorders>
                                  <w:shd w:val="clear" w:color="000000" w:fill="F0F0DC"/>
                                  <w:vAlign w:val="bottom"/>
                                  <w:hideMark/>
                                </w:tcPr>
                                <w:p w14:paraId="53FF4182"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Jan-31-2024</w:t>
                                  </w:r>
                                </w:p>
                              </w:tc>
                              <w:tc>
                                <w:tcPr>
                                  <w:tcW w:w="585" w:type="pct"/>
                                  <w:tcBorders>
                                    <w:top w:val="nil"/>
                                    <w:left w:val="nil"/>
                                    <w:bottom w:val="nil"/>
                                    <w:right w:val="nil"/>
                                  </w:tcBorders>
                                  <w:shd w:val="clear" w:color="000000" w:fill="F0F0DC"/>
                                  <w:vAlign w:val="bottom"/>
                                  <w:hideMark/>
                                </w:tcPr>
                                <w:p w14:paraId="0280F405"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Press Release</w:t>
                                  </w:r>
                                  <w:r w:rsidRPr="00E67059">
                                    <w:rPr>
                                      <w:rFonts w:ascii="Cambria" w:eastAsia="Times New Roman" w:hAnsi="Cambria" w:cs="Arial"/>
                                      <w:b/>
                                      <w:bCs/>
                                      <w:color w:val="000000"/>
                                      <w:kern w:val="0"/>
                                      <w:sz w:val="14"/>
                                      <w:szCs w:val="14"/>
                                      <w:lang w:eastAsia="en-IN"/>
                                      <w14:ligatures w14:val="none"/>
                                    </w:rPr>
                                    <w:br/>
                                    <w:t>12 months</w:t>
                                  </w:r>
                                  <w:r w:rsidRPr="00E67059">
                                    <w:rPr>
                                      <w:rFonts w:ascii="Cambria" w:eastAsia="Times New Roman" w:hAnsi="Cambria" w:cs="Arial"/>
                                      <w:b/>
                                      <w:bCs/>
                                      <w:color w:val="000000"/>
                                      <w:kern w:val="0"/>
                                      <w:sz w:val="14"/>
                                      <w:szCs w:val="14"/>
                                      <w:lang w:eastAsia="en-IN"/>
                                      <w14:ligatures w14:val="none"/>
                                    </w:rPr>
                                    <w:br/>
                                    <w:t>Jan-31-2025</w:t>
                                  </w:r>
                                </w:p>
                              </w:tc>
                            </w:tr>
                            <w:tr w:rsidR="003C2F53" w:rsidRPr="00E11EEC" w14:paraId="7181B2A0" w14:textId="77777777" w:rsidTr="000E7471">
                              <w:trPr>
                                <w:trHeight w:val="204"/>
                              </w:trPr>
                              <w:tc>
                                <w:tcPr>
                                  <w:tcW w:w="1991" w:type="pct"/>
                                  <w:tcBorders>
                                    <w:top w:val="nil"/>
                                    <w:left w:val="nil"/>
                                    <w:bottom w:val="nil"/>
                                    <w:right w:val="nil"/>
                                  </w:tcBorders>
                                  <w:noWrap/>
                                  <w:hideMark/>
                                </w:tcPr>
                                <w:p w14:paraId="229EEA6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Profitability</w:t>
                                  </w:r>
                                </w:p>
                              </w:tc>
                              <w:tc>
                                <w:tcPr>
                                  <w:tcW w:w="485" w:type="pct"/>
                                  <w:tcBorders>
                                    <w:top w:val="nil"/>
                                    <w:left w:val="nil"/>
                                    <w:bottom w:val="nil"/>
                                    <w:right w:val="nil"/>
                                  </w:tcBorders>
                                  <w:noWrap/>
                                  <w:hideMark/>
                                </w:tcPr>
                                <w:p w14:paraId="45927A35"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1F671D78"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1E252BE"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728D2E2B"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D311E1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505BEC3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3FBF4336" w14:textId="77777777" w:rsidTr="000E7471">
                              <w:trPr>
                                <w:trHeight w:val="204"/>
                              </w:trPr>
                              <w:tc>
                                <w:tcPr>
                                  <w:tcW w:w="1991" w:type="pct"/>
                                  <w:tcBorders>
                                    <w:top w:val="nil"/>
                                    <w:left w:val="nil"/>
                                    <w:bottom w:val="nil"/>
                                    <w:right w:val="nil"/>
                                  </w:tcBorders>
                                  <w:noWrap/>
                                  <w:hideMark/>
                                </w:tcPr>
                                <w:p w14:paraId="17AE8A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Assets %</w:t>
                                  </w:r>
                                </w:p>
                              </w:tc>
                              <w:tc>
                                <w:tcPr>
                                  <w:tcW w:w="485" w:type="pct"/>
                                  <w:tcBorders>
                                    <w:top w:val="nil"/>
                                    <w:left w:val="nil"/>
                                    <w:bottom w:val="nil"/>
                                    <w:right w:val="nil"/>
                                  </w:tcBorders>
                                  <w:hideMark/>
                                </w:tcPr>
                                <w:p w14:paraId="1DFAA94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5.9% </w:t>
                                  </w:r>
                                </w:p>
                              </w:tc>
                              <w:tc>
                                <w:tcPr>
                                  <w:tcW w:w="485" w:type="pct"/>
                                  <w:tcBorders>
                                    <w:top w:val="nil"/>
                                    <w:left w:val="nil"/>
                                    <w:bottom w:val="nil"/>
                                    <w:right w:val="nil"/>
                                  </w:tcBorders>
                                  <w:hideMark/>
                                </w:tcPr>
                                <w:p w14:paraId="343C84B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5.8% </w:t>
                                  </w:r>
                                </w:p>
                              </w:tc>
                              <w:tc>
                                <w:tcPr>
                                  <w:tcW w:w="485" w:type="pct"/>
                                  <w:tcBorders>
                                    <w:top w:val="nil"/>
                                    <w:left w:val="nil"/>
                                    <w:bottom w:val="nil"/>
                                    <w:right w:val="nil"/>
                                  </w:tcBorders>
                                  <w:hideMark/>
                                </w:tcPr>
                                <w:p w14:paraId="10BD749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 </w:t>
                                  </w:r>
                                </w:p>
                              </w:tc>
                              <w:tc>
                                <w:tcPr>
                                  <w:tcW w:w="485" w:type="pct"/>
                                  <w:tcBorders>
                                    <w:top w:val="nil"/>
                                    <w:left w:val="nil"/>
                                    <w:bottom w:val="nil"/>
                                    <w:right w:val="nil"/>
                                  </w:tcBorders>
                                  <w:hideMark/>
                                </w:tcPr>
                                <w:p w14:paraId="4F2DCF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6.3% </w:t>
                                  </w:r>
                                </w:p>
                              </w:tc>
                              <w:tc>
                                <w:tcPr>
                                  <w:tcW w:w="485" w:type="pct"/>
                                  <w:tcBorders>
                                    <w:top w:val="nil"/>
                                    <w:left w:val="nil"/>
                                    <w:bottom w:val="nil"/>
                                    <w:right w:val="nil"/>
                                  </w:tcBorders>
                                  <w:hideMark/>
                                </w:tcPr>
                                <w:p w14:paraId="2B6DAAB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6.8% </w:t>
                                  </w:r>
                                </w:p>
                              </w:tc>
                              <w:tc>
                                <w:tcPr>
                                  <w:tcW w:w="585" w:type="pct"/>
                                  <w:tcBorders>
                                    <w:top w:val="nil"/>
                                    <w:left w:val="nil"/>
                                    <w:bottom w:val="nil"/>
                                    <w:right w:val="nil"/>
                                  </w:tcBorders>
                                  <w:hideMark/>
                                </w:tcPr>
                                <w:p w14:paraId="293A619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 </w:t>
                                  </w:r>
                                </w:p>
                              </w:tc>
                            </w:tr>
                            <w:tr w:rsidR="003C2F53" w:rsidRPr="00E11EEC" w14:paraId="0E8BE6EE" w14:textId="77777777" w:rsidTr="000E7471">
                              <w:trPr>
                                <w:trHeight w:val="204"/>
                              </w:trPr>
                              <w:tc>
                                <w:tcPr>
                                  <w:tcW w:w="1991" w:type="pct"/>
                                  <w:tcBorders>
                                    <w:top w:val="nil"/>
                                    <w:left w:val="nil"/>
                                    <w:bottom w:val="nil"/>
                                    <w:right w:val="nil"/>
                                  </w:tcBorders>
                                  <w:noWrap/>
                                  <w:hideMark/>
                                </w:tcPr>
                                <w:p w14:paraId="27824888"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Capital %</w:t>
                                  </w:r>
                                </w:p>
                              </w:tc>
                              <w:tc>
                                <w:tcPr>
                                  <w:tcW w:w="485" w:type="pct"/>
                                  <w:tcBorders>
                                    <w:top w:val="nil"/>
                                    <w:left w:val="nil"/>
                                    <w:bottom w:val="nil"/>
                                    <w:right w:val="nil"/>
                                  </w:tcBorders>
                                  <w:hideMark/>
                                </w:tcPr>
                                <w:p w14:paraId="4C25620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9.2% </w:t>
                                  </w:r>
                                </w:p>
                              </w:tc>
                              <w:tc>
                                <w:tcPr>
                                  <w:tcW w:w="485" w:type="pct"/>
                                  <w:tcBorders>
                                    <w:top w:val="nil"/>
                                    <w:left w:val="nil"/>
                                    <w:bottom w:val="nil"/>
                                    <w:right w:val="nil"/>
                                  </w:tcBorders>
                                  <w:hideMark/>
                                </w:tcPr>
                                <w:p w14:paraId="512F3BA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9.2% </w:t>
                                  </w:r>
                                </w:p>
                              </w:tc>
                              <w:tc>
                                <w:tcPr>
                                  <w:tcW w:w="485" w:type="pct"/>
                                  <w:tcBorders>
                                    <w:top w:val="nil"/>
                                    <w:left w:val="nil"/>
                                    <w:bottom w:val="nil"/>
                                    <w:right w:val="nil"/>
                                  </w:tcBorders>
                                  <w:hideMark/>
                                </w:tcPr>
                                <w:p w14:paraId="1C0F5E1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10.8% </w:t>
                                  </w:r>
                                </w:p>
                              </w:tc>
                              <w:tc>
                                <w:tcPr>
                                  <w:tcW w:w="485" w:type="pct"/>
                                  <w:tcBorders>
                                    <w:top w:val="nil"/>
                                    <w:left w:val="nil"/>
                                    <w:bottom w:val="nil"/>
                                    <w:right w:val="nil"/>
                                  </w:tcBorders>
                                  <w:hideMark/>
                                </w:tcPr>
                                <w:p w14:paraId="1499609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10.4% </w:t>
                                  </w:r>
                                </w:p>
                              </w:tc>
                              <w:tc>
                                <w:tcPr>
                                  <w:tcW w:w="485" w:type="pct"/>
                                  <w:tcBorders>
                                    <w:top w:val="nil"/>
                                    <w:left w:val="nil"/>
                                    <w:bottom w:val="nil"/>
                                    <w:right w:val="nil"/>
                                  </w:tcBorders>
                                  <w:hideMark/>
                                </w:tcPr>
                                <w:p w14:paraId="5B1B383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11.3% </w:t>
                                  </w:r>
                                </w:p>
                              </w:tc>
                              <w:tc>
                                <w:tcPr>
                                  <w:tcW w:w="585" w:type="pct"/>
                                  <w:tcBorders>
                                    <w:top w:val="nil"/>
                                    <w:left w:val="nil"/>
                                    <w:bottom w:val="nil"/>
                                    <w:right w:val="nil"/>
                                  </w:tcBorders>
                                  <w:hideMark/>
                                </w:tcPr>
                                <w:p w14:paraId="3E48EBD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11.8% </w:t>
                                  </w:r>
                                </w:p>
                              </w:tc>
                            </w:tr>
                            <w:tr w:rsidR="003C2F53" w:rsidRPr="00E11EEC" w14:paraId="66A033C1" w14:textId="77777777" w:rsidTr="000E7471">
                              <w:trPr>
                                <w:trHeight w:val="204"/>
                              </w:trPr>
                              <w:tc>
                                <w:tcPr>
                                  <w:tcW w:w="1991" w:type="pct"/>
                                  <w:tcBorders>
                                    <w:top w:val="nil"/>
                                    <w:left w:val="nil"/>
                                    <w:bottom w:val="nil"/>
                                    <w:right w:val="nil"/>
                                  </w:tcBorders>
                                  <w:noWrap/>
                                  <w:hideMark/>
                                </w:tcPr>
                                <w:p w14:paraId="2826F3C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Equity %</w:t>
                                  </w:r>
                                </w:p>
                              </w:tc>
                              <w:tc>
                                <w:tcPr>
                                  <w:tcW w:w="485" w:type="pct"/>
                                  <w:tcBorders>
                                    <w:top w:val="nil"/>
                                    <w:left w:val="nil"/>
                                    <w:bottom w:val="nil"/>
                                    <w:right w:val="nil"/>
                                  </w:tcBorders>
                                  <w:hideMark/>
                                </w:tcPr>
                                <w:p w14:paraId="7963FA4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18.9% </w:t>
                                  </w:r>
                                </w:p>
                              </w:tc>
                              <w:tc>
                                <w:tcPr>
                                  <w:tcW w:w="485" w:type="pct"/>
                                  <w:tcBorders>
                                    <w:top w:val="nil"/>
                                    <w:left w:val="nil"/>
                                    <w:bottom w:val="nil"/>
                                    <w:right w:val="nil"/>
                                  </w:tcBorders>
                                  <w:hideMark/>
                                </w:tcPr>
                                <w:p w14:paraId="0B856AD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16.2% </w:t>
                                  </w:r>
                                </w:p>
                              </w:tc>
                              <w:tc>
                                <w:tcPr>
                                  <w:tcW w:w="485" w:type="pct"/>
                                  <w:tcBorders>
                                    <w:top w:val="nil"/>
                                    <w:left w:val="nil"/>
                                    <w:bottom w:val="nil"/>
                                    <w:right w:val="nil"/>
                                  </w:tcBorders>
                                  <w:hideMark/>
                                </w:tcPr>
                                <w:p w14:paraId="18603CB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15.5% </w:t>
                                  </w:r>
                                </w:p>
                              </w:tc>
                              <w:tc>
                                <w:tcPr>
                                  <w:tcW w:w="485" w:type="pct"/>
                                  <w:tcBorders>
                                    <w:top w:val="nil"/>
                                    <w:left w:val="nil"/>
                                    <w:bottom w:val="nil"/>
                                    <w:right w:val="nil"/>
                                  </w:tcBorders>
                                  <w:hideMark/>
                                </w:tcPr>
                                <w:p w14:paraId="3F06931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12.8% </w:t>
                                  </w:r>
                                </w:p>
                              </w:tc>
                              <w:tc>
                                <w:tcPr>
                                  <w:tcW w:w="485" w:type="pct"/>
                                  <w:tcBorders>
                                    <w:top w:val="nil"/>
                                    <w:left w:val="nil"/>
                                    <w:bottom w:val="nil"/>
                                    <w:right w:val="nil"/>
                                  </w:tcBorders>
                                  <w:hideMark/>
                                </w:tcPr>
                                <w:p w14:paraId="7A46E72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18.6% </w:t>
                                  </w:r>
                                </w:p>
                              </w:tc>
                              <w:tc>
                                <w:tcPr>
                                  <w:tcW w:w="585" w:type="pct"/>
                                  <w:tcBorders>
                                    <w:top w:val="nil"/>
                                    <w:left w:val="nil"/>
                                    <w:bottom w:val="nil"/>
                                    <w:right w:val="nil"/>
                                  </w:tcBorders>
                                  <w:hideMark/>
                                </w:tcPr>
                                <w:p w14:paraId="0D1E834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21.4% </w:t>
                                  </w:r>
                                </w:p>
                              </w:tc>
                            </w:tr>
                            <w:tr w:rsidR="003C2F53" w:rsidRPr="00E11EEC" w14:paraId="2A613797" w14:textId="77777777" w:rsidTr="000E7471">
                              <w:trPr>
                                <w:trHeight w:val="204"/>
                              </w:trPr>
                              <w:tc>
                                <w:tcPr>
                                  <w:tcW w:w="1991" w:type="pct"/>
                                  <w:tcBorders>
                                    <w:top w:val="nil"/>
                                    <w:left w:val="nil"/>
                                    <w:bottom w:val="nil"/>
                                    <w:right w:val="nil"/>
                                  </w:tcBorders>
                                  <w:noWrap/>
                                  <w:hideMark/>
                                </w:tcPr>
                                <w:p w14:paraId="2AEE6CF3"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Common Equity %</w:t>
                                  </w:r>
                                </w:p>
                              </w:tc>
                              <w:tc>
                                <w:tcPr>
                                  <w:tcW w:w="485" w:type="pct"/>
                                  <w:tcBorders>
                                    <w:top w:val="nil"/>
                                    <w:left w:val="nil"/>
                                    <w:bottom w:val="nil"/>
                                    <w:right w:val="nil"/>
                                  </w:tcBorders>
                                  <w:hideMark/>
                                </w:tcPr>
                                <w:p w14:paraId="17D667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20.2% </w:t>
                                  </w:r>
                                </w:p>
                              </w:tc>
                              <w:tc>
                                <w:tcPr>
                                  <w:tcW w:w="485" w:type="pct"/>
                                  <w:tcBorders>
                                    <w:top w:val="nil"/>
                                    <w:left w:val="nil"/>
                                    <w:bottom w:val="nil"/>
                                    <w:right w:val="nil"/>
                                  </w:tcBorders>
                                  <w:hideMark/>
                                </w:tcPr>
                                <w:p w14:paraId="173DBBC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17.4% </w:t>
                                  </w:r>
                                </w:p>
                              </w:tc>
                              <w:tc>
                                <w:tcPr>
                                  <w:tcW w:w="485" w:type="pct"/>
                                  <w:tcBorders>
                                    <w:top w:val="nil"/>
                                    <w:left w:val="nil"/>
                                    <w:bottom w:val="nil"/>
                                    <w:right w:val="nil"/>
                                  </w:tcBorders>
                                  <w:hideMark/>
                                </w:tcPr>
                                <w:p w14:paraId="365922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16.7% </w:t>
                                  </w:r>
                                </w:p>
                              </w:tc>
                              <w:tc>
                                <w:tcPr>
                                  <w:tcW w:w="485" w:type="pct"/>
                                  <w:tcBorders>
                                    <w:top w:val="nil"/>
                                    <w:left w:val="nil"/>
                                    <w:bottom w:val="nil"/>
                                    <w:right w:val="nil"/>
                                  </w:tcBorders>
                                  <w:hideMark/>
                                </w:tcPr>
                                <w:p w14:paraId="149E887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14.6% </w:t>
                                  </w:r>
                                </w:p>
                              </w:tc>
                              <w:tc>
                                <w:tcPr>
                                  <w:tcW w:w="485" w:type="pct"/>
                                  <w:tcBorders>
                                    <w:top w:val="nil"/>
                                    <w:left w:val="nil"/>
                                    <w:bottom w:val="nil"/>
                                    <w:right w:val="nil"/>
                                  </w:tcBorders>
                                  <w:hideMark/>
                                </w:tcPr>
                                <w:p w14:paraId="20E5FB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19.3% </w:t>
                                  </w:r>
                                </w:p>
                              </w:tc>
                              <w:tc>
                                <w:tcPr>
                                  <w:tcW w:w="585" w:type="pct"/>
                                  <w:tcBorders>
                                    <w:top w:val="nil"/>
                                    <w:left w:val="nil"/>
                                    <w:bottom w:val="nil"/>
                                    <w:right w:val="nil"/>
                                  </w:tcBorders>
                                  <w:hideMark/>
                                </w:tcPr>
                                <w:p w14:paraId="31FF4E0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22.2% </w:t>
                                  </w:r>
                                </w:p>
                              </w:tc>
                            </w:tr>
                            <w:tr w:rsidR="003C2F53" w:rsidRPr="00E11EEC" w14:paraId="2D633DE7" w14:textId="77777777" w:rsidTr="000E7471">
                              <w:trPr>
                                <w:trHeight w:val="204"/>
                              </w:trPr>
                              <w:tc>
                                <w:tcPr>
                                  <w:tcW w:w="1991" w:type="pct"/>
                                  <w:tcBorders>
                                    <w:top w:val="nil"/>
                                    <w:left w:val="nil"/>
                                    <w:bottom w:val="nil"/>
                                    <w:right w:val="nil"/>
                                  </w:tcBorders>
                                  <w:noWrap/>
                                  <w:hideMark/>
                                </w:tcPr>
                                <w:p w14:paraId="6E9E558C"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Margin Analysis</w:t>
                                  </w:r>
                                </w:p>
                              </w:tc>
                              <w:tc>
                                <w:tcPr>
                                  <w:tcW w:w="485" w:type="pct"/>
                                  <w:tcBorders>
                                    <w:top w:val="nil"/>
                                    <w:left w:val="nil"/>
                                    <w:bottom w:val="nil"/>
                                    <w:right w:val="nil"/>
                                  </w:tcBorders>
                                  <w:noWrap/>
                                  <w:hideMark/>
                                </w:tcPr>
                                <w:p w14:paraId="4B44D6D1"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2AF1EC9D"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E0F10F7"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430A839C"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0567D423"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7B41FBBB"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0D859528" w14:textId="77777777" w:rsidTr="000E7471">
                              <w:trPr>
                                <w:trHeight w:val="204"/>
                              </w:trPr>
                              <w:tc>
                                <w:tcPr>
                                  <w:tcW w:w="1991" w:type="pct"/>
                                  <w:tcBorders>
                                    <w:top w:val="nil"/>
                                    <w:left w:val="nil"/>
                                    <w:bottom w:val="nil"/>
                                    <w:right w:val="nil"/>
                                  </w:tcBorders>
                                  <w:noWrap/>
                                  <w:hideMark/>
                                </w:tcPr>
                                <w:p w14:paraId="534AA2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Gross Margin %</w:t>
                                  </w:r>
                                </w:p>
                              </w:tc>
                              <w:tc>
                                <w:tcPr>
                                  <w:tcW w:w="485" w:type="pct"/>
                                  <w:tcBorders>
                                    <w:top w:val="nil"/>
                                    <w:left w:val="nil"/>
                                    <w:bottom w:val="nil"/>
                                    <w:right w:val="nil"/>
                                  </w:tcBorders>
                                  <w:hideMark/>
                                </w:tcPr>
                                <w:p w14:paraId="713F818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24.7% </w:t>
                                  </w:r>
                                </w:p>
                              </w:tc>
                              <w:tc>
                                <w:tcPr>
                                  <w:tcW w:w="485" w:type="pct"/>
                                  <w:tcBorders>
                                    <w:top w:val="nil"/>
                                    <w:left w:val="nil"/>
                                    <w:bottom w:val="nil"/>
                                    <w:right w:val="nil"/>
                                  </w:tcBorders>
                                  <w:hideMark/>
                                </w:tcPr>
                                <w:p w14:paraId="2C5A45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24.8% </w:t>
                                  </w:r>
                                </w:p>
                              </w:tc>
                              <w:tc>
                                <w:tcPr>
                                  <w:tcW w:w="485" w:type="pct"/>
                                  <w:tcBorders>
                                    <w:top w:val="nil"/>
                                    <w:left w:val="nil"/>
                                    <w:bottom w:val="nil"/>
                                    <w:right w:val="nil"/>
                                  </w:tcBorders>
                                  <w:hideMark/>
                                </w:tcPr>
                                <w:p w14:paraId="1E16338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25.1% </w:t>
                                  </w:r>
                                </w:p>
                              </w:tc>
                              <w:tc>
                                <w:tcPr>
                                  <w:tcW w:w="485" w:type="pct"/>
                                  <w:tcBorders>
                                    <w:top w:val="nil"/>
                                    <w:left w:val="nil"/>
                                    <w:bottom w:val="nil"/>
                                    <w:right w:val="nil"/>
                                  </w:tcBorders>
                                  <w:hideMark/>
                                </w:tcPr>
                                <w:p w14:paraId="54C34E5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24.1% </w:t>
                                  </w:r>
                                </w:p>
                              </w:tc>
                              <w:tc>
                                <w:tcPr>
                                  <w:tcW w:w="485" w:type="pct"/>
                                  <w:tcBorders>
                                    <w:top w:val="nil"/>
                                    <w:left w:val="nil"/>
                                    <w:bottom w:val="nil"/>
                                    <w:right w:val="nil"/>
                                  </w:tcBorders>
                                  <w:hideMark/>
                                </w:tcPr>
                                <w:p w14:paraId="63A0E4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24.4% </w:t>
                                  </w:r>
                                </w:p>
                              </w:tc>
                              <w:tc>
                                <w:tcPr>
                                  <w:tcW w:w="585" w:type="pct"/>
                                  <w:tcBorders>
                                    <w:top w:val="nil"/>
                                    <w:left w:val="nil"/>
                                    <w:bottom w:val="nil"/>
                                    <w:right w:val="nil"/>
                                  </w:tcBorders>
                                  <w:hideMark/>
                                </w:tcPr>
                                <w:p w14:paraId="2E6FAE7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24.9% </w:t>
                                  </w:r>
                                </w:p>
                              </w:tc>
                            </w:tr>
                            <w:tr w:rsidR="003C2F53" w:rsidRPr="00E11EEC" w14:paraId="05ED7DA5" w14:textId="77777777" w:rsidTr="000E7471">
                              <w:trPr>
                                <w:trHeight w:val="204"/>
                              </w:trPr>
                              <w:tc>
                                <w:tcPr>
                                  <w:tcW w:w="1991" w:type="pct"/>
                                  <w:tcBorders>
                                    <w:top w:val="nil"/>
                                    <w:left w:val="nil"/>
                                    <w:bottom w:val="nil"/>
                                    <w:right w:val="nil"/>
                                  </w:tcBorders>
                                  <w:noWrap/>
                                  <w:hideMark/>
                                </w:tcPr>
                                <w:p w14:paraId="58B7C54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SG&amp;A Margin %</w:t>
                                  </w:r>
                                </w:p>
                              </w:tc>
                              <w:tc>
                                <w:tcPr>
                                  <w:tcW w:w="485" w:type="pct"/>
                                  <w:tcBorders>
                                    <w:top w:val="nil"/>
                                    <w:left w:val="nil"/>
                                    <w:bottom w:val="nil"/>
                                    <w:right w:val="nil"/>
                                  </w:tcBorders>
                                  <w:hideMark/>
                                </w:tcPr>
                                <w:p w14:paraId="1D18BD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20.6% </w:t>
                                  </w:r>
                                </w:p>
                              </w:tc>
                              <w:tc>
                                <w:tcPr>
                                  <w:tcW w:w="485" w:type="pct"/>
                                  <w:tcBorders>
                                    <w:top w:val="nil"/>
                                    <w:left w:val="nil"/>
                                    <w:bottom w:val="nil"/>
                                    <w:right w:val="nil"/>
                                  </w:tcBorders>
                                  <w:hideMark/>
                                </w:tcPr>
                                <w:p w14:paraId="591A017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20.8% </w:t>
                                  </w:r>
                                </w:p>
                              </w:tc>
                              <w:tc>
                                <w:tcPr>
                                  <w:tcW w:w="485" w:type="pct"/>
                                  <w:tcBorders>
                                    <w:top w:val="nil"/>
                                    <w:left w:val="nil"/>
                                    <w:bottom w:val="nil"/>
                                    <w:right w:val="nil"/>
                                  </w:tcBorders>
                                  <w:hideMark/>
                                </w:tcPr>
                                <w:p w14:paraId="55B6958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20.6% </w:t>
                                  </w:r>
                                </w:p>
                              </w:tc>
                              <w:tc>
                                <w:tcPr>
                                  <w:tcW w:w="485" w:type="pct"/>
                                  <w:tcBorders>
                                    <w:top w:val="nil"/>
                                    <w:left w:val="nil"/>
                                    <w:bottom w:val="nil"/>
                                    <w:right w:val="nil"/>
                                  </w:tcBorders>
                                  <w:hideMark/>
                                </w:tcPr>
                                <w:p w14:paraId="58936CC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20.1% </w:t>
                                  </w:r>
                                </w:p>
                              </w:tc>
                              <w:tc>
                                <w:tcPr>
                                  <w:tcW w:w="485" w:type="pct"/>
                                  <w:tcBorders>
                                    <w:top w:val="nil"/>
                                    <w:left w:val="nil"/>
                                    <w:bottom w:val="nil"/>
                                    <w:right w:val="nil"/>
                                  </w:tcBorders>
                                  <w:hideMark/>
                                </w:tcPr>
                                <w:p w14:paraId="2AC1F1F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20.2% </w:t>
                                  </w:r>
                                </w:p>
                              </w:tc>
                              <w:tc>
                                <w:tcPr>
                                  <w:tcW w:w="585" w:type="pct"/>
                                  <w:tcBorders>
                                    <w:top w:val="nil"/>
                                    <w:left w:val="nil"/>
                                    <w:bottom w:val="nil"/>
                                    <w:right w:val="nil"/>
                                  </w:tcBorders>
                                  <w:hideMark/>
                                </w:tcPr>
                                <w:p w14:paraId="6D6CE72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20.5% </w:t>
                                  </w:r>
                                </w:p>
                              </w:tc>
                            </w:tr>
                            <w:tr w:rsidR="003C2F53" w:rsidRPr="00E11EEC" w14:paraId="2DE24BC7" w14:textId="77777777" w:rsidTr="000E7471">
                              <w:trPr>
                                <w:trHeight w:val="204"/>
                              </w:trPr>
                              <w:tc>
                                <w:tcPr>
                                  <w:tcW w:w="1991" w:type="pct"/>
                                  <w:tcBorders>
                                    <w:top w:val="nil"/>
                                    <w:left w:val="nil"/>
                                    <w:bottom w:val="nil"/>
                                    <w:right w:val="nil"/>
                                  </w:tcBorders>
                                  <w:noWrap/>
                                  <w:hideMark/>
                                </w:tcPr>
                                <w:p w14:paraId="02F9E3C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 Margin %</w:t>
                                  </w:r>
                                </w:p>
                              </w:tc>
                              <w:tc>
                                <w:tcPr>
                                  <w:tcW w:w="485" w:type="pct"/>
                                  <w:tcBorders>
                                    <w:top w:val="nil"/>
                                    <w:left w:val="nil"/>
                                    <w:bottom w:val="nil"/>
                                    <w:right w:val="nil"/>
                                  </w:tcBorders>
                                  <w:hideMark/>
                                </w:tcPr>
                                <w:p w14:paraId="47A3418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 </w:t>
                                  </w:r>
                                </w:p>
                              </w:tc>
                              <w:tc>
                                <w:tcPr>
                                  <w:tcW w:w="485" w:type="pct"/>
                                  <w:tcBorders>
                                    <w:top w:val="nil"/>
                                    <w:left w:val="nil"/>
                                    <w:bottom w:val="nil"/>
                                    <w:right w:val="nil"/>
                                  </w:tcBorders>
                                  <w:hideMark/>
                                </w:tcPr>
                                <w:p w14:paraId="5D15866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6.0% </w:t>
                                  </w:r>
                                </w:p>
                              </w:tc>
                              <w:tc>
                                <w:tcPr>
                                  <w:tcW w:w="485" w:type="pct"/>
                                  <w:tcBorders>
                                    <w:top w:val="nil"/>
                                    <w:left w:val="nil"/>
                                    <w:bottom w:val="nil"/>
                                    <w:right w:val="nil"/>
                                  </w:tcBorders>
                                  <w:hideMark/>
                                </w:tcPr>
                                <w:p w14:paraId="1DD2DE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 </w:t>
                                  </w:r>
                                </w:p>
                              </w:tc>
                              <w:tc>
                                <w:tcPr>
                                  <w:tcW w:w="485" w:type="pct"/>
                                  <w:tcBorders>
                                    <w:top w:val="nil"/>
                                    <w:left w:val="nil"/>
                                    <w:bottom w:val="nil"/>
                                    <w:right w:val="nil"/>
                                  </w:tcBorders>
                                  <w:hideMark/>
                                </w:tcPr>
                                <w:p w14:paraId="3DB9A10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5.8% </w:t>
                                  </w:r>
                                </w:p>
                              </w:tc>
                              <w:tc>
                                <w:tcPr>
                                  <w:tcW w:w="485" w:type="pct"/>
                                  <w:tcBorders>
                                    <w:top w:val="nil"/>
                                    <w:left w:val="nil"/>
                                    <w:bottom w:val="nil"/>
                                    <w:right w:val="nil"/>
                                  </w:tcBorders>
                                  <w:hideMark/>
                                </w:tcPr>
                                <w:p w14:paraId="15638BD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6.0% </w:t>
                                  </w:r>
                                </w:p>
                              </w:tc>
                              <w:tc>
                                <w:tcPr>
                                  <w:tcW w:w="585" w:type="pct"/>
                                  <w:tcBorders>
                                    <w:top w:val="nil"/>
                                    <w:left w:val="nil"/>
                                    <w:bottom w:val="nil"/>
                                    <w:right w:val="nil"/>
                                  </w:tcBorders>
                                  <w:hideMark/>
                                </w:tcPr>
                                <w:p w14:paraId="26F8B27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 </w:t>
                                  </w:r>
                                </w:p>
                              </w:tc>
                            </w:tr>
                            <w:tr w:rsidR="003C2F53" w:rsidRPr="00E11EEC" w14:paraId="3A3FB338" w14:textId="77777777" w:rsidTr="000E7471">
                              <w:trPr>
                                <w:trHeight w:val="204"/>
                              </w:trPr>
                              <w:tc>
                                <w:tcPr>
                                  <w:tcW w:w="1991" w:type="pct"/>
                                  <w:tcBorders>
                                    <w:top w:val="nil"/>
                                    <w:left w:val="nil"/>
                                    <w:bottom w:val="nil"/>
                                    <w:right w:val="nil"/>
                                  </w:tcBorders>
                                  <w:noWrap/>
                                  <w:hideMark/>
                                </w:tcPr>
                                <w:p w14:paraId="5D81EA0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EBITA Margin %</w:t>
                                  </w:r>
                                </w:p>
                              </w:tc>
                              <w:tc>
                                <w:tcPr>
                                  <w:tcW w:w="485" w:type="pct"/>
                                  <w:tcBorders>
                                    <w:top w:val="nil"/>
                                    <w:left w:val="nil"/>
                                    <w:bottom w:val="nil"/>
                                    <w:right w:val="nil"/>
                                  </w:tcBorders>
                                  <w:hideMark/>
                                </w:tcPr>
                                <w:p w14:paraId="5BFB2AF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 </w:t>
                                  </w:r>
                                </w:p>
                              </w:tc>
                              <w:tc>
                                <w:tcPr>
                                  <w:tcW w:w="485" w:type="pct"/>
                                  <w:tcBorders>
                                    <w:top w:val="nil"/>
                                    <w:left w:val="nil"/>
                                    <w:bottom w:val="nil"/>
                                    <w:right w:val="nil"/>
                                  </w:tcBorders>
                                  <w:hideMark/>
                                </w:tcPr>
                                <w:p w14:paraId="4DAC103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5CF6B03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4.5% </w:t>
                                  </w:r>
                                </w:p>
                              </w:tc>
                              <w:tc>
                                <w:tcPr>
                                  <w:tcW w:w="485" w:type="pct"/>
                                  <w:tcBorders>
                                    <w:top w:val="nil"/>
                                    <w:left w:val="nil"/>
                                    <w:bottom w:val="nil"/>
                                    <w:right w:val="nil"/>
                                  </w:tcBorders>
                                  <w:hideMark/>
                                </w:tcPr>
                                <w:p w14:paraId="7ED354E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0C6DAFE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 </w:t>
                                  </w:r>
                                </w:p>
                              </w:tc>
                              <w:tc>
                                <w:tcPr>
                                  <w:tcW w:w="585" w:type="pct"/>
                                  <w:tcBorders>
                                    <w:top w:val="nil"/>
                                    <w:left w:val="nil"/>
                                    <w:bottom w:val="nil"/>
                                    <w:right w:val="nil"/>
                                  </w:tcBorders>
                                  <w:hideMark/>
                                </w:tcPr>
                                <w:p w14:paraId="67015C5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 </w:t>
                                  </w:r>
                                </w:p>
                              </w:tc>
                            </w:tr>
                            <w:tr w:rsidR="003C2F53" w:rsidRPr="00E11EEC" w14:paraId="538B52A5" w14:textId="77777777" w:rsidTr="000E7471">
                              <w:trPr>
                                <w:trHeight w:val="204"/>
                              </w:trPr>
                              <w:tc>
                                <w:tcPr>
                                  <w:tcW w:w="1991" w:type="pct"/>
                                  <w:tcBorders>
                                    <w:top w:val="nil"/>
                                    <w:left w:val="nil"/>
                                    <w:bottom w:val="nil"/>
                                    <w:right w:val="nil"/>
                                  </w:tcBorders>
                                  <w:noWrap/>
                                  <w:hideMark/>
                                </w:tcPr>
                                <w:p w14:paraId="38CB47B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 Margin %</w:t>
                                  </w:r>
                                </w:p>
                              </w:tc>
                              <w:tc>
                                <w:tcPr>
                                  <w:tcW w:w="485" w:type="pct"/>
                                  <w:tcBorders>
                                    <w:top w:val="nil"/>
                                    <w:left w:val="nil"/>
                                    <w:bottom w:val="nil"/>
                                    <w:right w:val="nil"/>
                                  </w:tcBorders>
                                  <w:hideMark/>
                                </w:tcPr>
                                <w:p w14:paraId="698BA95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 </w:t>
                                  </w:r>
                                </w:p>
                              </w:tc>
                              <w:tc>
                                <w:tcPr>
                                  <w:tcW w:w="485" w:type="pct"/>
                                  <w:tcBorders>
                                    <w:top w:val="nil"/>
                                    <w:left w:val="nil"/>
                                    <w:bottom w:val="nil"/>
                                    <w:right w:val="nil"/>
                                  </w:tcBorders>
                                  <w:hideMark/>
                                </w:tcPr>
                                <w:p w14:paraId="2DECA20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6A11F46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4.5% </w:t>
                                  </w:r>
                                </w:p>
                              </w:tc>
                              <w:tc>
                                <w:tcPr>
                                  <w:tcW w:w="485" w:type="pct"/>
                                  <w:tcBorders>
                                    <w:top w:val="nil"/>
                                    <w:left w:val="nil"/>
                                    <w:bottom w:val="nil"/>
                                    <w:right w:val="nil"/>
                                  </w:tcBorders>
                                  <w:hideMark/>
                                </w:tcPr>
                                <w:p w14:paraId="4DDA4D9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4AE0685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 </w:t>
                                  </w:r>
                                </w:p>
                              </w:tc>
                              <w:tc>
                                <w:tcPr>
                                  <w:tcW w:w="585" w:type="pct"/>
                                  <w:tcBorders>
                                    <w:top w:val="nil"/>
                                    <w:left w:val="nil"/>
                                    <w:bottom w:val="nil"/>
                                    <w:right w:val="nil"/>
                                  </w:tcBorders>
                                  <w:hideMark/>
                                </w:tcPr>
                                <w:p w14:paraId="1E0F7F1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 </w:t>
                                  </w:r>
                                </w:p>
                              </w:tc>
                            </w:tr>
                            <w:tr w:rsidR="003C2F53" w:rsidRPr="00E11EEC" w14:paraId="1946824E" w14:textId="77777777" w:rsidTr="000E7471">
                              <w:trPr>
                                <w:trHeight w:val="204"/>
                              </w:trPr>
                              <w:tc>
                                <w:tcPr>
                                  <w:tcW w:w="1991" w:type="pct"/>
                                  <w:tcBorders>
                                    <w:top w:val="nil"/>
                                    <w:left w:val="nil"/>
                                    <w:bottom w:val="nil"/>
                                    <w:right w:val="nil"/>
                                  </w:tcBorders>
                                  <w:noWrap/>
                                  <w:hideMark/>
                                </w:tcPr>
                                <w:p w14:paraId="22EE741C"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Earnings from Cont. Ops Margin %</w:t>
                                  </w:r>
                                </w:p>
                              </w:tc>
                              <w:tc>
                                <w:tcPr>
                                  <w:tcW w:w="485" w:type="pct"/>
                                  <w:tcBorders>
                                    <w:top w:val="nil"/>
                                    <w:left w:val="nil"/>
                                    <w:bottom w:val="nil"/>
                                    <w:right w:val="nil"/>
                                  </w:tcBorders>
                                  <w:hideMark/>
                                </w:tcPr>
                                <w:p w14:paraId="30E92C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c>
                                <w:tcPr>
                                  <w:tcW w:w="485" w:type="pct"/>
                                  <w:tcBorders>
                                    <w:top w:val="nil"/>
                                    <w:left w:val="nil"/>
                                    <w:bottom w:val="nil"/>
                                    <w:right w:val="nil"/>
                                  </w:tcBorders>
                                  <w:hideMark/>
                                </w:tcPr>
                                <w:p w14:paraId="7C681A5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40C6AC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20E50B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 </w:t>
                                  </w:r>
                                </w:p>
                              </w:tc>
                              <w:tc>
                                <w:tcPr>
                                  <w:tcW w:w="485" w:type="pct"/>
                                  <w:tcBorders>
                                    <w:top w:val="nil"/>
                                    <w:left w:val="nil"/>
                                    <w:bottom w:val="nil"/>
                                    <w:right w:val="nil"/>
                                  </w:tcBorders>
                                  <w:hideMark/>
                                </w:tcPr>
                                <w:p w14:paraId="0DE749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585" w:type="pct"/>
                                  <w:tcBorders>
                                    <w:top w:val="nil"/>
                                    <w:left w:val="nil"/>
                                    <w:bottom w:val="nil"/>
                                    <w:right w:val="nil"/>
                                  </w:tcBorders>
                                  <w:hideMark/>
                                </w:tcPr>
                                <w:p w14:paraId="7CE9329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3.0% </w:t>
                                  </w:r>
                                </w:p>
                              </w:tc>
                            </w:tr>
                            <w:tr w:rsidR="003C2F53" w:rsidRPr="00E11EEC" w14:paraId="16643A69" w14:textId="77777777" w:rsidTr="000E7471">
                              <w:trPr>
                                <w:trHeight w:val="204"/>
                              </w:trPr>
                              <w:tc>
                                <w:tcPr>
                                  <w:tcW w:w="1991" w:type="pct"/>
                                  <w:tcBorders>
                                    <w:top w:val="nil"/>
                                    <w:left w:val="nil"/>
                                    <w:bottom w:val="nil"/>
                                    <w:right w:val="nil"/>
                                  </w:tcBorders>
                                  <w:noWrap/>
                                  <w:hideMark/>
                                </w:tcPr>
                                <w:p w14:paraId="4101ADB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Income Margin %</w:t>
                                  </w:r>
                                </w:p>
                              </w:tc>
                              <w:tc>
                                <w:tcPr>
                                  <w:tcW w:w="485" w:type="pct"/>
                                  <w:tcBorders>
                                    <w:top w:val="nil"/>
                                    <w:left w:val="nil"/>
                                    <w:bottom w:val="nil"/>
                                    <w:right w:val="nil"/>
                                  </w:tcBorders>
                                  <w:hideMark/>
                                </w:tcPr>
                                <w:p w14:paraId="78716AD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321BB6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6C223B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785A0F9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 </w:t>
                                  </w:r>
                                </w:p>
                              </w:tc>
                              <w:tc>
                                <w:tcPr>
                                  <w:tcW w:w="485" w:type="pct"/>
                                  <w:tcBorders>
                                    <w:top w:val="nil"/>
                                    <w:left w:val="nil"/>
                                    <w:bottom w:val="nil"/>
                                    <w:right w:val="nil"/>
                                  </w:tcBorders>
                                  <w:hideMark/>
                                </w:tcPr>
                                <w:p w14:paraId="3215A0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585" w:type="pct"/>
                                  <w:tcBorders>
                                    <w:top w:val="nil"/>
                                    <w:left w:val="nil"/>
                                    <w:bottom w:val="nil"/>
                                    <w:right w:val="nil"/>
                                  </w:tcBorders>
                                  <w:hideMark/>
                                </w:tcPr>
                                <w:p w14:paraId="02BFE29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r>
                            <w:tr w:rsidR="003C2F53" w:rsidRPr="00E11EEC" w14:paraId="0D413D68" w14:textId="77777777" w:rsidTr="000E7471">
                              <w:trPr>
                                <w:trHeight w:val="204"/>
                              </w:trPr>
                              <w:tc>
                                <w:tcPr>
                                  <w:tcW w:w="1991" w:type="pct"/>
                                  <w:tcBorders>
                                    <w:top w:val="nil"/>
                                    <w:left w:val="nil"/>
                                    <w:bottom w:val="nil"/>
                                    <w:right w:val="nil"/>
                                  </w:tcBorders>
                                  <w:noWrap/>
                                  <w:hideMark/>
                                </w:tcPr>
                                <w:p w14:paraId="1E217E2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Income Avail. for Common Margin %</w:t>
                                  </w:r>
                                </w:p>
                              </w:tc>
                              <w:tc>
                                <w:tcPr>
                                  <w:tcW w:w="485" w:type="pct"/>
                                  <w:tcBorders>
                                    <w:top w:val="nil"/>
                                    <w:left w:val="nil"/>
                                    <w:bottom w:val="nil"/>
                                    <w:right w:val="nil"/>
                                  </w:tcBorders>
                                  <w:hideMark/>
                                </w:tcPr>
                                <w:p w14:paraId="05F25F6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3E42270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0AE08ED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63D395C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 </w:t>
                                  </w:r>
                                </w:p>
                              </w:tc>
                              <w:tc>
                                <w:tcPr>
                                  <w:tcW w:w="485" w:type="pct"/>
                                  <w:tcBorders>
                                    <w:top w:val="nil"/>
                                    <w:left w:val="nil"/>
                                    <w:bottom w:val="nil"/>
                                    <w:right w:val="nil"/>
                                  </w:tcBorders>
                                  <w:hideMark/>
                                </w:tcPr>
                                <w:p w14:paraId="4725F9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585" w:type="pct"/>
                                  <w:tcBorders>
                                    <w:top w:val="nil"/>
                                    <w:left w:val="nil"/>
                                    <w:bottom w:val="nil"/>
                                    <w:right w:val="nil"/>
                                  </w:tcBorders>
                                  <w:hideMark/>
                                </w:tcPr>
                                <w:p w14:paraId="16EC95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r>
                            <w:tr w:rsidR="003C2F53" w:rsidRPr="00E11EEC" w14:paraId="4A96EB71" w14:textId="77777777" w:rsidTr="000E7471">
                              <w:trPr>
                                <w:trHeight w:val="204"/>
                              </w:trPr>
                              <w:tc>
                                <w:tcPr>
                                  <w:tcW w:w="1991" w:type="pct"/>
                                  <w:tcBorders>
                                    <w:top w:val="nil"/>
                                    <w:left w:val="nil"/>
                                    <w:bottom w:val="nil"/>
                                    <w:right w:val="nil"/>
                                  </w:tcBorders>
                                  <w:noWrap/>
                                  <w:hideMark/>
                                </w:tcPr>
                                <w:p w14:paraId="1ADD861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Normalized Net Income Margin %</w:t>
                                  </w:r>
                                </w:p>
                              </w:tc>
                              <w:tc>
                                <w:tcPr>
                                  <w:tcW w:w="485" w:type="pct"/>
                                  <w:tcBorders>
                                    <w:top w:val="nil"/>
                                    <w:left w:val="nil"/>
                                    <w:bottom w:val="nil"/>
                                    <w:right w:val="nil"/>
                                  </w:tcBorders>
                                  <w:hideMark/>
                                </w:tcPr>
                                <w:p w14:paraId="3F6EDD6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1B2F99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0C290C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2.6% </w:t>
                                  </w:r>
                                </w:p>
                              </w:tc>
                              <w:tc>
                                <w:tcPr>
                                  <w:tcW w:w="485" w:type="pct"/>
                                  <w:tcBorders>
                                    <w:top w:val="nil"/>
                                    <w:left w:val="nil"/>
                                    <w:bottom w:val="nil"/>
                                    <w:right w:val="nil"/>
                                  </w:tcBorders>
                                  <w:hideMark/>
                                </w:tcPr>
                                <w:p w14:paraId="1DD6155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38FE765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2.3% </w:t>
                                  </w:r>
                                </w:p>
                              </w:tc>
                              <w:tc>
                                <w:tcPr>
                                  <w:tcW w:w="585" w:type="pct"/>
                                  <w:tcBorders>
                                    <w:top w:val="nil"/>
                                    <w:left w:val="nil"/>
                                    <w:bottom w:val="nil"/>
                                    <w:right w:val="nil"/>
                                  </w:tcBorders>
                                  <w:hideMark/>
                                </w:tcPr>
                                <w:p w14:paraId="150DB9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2.3% </w:t>
                                  </w:r>
                                </w:p>
                              </w:tc>
                            </w:tr>
                            <w:tr w:rsidR="003C2F53" w:rsidRPr="00E11EEC" w14:paraId="4E7D236B" w14:textId="77777777" w:rsidTr="000E7471">
                              <w:trPr>
                                <w:trHeight w:val="204"/>
                              </w:trPr>
                              <w:tc>
                                <w:tcPr>
                                  <w:tcW w:w="1991" w:type="pct"/>
                                  <w:tcBorders>
                                    <w:top w:val="nil"/>
                                    <w:left w:val="nil"/>
                                    <w:bottom w:val="nil"/>
                                    <w:right w:val="nil"/>
                                  </w:tcBorders>
                                  <w:noWrap/>
                                  <w:hideMark/>
                                </w:tcPr>
                                <w:p w14:paraId="1AD3305C"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Levered Free Cash Flow Margin %</w:t>
                                  </w:r>
                                </w:p>
                              </w:tc>
                              <w:tc>
                                <w:tcPr>
                                  <w:tcW w:w="485" w:type="pct"/>
                                  <w:tcBorders>
                                    <w:top w:val="nil"/>
                                    <w:left w:val="nil"/>
                                    <w:bottom w:val="nil"/>
                                    <w:right w:val="nil"/>
                                  </w:tcBorders>
                                  <w:hideMark/>
                                </w:tcPr>
                                <w:p w14:paraId="32F2F8E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2E42F0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591289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3743AC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 </w:t>
                                  </w:r>
                                </w:p>
                              </w:tc>
                              <w:tc>
                                <w:tcPr>
                                  <w:tcW w:w="485" w:type="pct"/>
                                  <w:tcBorders>
                                    <w:top w:val="nil"/>
                                    <w:left w:val="nil"/>
                                    <w:bottom w:val="nil"/>
                                    <w:right w:val="nil"/>
                                  </w:tcBorders>
                                  <w:hideMark/>
                                </w:tcPr>
                                <w:p w14:paraId="3A3EDB8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1.4% </w:t>
                                  </w:r>
                                </w:p>
                              </w:tc>
                              <w:tc>
                                <w:tcPr>
                                  <w:tcW w:w="585" w:type="pct"/>
                                  <w:tcBorders>
                                    <w:top w:val="nil"/>
                                    <w:left w:val="nil"/>
                                    <w:bottom w:val="nil"/>
                                    <w:right w:val="nil"/>
                                  </w:tcBorders>
                                  <w:hideMark/>
                                </w:tcPr>
                                <w:p w14:paraId="1877FEF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0.8% </w:t>
                                  </w:r>
                                </w:p>
                              </w:tc>
                            </w:tr>
                            <w:tr w:rsidR="003C2F53" w:rsidRPr="00E11EEC" w14:paraId="3BC987A6" w14:textId="77777777" w:rsidTr="000E7471">
                              <w:trPr>
                                <w:trHeight w:val="204"/>
                              </w:trPr>
                              <w:tc>
                                <w:tcPr>
                                  <w:tcW w:w="1991" w:type="pct"/>
                                  <w:tcBorders>
                                    <w:top w:val="nil"/>
                                    <w:left w:val="nil"/>
                                    <w:bottom w:val="nil"/>
                                    <w:right w:val="nil"/>
                                  </w:tcBorders>
                                  <w:noWrap/>
                                  <w:hideMark/>
                                </w:tcPr>
                                <w:p w14:paraId="31C4A9F9"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Unlevered Free Cash Flow Margin %</w:t>
                                  </w:r>
                                </w:p>
                              </w:tc>
                              <w:tc>
                                <w:tcPr>
                                  <w:tcW w:w="485" w:type="pct"/>
                                  <w:tcBorders>
                                    <w:top w:val="nil"/>
                                    <w:left w:val="nil"/>
                                    <w:bottom w:val="nil"/>
                                    <w:right w:val="nil"/>
                                  </w:tcBorders>
                                  <w:hideMark/>
                                </w:tcPr>
                                <w:p w14:paraId="60B970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3.1% </w:t>
                                  </w:r>
                                </w:p>
                              </w:tc>
                              <w:tc>
                                <w:tcPr>
                                  <w:tcW w:w="485" w:type="pct"/>
                                  <w:tcBorders>
                                    <w:top w:val="nil"/>
                                    <w:left w:val="nil"/>
                                    <w:bottom w:val="nil"/>
                                    <w:right w:val="nil"/>
                                  </w:tcBorders>
                                  <w:hideMark/>
                                </w:tcPr>
                                <w:p w14:paraId="45265D0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6BCC682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1BC4955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5FA2A13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 </w:t>
                                  </w:r>
                                </w:p>
                              </w:tc>
                              <w:tc>
                                <w:tcPr>
                                  <w:tcW w:w="585" w:type="pct"/>
                                  <w:tcBorders>
                                    <w:top w:val="nil"/>
                                    <w:left w:val="nil"/>
                                    <w:bottom w:val="nil"/>
                                    <w:right w:val="nil"/>
                                  </w:tcBorders>
                                  <w:hideMark/>
                                </w:tcPr>
                                <w:p w14:paraId="7D0ECC8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 </w:t>
                                  </w:r>
                                </w:p>
                              </w:tc>
                            </w:tr>
                            <w:tr w:rsidR="003C2F53" w:rsidRPr="00E11EEC" w14:paraId="2B42F9D9" w14:textId="77777777" w:rsidTr="000E7471">
                              <w:trPr>
                                <w:trHeight w:val="204"/>
                              </w:trPr>
                              <w:tc>
                                <w:tcPr>
                                  <w:tcW w:w="1991" w:type="pct"/>
                                  <w:tcBorders>
                                    <w:top w:val="nil"/>
                                    <w:left w:val="nil"/>
                                    <w:bottom w:val="nil"/>
                                    <w:right w:val="nil"/>
                                  </w:tcBorders>
                                  <w:noWrap/>
                                  <w:hideMark/>
                                </w:tcPr>
                                <w:p w14:paraId="3D65CA17"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Asset Turnover</w:t>
                                  </w:r>
                                </w:p>
                              </w:tc>
                              <w:tc>
                                <w:tcPr>
                                  <w:tcW w:w="485" w:type="pct"/>
                                  <w:tcBorders>
                                    <w:top w:val="nil"/>
                                    <w:left w:val="nil"/>
                                    <w:bottom w:val="nil"/>
                                    <w:right w:val="nil"/>
                                  </w:tcBorders>
                                  <w:noWrap/>
                                  <w:hideMark/>
                                </w:tcPr>
                                <w:p w14:paraId="0506A595"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6B0AF4B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E5AAAB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753AB6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7FE3A3D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5B10B6D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16E20197" w14:textId="77777777" w:rsidTr="000E7471">
                              <w:trPr>
                                <w:trHeight w:val="204"/>
                              </w:trPr>
                              <w:tc>
                                <w:tcPr>
                                  <w:tcW w:w="1991" w:type="pct"/>
                                  <w:tcBorders>
                                    <w:top w:val="nil"/>
                                    <w:left w:val="nil"/>
                                    <w:bottom w:val="nil"/>
                                    <w:right w:val="nil"/>
                                  </w:tcBorders>
                                  <w:noWrap/>
                                  <w:hideMark/>
                                </w:tcPr>
                                <w:p w14:paraId="4377C5F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Asset Turnover</w:t>
                                  </w:r>
                                </w:p>
                              </w:tc>
                              <w:tc>
                                <w:tcPr>
                                  <w:tcW w:w="485" w:type="pct"/>
                                  <w:tcBorders>
                                    <w:top w:val="nil"/>
                                    <w:left w:val="nil"/>
                                    <w:bottom w:val="nil"/>
                                    <w:right w:val="nil"/>
                                  </w:tcBorders>
                                  <w:hideMark/>
                                </w:tcPr>
                                <w:p w14:paraId="64F236D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3B2E08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701968D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19D85D9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485" w:type="pct"/>
                                  <w:tcBorders>
                                    <w:top w:val="nil"/>
                                    <w:left w:val="nil"/>
                                    <w:bottom w:val="nil"/>
                                    <w:right w:val="nil"/>
                                  </w:tcBorders>
                                  <w:hideMark/>
                                </w:tcPr>
                                <w:p w14:paraId="1C8B675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2.6x</w:t>
                                  </w:r>
                                </w:p>
                              </w:tc>
                              <w:tc>
                                <w:tcPr>
                                  <w:tcW w:w="585" w:type="pct"/>
                                  <w:tcBorders>
                                    <w:top w:val="nil"/>
                                    <w:left w:val="nil"/>
                                    <w:bottom w:val="nil"/>
                                    <w:right w:val="nil"/>
                                  </w:tcBorders>
                                  <w:hideMark/>
                                </w:tcPr>
                                <w:p w14:paraId="2B0917C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2.7x</w:t>
                                  </w:r>
                                </w:p>
                              </w:tc>
                            </w:tr>
                            <w:tr w:rsidR="003C2F53" w:rsidRPr="00E11EEC" w14:paraId="4CDA3090" w14:textId="77777777" w:rsidTr="000E7471">
                              <w:trPr>
                                <w:trHeight w:val="204"/>
                              </w:trPr>
                              <w:tc>
                                <w:tcPr>
                                  <w:tcW w:w="1991" w:type="pct"/>
                                  <w:tcBorders>
                                    <w:top w:val="nil"/>
                                    <w:left w:val="nil"/>
                                    <w:bottom w:val="nil"/>
                                    <w:right w:val="nil"/>
                                  </w:tcBorders>
                                  <w:noWrap/>
                                  <w:hideMark/>
                                </w:tcPr>
                                <w:p w14:paraId="7763BE97"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Fixed Asset Turnover</w:t>
                                  </w:r>
                                </w:p>
                              </w:tc>
                              <w:tc>
                                <w:tcPr>
                                  <w:tcW w:w="485" w:type="pct"/>
                                  <w:tcBorders>
                                    <w:top w:val="nil"/>
                                    <w:left w:val="nil"/>
                                    <w:bottom w:val="nil"/>
                                    <w:right w:val="nil"/>
                                  </w:tcBorders>
                                  <w:hideMark/>
                                </w:tcPr>
                                <w:p w14:paraId="4893A4A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4.4x</w:t>
                                  </w:r>
                                </w:p>
                              </w:tc>
                              <w:tc>
                                <w:tcPr>
                                  <w:tcW w:w="485" w:type="pct"/>
                                  <w:tcBorders>
                                    <w:top w:val="nil"/>
                                    <w:left w:val="nil"/>
                                    <w:bottom w:val="nil"/>
                                    <w:right w:val="nil"/>
                                  </w:tcBorders>
                                  <w:hideMark/>
                                </w:tcPr>
                                <w:p w14:paraId="6320C05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4.7x</w:t>
                                  </w:r>
                                </w:p>
                              </w:tc>
                              <w:tc>
                                <w:tcPr>
                                  <w:tcW w:w="485" w:type="pct"/>
                                  <w:tcBorders>
                                    <w:top w:val="nil"/>
                                    <w:left w:val="nil"/>
                                    <w:bottom w:val="nil"/>
                                    <w:right w:val="nil"/>
                                  </w:tcBorders>
                                  <w:hideMark/>
                                </w:tcPr>
                                <w:p w14:paraId="7A7F6E0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5.1x</w:t>
                                  </w:r>
                                </w:p>
                              </w:tc>
                              <w:tc>
                                <w:tcPr>
                                  <w:tcW w:w="485" w:type="pct"/>
                                  <w:tcBorders>
                                    <w:top w:val="nil"/>
                                    <w:left w:val="nil"/>
                                    <w:bottom w:val="nil"/>
                                    <w:right w:val="nil"/>
                                  </w:tcBorders>
                                  <w:hideMark/>
                                </w:tcPr>
                                <w:p w14:paraId="05AC9A4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5.3x</w:t>
                                  </w:r>
                                </w:p>
                              </w:tc>
                              <w:tc>
                                <w:tcPr>
                                  <w:tcW w:w="485" w:type="pct"/>
                                  <w:tcBorders>
                                    <w:top w:val="nil"/>
                                    <w:left w:val="nil"/>
                                    <w:bottom w:val="nil"/>
                                    <w:right w:val="nil"/>
                                  </w:tcBorders>
                                  <w:hideMark/>
                                </w:tcPr>
                                <w:p w14:paraId="49A81F6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5.2x</w:t>
                                  </w:r>
                                </w:p>
                              </w:tc>
                              <w:tc>
                                <w:tcPr>
                                  <w:tcW w:w="585" w:type="pct"/>
                                  <w:tcBorders>
                                    <w:top w:val="nil"/>
                                    <w:left w:val="nil"/>
                                    <w:bottom w:val="nil"/>
                                    <w:right w:val="nil"/>
                                  </w:tcBorders>
                                  <w:hideMark/>
                                </w:tcPr>
                                <w:p w14:paraId="51C9FC2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5.0x</w:t>
                                  </w:r>
                                </w:p>
                              </w:tc>
                            </w:tr>
                            <w:tr w:rsidR="003C2F53" w:rsidRPr="00E11EEC" w14:paraId="45973CC9" w14:textId="77777777" w:rsidTr="000E7471">
                              <w:trPr>
                                <w:trHeight w:val="204"/>
                              </w:trPr>
                              <w:tc>
                                <w:tcPr>
                                  <w:tcW w:w="1991" w:type="pct"/>
                                  <w:tcBorders>
                                    <w:top w:val="nil"/>
                                    <w:left w:val="nil"/>
                                    <w:bottom w:val="nil"/>
                                    <w:right w:val="nil"/>
                                  </w:tcBorders>
                                  <w:noWrap/>
                                  <w:hideMark/>
                                </w:tcPr>
                                <w:p w14:paraId="6985F574"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Accounts Receivable Turnover</w:t>
                                  </w:r>
                                </w:p>
                              </w:tc>
                              <w:tc>
                                <w:tcPr>
                                  <w:tcW w:w="485" w:type="pct"/>
                                  <w:tcBorders>
                                    <w:top w:val="nil"/>
                                    <w:left w:val="nil"/>
                                    <w:bottom w:val="nil"/>
                                    <w:right w:val="nil"/>
                                  </w:tcBorders>
                                  <w:hideMark/>
                                </w:tcPr>
                                <w:p w14:paraId="5326479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83.4x</w:t>
                                  </w:r>
                                </w:p>
                              </w:tc>
                              <w:tc>
                                <w:tcPr>
                                  <w:tcW w:w="485" w:type="pct"/>
                                  <w:tcBorders>
                                    <w:top w:val="nil"/>
                                    <w:left w:val="nil"/>
                                    <w:bottom w:val="nil"/>
                                    <w:right w:val="nil"/>
                                  </w:tcBorders>
                                  <w:hideMark/>
                                </w:tcPr>
                                <w:p w14:paraId="7E96687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87.4x</w:t>
                                  </w:r>
                                </w:p>
                              </w:tc>
                              <w:tc>
                                <w:tcPr>
                                  <w:tcW w:w="485" w:type="pct"/>
                                  <w:tcBorders>
                                    <w:top w:val="nil"/>
                                    <w:left w:val="nil"/>
                                    <w:bottom w:val="nil"/>
                                    <w:right w:val="nil"/>
                                  </w:tcBorders>
                                  <w:hideMark/>
                                </w:tcPr>
                                <w:p w14:paraId="6B33796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77.4x</w:t>
                                  </w:r>
                                </w:p>
                              </w:tc>
                              <w:tc>
                                <w:tcPr>
                                  <w:tcW w:w="485" w:type="pct"/>
                                  <w:tcBorders>
                                    <w:top w:val="nil"/>
                                    <w:left w:val="nil"/>
                                    <w:bottom w:val="nil"/>
                                    <w:right w:val="nil"/>
                                  </w:tcBorders>
                                  <w:hideMark/>
                                </w:tcPr>
                                <w:p w14:paraId="30C6015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75.4x</w:t>
                                  </w:r>
                                </w:p>
                              </w:tc>
                              <w:tc>
                                <w:tcPr>
                                  <w:tcW w:w="485" w:type="pct"/>
                                  <w:tcBorders>
                                    <w:top w:val="nil"/>
                                    <w:left w:val="nil"/>
                                    <w:bottom w:val="nil"/>
                                    <w:right w:val="nil"/>
                                  </w:tcBorders>
                                  <w:hideMark/>
                                </w:tcPr>
                                <w:p w14:paraId="372F6AF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77.5x</w:t>
                                  </w:r>
                                </w:p>
                              </w:tc>
                              <w:tc>
                                <w:tcPr>
                                  <w:tcW w:w="585" w:type="pct"/>
                                  <w:tcBorders>
                                    <w:top w:val="nil"/>
                                    <w:left w:val="nil"/>
                                    <w:bottom w:val="nil"/>
                                    <w:right w:val="nil"/>
                                  </w:tcBorders>
                                  <w:hideMark/>
                                </w:tcPr>
                                <w:p w14:paraId="312723D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72.6x</w:t>
                                  </w:r>
                                </w:p>
                              </w:tc>
                            </w:tr>
                            <w:tr w:rsidR="003C2F53" w:rsidRPr="00E11EEC" w14:paraId="36911810" w14:textId="77777777" w:rsidTr="000E7471">
                              <w:trPr>
                                <w:trHeight w:val="204"/>
                              </w:trPr>
                              <w:tc>
                                <w:tcPr>
                                  <w:tcW w:w="1991" w:type="pct"/>
                                  <w:tcBorders>
                                    <w:top w:val="nil"/>
                                    <w:left w:val="nil"/>
                                    <w:bottom w:val="nil"/>
                                    <w:right w:val="nil"/>
                                  </w:tcBorders>
                                  <w:noWrap/>
                                  <w:hideMark/>
                                </w:tcPr>
                                <w:p w14:paraId="5603B5A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Inventory Turnover</w:t>
                                  </w:r>
                                </w:p>
                              </w:tc>
                              <w:tc>
                                <w:tcPr>
                                  <w:tcW w:w="485" w:type="pct"/>
                                  <w:tcBorders>
                                    <w:top w:val="nil"/>
                                    <w:left w:val="nil"/>
                                    <w:bottom w:val="nil"/>
                                    <w:right w:val="nil"/>
                                  </w:tcBorders>
                                  <w:hideMark/>
                                </w:tcPr>
                                <w:p w14:paraId="675C77D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8.9x</w:t>
                                  </w:r>
                                </w:p>
                              </w:tc>
                              <w:tc>
                                <w:tcPr>
                                  <w:tcW w:w="485" w:type="pct"/>
                                  <w:tcBorders>
                                    <w:top w:val="nil"/>
                                    <w:left w:val="nil"/>
                                    <w:bottom w:val="nil"/>
                                    <w:right w:val="nil"/>
                                  </w:tcBorders>
                                  <w:hideMark/>
                                </w:tcPr>
                                <w:p w14:paraId="616E91C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9.4x</w:t>
                                  </w:r>
                                </w:p>
                              </w:tc>
                              <w:tc>
                                <w:tcPr>
                                  <w:tcW w:w="485" w:type="pct"/>
                                  <w:tcBorders>
                                    <w:top w:val="nil"/>
                                    <w:left w:val="nil"/>
                                    <w:bottom w:val="nil"/>
                                    <w:right w:val="nil"/>
                                  </w:tcBorders>
                                  <w:hideMark/>
                                </w:tcPr>
                                <w:p w14:paraId="69DC5AB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8.5x</w:t>
                                  </w:r>
                                </w:p>
                              </w:tc>
                              <w:tc>
                                <w:tcPr>
                                  <w:tcW w:w="485" w:type="pct"/>
                                  <w:tcBorders>
                                    <w:top w:val="nil"/>
                                    <w:left w:val="nil"/>
                                    <w:bottom w:val="nil"/>
                                    <w:right w:val="nil"/>
                                  </w:tcBorders>
                                  <w:hideMark/>
                                </w:tcPr>
                                <w:p w14:paraId="4591C26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8.2x</w:t>
                                  </w:r>
                                </w:p>
                              </w:tc>
                              <w:tc>
                                <w:tcPr>
                                  <w:tcW w:w="485" w:type="pct"/>
                                  <w:tcBorders>
                                    <w:top w:val="nil"/>
                                    <w:left w:val="nil"/>
                                    <w:bottom w:val="nil"/>
                                    <w:right w:val="nil"/>
                                  </w:tcBorders>
                                  <w:hideMark/>
                                </w:tcPr>
                                <w:p w14:paraId="03DBB6A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8.8x</w:t>
                                  </w:r>
                                </w:p>
                              </w:tc>
                              <w:tc>
                                <w:tcPr>
                                  <w:tcW w:w="585" w:type="pct"/>
                                  <w:tcBorders>
                                    <w:top w:val="nil"/>
                                    <w:left w:val="nil"/>
                                    <w:bottom w:val="nil"/>
                                    <w:right w:val="nil"/>
                                  </w:tcBorders>
                                  <w:hideMark/>
                                </w:tcPr>
                                <w:p w14:paraId="1EFBA26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9.2x</w:t>
                                  </w:r>
                                </w:p>
                              </w:tc>
                            </w:tr>
                            <w:tr w:rsidR="003C2F53" w:rsidRPr="00E11EEC" w14:paraId="3801E0C8" w14:textId="77777777" w:rsidTr="000E7471">
                              <w:trPr>
                                <w:trHeight w:val="204"/>
                              </w:trPr>
                              <w:tc>
                                <w:tcPr>
                                  <w:tcW w:w="1991" w:type="pct"/>
                                  <w:tcBorders>
                                    <w:top w:val="nil"/>
                                    <w:left w:val="nil"/>
                                    <w:bottom w:val="nil"/>
                                    <w:right w:val="nil"/>
                                  </w:tcBorders>
                                  <w:noWrap/>
                                  <w:hideMark/>
                                </w:tcPr>
                                <w:p w14:paraId="7754F9D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Short Term Liquidity</w:t>
                                  </w:r>
                                </w:p>
                              </w:tc>
                              <w:tc>
                                <w:tcPr>
                                  <w:tcW w:w="485" w:type="pct"/>
                                  <w:tcBorders>
                                    <w:top w:val="nil"/>
                                    <w:left w:val="nil"/>
                                    <w:bottom w:val="nil"/>
                                    <w:right w:val="nil"/>
                                  </w:tcBorders>
                                  <w:noWrap/>
                                  <w:hideMark/>
                                </w:tcPr>
                                <w:p w14:paraId="1200EF98"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48F448E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E9D7F9C"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B357EA1"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E47C31A"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12148368"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628566EC" w14:textId="77777777" w:rsidTr="000E7471">
                              <w:trPr>
                                <w:trHeight w:val="204"/>
                              </w:trPr>
                              <w:tc>
                                <w:tcPr>
                                  <w:tcW w:w="1991" w:type="pct"/>
                                  <w:tcBorders>
                                    <w:top w:val="nil"/>
                                    <w:left w:val="nil"/>
                                    <w:bottom w:val="nil"/>
                                    <w:right w:val="nil"/>
                                  </w:tcBorders>
                                  <w:noWrap/>
                                  <w:hideMark/>
                                </w:tcPr>
                                <w:p w14:paraId="3B1934B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Current Ratio</w:t>
                                  </w:r>
                                </w:p>
                              </w:tc>
                              <w:tc>
                                <w:tcPr>
                                  <w:tcW w:w="485" w:type="pct"/>
                                  <w:tcBorders>
                                    <w:top w:val="nil"/>
                                    <w:left w:val="nil"/>
                                    <w:bottom w:val="nil"/>
                                    <w:right w:val="nil"/>
                                  </w:tcBorders>
                                  <w:hideMark/>
                                </w:tcPr>
                                <w:p w14:paraId="51093F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485" w:type="pct"/>
                                  <w:tcBorders>
                                    <w:top w:val="nil"/>
                                    <w:left w:val="nil"/>
                                    <w:bottom w:val="nil"/>
                                    <w:right w:val="nil"/>
                                  </w:tcBorders>
                                  <w:hideMark/>
                                </w:tcPr>
                                <w:p w14:paraId="6AE65E4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1.0x</w:t>
                                  </w:r>
                                </w:p>
                              </w:tc>
                              <w:tc>
                                <w:tcPr>
                                  <w:tcW w:w="485" w:type="pct"/>
                                  <w:tcBorders>
                                    <w:top w:val="nil"/>
                                    <w:left w:val="nil"/>
                                    <w:bottom w:val="nil"/>
                                    <w:right w:val="nil"/>
                                  </w:tcBorders>
                                  <w:hideMark/>
                                </w:tcPr>
                                <w:p w14:paraId="22BCD62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0.9x</w:t>
                                  </w:r>
                                </w:p>
                              </w:tc>
                              <w:tc>
                                <w:tcPr>
                                  <w:tcW w:w="485" w:type="pct"/>
                                  <w:tcBorders>
                                    <w:top w:val="nil"/>
                                    <w:left w:val="nil"/>
                                    <w:bottom w:val="nil"/>
                                    <w:right w:val="nil"/>
                                  </w:tcBorders>
                                  <w:hideMark/>
                                </w:tcPr>
                                <w:p w14:paraId="4170DE9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485" w:type="pct"/>
                                  <w:tcBorders>
                                    <w:top w:val="nil"/>
                                    <w:left w:val="nil"/>
                                    <w:bottom w:val="nil"/>
                                    <w:right w:val="nil"/>
                                  </w:tcBorders>
                                  <w:hideMark/>
                                </w:tcPr>
                                <w:p w14:paraId="22188F8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585" w:type="pct"/>
                                  <w:tcBorders>
                                    <w:top w:val="nil"/>
                                    <w:left w:val="nil"/>
                                    <w:bottom w:val="nil"/>
                                    <w:right w:val="nil"/>
                                  </w:tcBorders>
                                  <w:hideMark/>
                                </w:tcPr>
                                <w:p w14:paraId="23467F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r>
                            <w:tr w:rsidR="003C2F53" w:rsidRPr="00E11EEC" w14:paraId="60E8E1ED" w14:textId="77777777" w:rsidTr="000E7471">
                              <w:trPr>
                                <w:trHeight w:val="204"/>
                              </w:trPr>
                              <w:tc>
                                <w:tcPr>
                                  <w:tcW w:w="1991" w:type="pct"/>
                                  <w:tcBorders>
                                    <w:top w:val="nil"/>
                                    <w:left w:val="nil"/>
                                    <w:bottom w:val="nil"/>
                                    <w:right w:val="nil"/>
                                  </w:tcBorders>
                                  <w:noWrap/>
                                  <w:hideMark/>
                                </w:tcPr>
                                <w:p w14:paraId="32CA4AF8"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Quick Ratio</w:t>
                                  </w:r>
                                </w:p>
                              </w:tc>
                              <w:tc>
                                <w:tcPr>
                                  <w:tcW w:w="485" w:type="pct"/>
                                  <w:tcBorders>
                                    <w:top w:val="nil"/>
                                    <w:left w:val="nil"/>
                                    <w:bottom w:val="nil"/>
                                    <w:right w:val="nil"/>
                                  </w:tcBorders>
                                  <w:hideMark/>
                                </w:tcPr>
                                <w:p w14:paraId="15AAE0C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485" w:type="pct"/>
                                  <w:tcBorders>
                                    <w:top w:val="nil"/>
                                    <w:left w:val="nil"/>
                                    <w:bottom w:val="nil"/>
                                    <w:right w:val="nil"/>
                                  </w:tcBorders>
                                  <w:hideMark/>
                                </w:tcPr>
                                <w:p w14:paraId="577D7C6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041AFE1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1A91D34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485" w:type="pct"/>
                                  <w:tcBorders>
                                    <w:top w:val="nil"/>
                                    <w:left w:val="nil"/>
                                    <w:bottom w:val="nil"/>
                                    <w:right w:val="nil"/>
                                  </w:tcBorders>
                                  <w:hideMark/>
                                </w:tcPr>
                                <w:p w14:paraId="6763235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585" w:type="pct"/>
                                  <w:tcBorders>
                                    <w:top w:val="nil"/>
                                    <w:left w:val="nil"/>
                                    <w:bottom w:val="nil"/>
                                    <w:right w:val="nil"/>
                                  </w:tcBorders>
                                  <w:hideMark/>
                                </w:tcPr>
                                <w:p w14:paraId="61504EB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r>
                            <w:tr w:rsidR="003C2F53" w:rsidRPr="00E11EEC" w14:paraId="53DA2E2D" w14:textId="77777777" w:rsidTr="000E7471">
                              <w:trPr>
                                <w:trHeight w:val="204"/>
                              </w:trPr>
                              <w:tc>
                                <w:tcPr>
                                  <w:tcW w:w="1991" w:type="pct"/>
                                  <w:tcBorders>
                                    <w:top w:val="nil"/>
                                    <w:left w:val="nil"/>
                                    <w:bottom w:val="nil"/>
                                    <w:right w:val="nil"/>
                                  </w:tcBorders>
                                  <w:noWrap/>
                                  <w:hideMark/>
                                </w:tcPr>
                                <w:p w14:paraId="61302F5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Cash from Ops. to Curr. </w:t>
                                  </w:r>
                                  <w:r w:rsidRPr="00E67059">
                                    <w:rPr>
                                      <w:rFonts w:ascii="Cambria" w:eastAsia="Times New Roman" w:hAnsi="Cambria" w:cs="Arial"/>
                                      <w:color w:val="000000"/>
                                      <w:kern w:val="0"/>
                                      <w:sz w:val="14"/>
                                      <w:szCs w:val="14"/>
                                      <w:lang w:eastAsia="en-IN"/>
                                      <w14:ligatures w14:val="none"/>
                                    </w:rPr>
                                    <w:t>Liab.</w:t>
                                  </w:r>
                                </w:p>
                              </w:tc>
                              <w:tc>
                                <w:tcPr>
                                  <w:tcW w:w="485" w:type="pct"/>
                                  <w:tcBorders>
                                    <w:top w:val="nil"/>
                                    <w:left w:val="nil"/>
                                    <w:bottom w:val="nil"/>
                                    <w:right w:val="nil"/>
                                  </w:tcBorders>
                                  <w:hideMark/>
                                </w:tcPr>
                                <w:p w14:paraId="109417B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1C5D659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c>
                                <w:tcPr>
                                  <w:tcW w:w="485" w:type="pct"/>
                                  <w:tcBorders>
                                    <w:top w:val="nil"/>
                                    <w:left w:val="nil"/>
                                    <w:bottom w:val="nil"/>
                                    <w:right w:val="nil"/>
                                  </w:tcBorders>
                                  <w:hideMark/>
                                </w:tcPr>
                                <w:p w14:paraId="460E797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3455B10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56743BB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c>
                                <w:tcPr>
                                  <w:tcW w:w="585" w:type="pct"/>
                                  <w:tcBorders>
                                    <w:top w:val="nil"/>
                                    <w:left w:val="nil"/>
                                    <w:bottom w:val="nil"/>
                                    <w:right w:val="nil"/>
                                  </w:tcBorders>
                                  <w:hideMark/>
                                </w:tcPr>
                                <w:p w14:paraId="4424D3B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r>
                            <w:tr w:rsidR="003C2F53" w:rsidRPr="00E11EEC" w14:paraId="1D8FD4A0" w14:textId="77777777" w:rsidTr="000E7471">
                              <w:trPr>
                                <w:trHeight w:val="204"/>
                              </w:trPr>
                              <w:tc>
                                <w:tcPr>
                                  <w:tcW w:w="1991" w:type="pct"/>
                                  <w:tcBorders>
                                    <w:top w:val="nil"/>
                                    <w:left w:val="nil"/>
                                    <w:bottom w:val="nil"/>
                                    <w:right w:val="nil"/>
                                  </w:tcBorders>
                                  <w:noWrap/>
                                  <w:hideMark/>
                                </w:tcPr>
                                <w:p w14:paraId="742A5E5E"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Long Term Solvency</w:t>
                                  </w:r>
                                </w:p>
                              </w:tc>
                              <w:tc>
                                <w:tcPr>
                                  <w:tcW w:w="485" w:type="pct"/>
                                  <w:tcBorders>
                                    <w:top w:val="nil"/>
                                    <w:left w:val="nil"/>
                                    <w:bottom w:val="nil"/>
                                    <w:right w:val="nil"/>
                                  </w:tcBorders>
                                  <w:noWrap/>
                                  <w:hideMark/>
                                </w:tcPr>
                                <w:p w14:paraId="18733D2D"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17FEB91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20FAE14"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4E95FF5F"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6B72ABA3"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292F7B0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2746D835" w14:textId="77777777" w:rsidTr="000E7471">
                              <w:trPr>
                                <w:trHeight w:val="204"/>
                              </w:trPr>
                              <w:tc>
                                <w:tcPr>
                                  <w:tcW w:w="1991" w:type="pct"/>
                                  <w:tcBorders>
                                    <w:top w:val="nil"/>
                                    <w:left w:val="nil"/>
                                    <w:bottom w:val="nil"/>
                                    <w:right w:val="nil"/>
                                  </w:tcBorders>
                                  <w:noWrap/>
                                  <w:hideMark/>
                                </w:tcPr>
                                <w:p w14:paraId="31DCB520"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Debt/Equity</w:t>
                                  </w:r>
                                </w:p>
                              </w:tc>
                              <w:tc>
                                <w:tcPr>
                                  <w:tcW w:w="485" w:type="pct"/>
                                  <w:tcBorders>
                                    <w:top w:val="nil"/>
                                    <w:left w:val="nil"/>
                                    <w:bottom w:val="nil"/>
                                    <w:right w:val="nil"/>
                                  </w:tcBorders>
                                  <w:hideMark/>
                                </w:tcPr>
                                <w:p w14:paraId="7B1D4C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89.7% </w:t>
                                  </w:r>
                                </w:p>
                              </w:tc>
                              <w:tc>
                                <w:tcPr>
                                  <w:tcW w:w="485" w:type="pct"/>
                                  <w:tcBorders>
                                    <w:top w:val="nil"/>
                                    <w:left w:val="nil"/>
                                    <w:bottom w:val="nil"/>
                                    <w:right w:val="nil"/>
                                  </w:tcBorders>
                                  <w:hideMark/>
                                </w:tcPr>
                                <w:p w14:paraId="2E0E21A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72.7% </w:t>
                                  </w:r>
                                </w:p>
                              </w:tc>
                              <w:tc>
                                <w:tcPr>
                                  <w:tcW w:w="485" w:type="pct"/>
                                  <w:tcBorders>
                                    <w:top w:val="nil"/>
                                    <w:left w:val="nil"/>
                                    <w:bottom w:val="nil"/>
                                    <w:right w:val="nil"/>
                                  </w:tcBorders>
                                  <w:hideMark/>
                                </w:tcPr>
                                <w:p w14:paraId="6F2DBD2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63.6% </w:t>
                                  </w:r>
                                </w:p>
                              </w:tc>
                              <w:tc>
                                <w:tcPr>
                                  <w:tcW w:w="485" w:type="pct"/>
                                  <w:tcBorders>
                                    <w:top w:val="nil"/>
                                    <w:left w:val="nil"/>
                                    <w:bottom w:val="nil"/>
                                    <w:right w:val="nil"/>
                                  </w:tcBorders>
                                  <w:hideMark/>
                                </w:tcPr>
                                <w:p w14:paraId="48BDCDC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72.7% </w:t>
                                  </w:r>
                                </w:p>
                              </w:tc>
                              <w:tc>
                                <w:tcPr>
                                  <w:tcW w:w="485" w:type="pct"/>
                                  <w:tcBorders>
                                    <w:top w:val="nil"/>
                                    <w:left w:val="nil"/>
                                    <w:bottom w:val="nil"/>
                                    <w:right w:val="nil"/>
                                  </w:tcBorders>
                                  <w:hideMark/>
                                </w:tcPr>
                                <w:p w14:paraId="348BC15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69.9% </w:t>
                                  </w:r>
                                </w:p>
                              </w:tc>
                              <w:tc>
                                <w:tcPr>
                                  <w:tcW w:w="585" w:type="pct"/>
                                  <w:tcBorders>
                                    <w:top w:val="nil"/>
                                    <w:left w:val="nil"/>
                                    <w:bottom w:val="nil"/>
                                    <w:right w:val="nil"/>
                                  </w:tcBorders>
                                  <w:hideMark/>
                                </w:tcPr>
                                <w:p w14:paraId="7084874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61.5% </w:t>
                                  </w:r>
                                </w:p>
                              </w:tc>
                            </w:tr>
                            <w:tr w:rsidR="003C2F53" w:rsidRPr="00E11EEC" w14:paraId="1F725C87" w14:textId="77777777" w:rsidTr="000E7471">
                              <w:trPr>
                                <w:trHeight w:val="204"/>
                              </w:trPr>
                              <w:tc>
                                <w:tcPr>
                                  <w:tcW w:w="1991" w:type="pct"/>
                                  <w:tcBorders>
                                    <w:top w:val="nil"/>
                                    <w:left w:val="nil"/>
                                    <w:bottom w:val="nil"/>
                                    <w:right w:val="nil"/>
                                  </w:tcBorders>
                                  <w:noWrap/>
                                  <w:hideMark/>
                                </w:tcPr>
                                <w:p w14:paraId="63E137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Debt/Capital</w:t>
                                  </w:r>
                                </w:p>
                              </w:tc>
                              <w:tc>
                                <w:tcPr>
                                  <w:tcW w:w="485" w:type="pct"/>
                                  <w:tcBorders>
                                    <w:top w:val="nil"/>
                                    <w:left w:val="nil"/>
                                    <w:bottom w:val="nil"/>
                                    <w:right w:val="nil"/>
                                  </w:tcBorders>
                                  <w:hideMark/>
                                </w:tcPr>
                                <w:p w14:paraId="521195D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47.3% </w:t>
                                  </w:r>
                                </w:p>
                              </w:tc>
                              <w:tc>
                                <w:tcPr>
                                  <w:tcW w:w="485" w:type="pct"/>
                                  <w:tcBorders>
                                    <w:top w:val="nil"/>
                                    <w:left w:val="nil"/>
                                    <w:bottom w:val="nil"/>
                                    <w:right w:val="nil"/>
                                  </w:tcBorders>
                                  <w:hideMark/>
                                </w:tcPr>
                                <w:p w14:paraId="07AD97F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42.1% </w:t>
                                  </w:r>
                                </w:p>
                              </w:tc>
                              <w:tc>
                                <w:tcPr>
                                  <w:tcW w:w="485" w:type="pct"/>
                                  <w:tcBorders>
                                    <w:top w:val="nil"/>
                                    <w:left w:val="nil"/>
                                    <w:bottom w:val="nil"/>
                                    <w:right w:val="nil"/>
                                  </w:tcBorders>
                                  <w:hideMark/>
                                </w:tcPr>
                                <w:p w14:paraId="29ACCB0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38.9% </w:t>
                                  </w:r>
                                </w:p>
                              </w:tc>
                              <w:tc>
                                <w:tcPr>
                                  <w:tcW w:w="485" w:type="pct"/>
                                  <w:tcBorders>
                                    <w:top w:val="nil"/>
                                    <w:left w:val="nil"/>
                                    <w:bottom w:val="nil"/>
                                    <w:right w:val="nil"/>
                                  </w:tcBorders>
                                  <w:hideMark/>
                                </w:tcPr>
                                <w:p w14:paraId="64F5D0F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42.1% </w:t>
                                  </w:r>
                                </w:p>
                              </w:tc>
                              <w:tc>
                                <w:tcPr>
                                  <w:tcW w:w="485" w:type="pct"/>
                                  <w:tcBorders>
                                    <w:top w:val="nil"/>
                                    <w:left w:val="nil"/>
                                    <w:bottom w:val="nil"/>
                                    <w:right w:val="nil"/>
                                  </w:tcBorders>
                                  <w:hideMark/>
                                </w:tcPr>
                                <w:p w14:paraId="455F670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41.1% </w:t>
                                  </w:r>
                                </w:p>
                              </w:tc>
                              <w:tc>
                                <w:tcPr>
                                  <w:tcW w:w="585" w:type="pct"/>
                                  <w:tcBorders>
                                    <w:top w:val="nil"/>
                                    <w:left w:val="nil"/>
                                    <w:bottom w:val="nil"/>
                                    <w:right w:val="nil"/>
                                  </w:tcBorders>
                                  <w:hideMark/>
                                </w:tcPr>
                                <w:p w14:paraId="77FF7D2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38.1% </w:t>
                                  </w:r>
                                </w:p>
                              </w:tc>
                            </w:tr>
                            <w:tr w:rsidR="003C2F53" w:rsidRPr="00E11EEC" w14:paraId="4C4247B4" w14:textId="77777777" w:rsidTr="000E7471">
                              <w:trPr>
                                <w:trHeight w:val="204"/>
                              </w:trPr>
                              <w:tc>
                                <w:tcPr>
                                  <w:tcW w:w="1991" w:type="pct"/>
                                  <w:tcBorders>
                                    <w:top w:val="nil"/>
                                    <w:left w:val="nil"/>
                                    <w:bottom w:val="nil"/>
                                    <w:right w:val="nil"/>
                                  </w:tcBorders>
                                  <w:noWrap/>
                                  <w:hideMark/>
                                </w:tcPr>
                                <w:p w14:paraId="0154629D"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LT Debt/Equity</w:t>
                                  </w:r>
                                </w:p>
                              </w:tc>
                              <w:tc>
                                <w:tcPr>
                                  <w:tcW w:w="485" w:type="pct"/>
                                  <w:tcBorders>
                                    <w:top w:val="nil"/>
                                    <w:left w:val="nil"/>
                                    <w:bottom w:val="nil"/>
                                    <w:right w:val="nil"/>
                                  </w:tcBorders>
                                  <w:hideMark/>
                                </w:tcPr>
                                <w:p w14:paraId="1D57E4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79.6% </w:t>
                                  </w:r>
                                </w:p>
                              </w:tc>
                              <w:tc>
                                <w:tcPr>
                                  <w:tcW w:w="485" w:type="pct"/>
                                  <w:tcBorders>
                                    <w:top w:val="nil"/>
                                    <w:left w:val="nil"/>
                                    <w:bottom w:val="nil"/>
                                    <w:right w:val="nil"/>
                                  </w:tcBorders>
                                  <w:hideMark/>
                                </w:tcPr>
                                <w:p w14:paraId="4FD37C7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66.7% </w:t>
                                  </w:r>
                                </w:p>
                              </w:tc>
                              <w:tc>
                                <w:tcPr>
                                  <w:tcW w:w="485" w:type="pct"/>
                                  <w:tcBorders>
                                    <w:top w:val="nil"/>
                                    <w:left w:val="nil"/>
                                    <w:bottom w:val="nil"/>
                                    <w:right w:val="nil"/>
                                  </w:tcBorders>
                                  <w:hideMark/>
                                </w:tcPr>
                                <w:p w14:paraId="7F5BC99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57.9% </w:t>
                                  </w:r>
                                </w:p>
                              </w:tc>
                              <w:tc>
                                <w:tcPr>
                                  <w:tcW w:w="485" w:type="pct"/>
                                  <w:tcBorders>
                                    <w:top w:val="nil"/>
                                    <w:left w:val="nil"/>
                                    <w:bottom w:val="nil"/>
                                    <w:right w:val="nil"/>
                                  </w:tcBorders>
                                  <w:hideMark/>
                                </w:tcPr>
                                <w:p w14:paraId="7F51D03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64.8% </w:t>
                                  </w:r>
                                </w:p>
                              </w:tc>
                              <w:tc>
                                <w:tcPr>
                                  <w:tcW w:w="485" w:type="pct"/>
                                  <w:tcBorders>
                                    <w:top w:val="nil"/>
                                    <w:left w:val="nil"/>
                                    <w:bottom w:val="nil"/>
                                    <w:right w:val="nil"/>
                                  </w:tcBorders>
                                  <w:hideMark/>
                                </w:tcPr>
                                <w:p w14:paraId="00AEB67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62.6% </w:t>
                                  </w:r>
                                </w:p>
                              </w:tc>
                              <w:tc>
                                <w:tcPr>
                                  <w:tcW w:w="585" w:type="pct"/>
                                  <w:tcBorders>
                                    <w:top w:val="nil"/>
                                    <w:left w:val="nil"/>
                                    <w:bottom w:val="nil"/>
                                    <w:right w:val="nil"/>
                                  </w:tcBorders>
                                  <w:hideMark/>
                                </w:tcPr>
                                <w:p w14:paraId="499AA1E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53.4% </w:t>
                                  </w:r>
                                </w:p>
                              </w:tc>
                            </w:tr>
                            <w:tr w:rsidR="003C2F53" w:rsidRPr="00E11EEC" w14:paraId="558F6DDD" w14:textId="77777777" w:rsidTr="000E7471">
                              <w:trPr>
                                <w:trHeight w:val="204"/>
                              </w:trPr>
                              <w:tc>
                                <w:tcPr>
                                  <w:tcW w:w="1991" w:type="pct"/>
                                  <w:tcBorders>
                                    <w:top w:val="nil"/>
                                    <w:left w:val="nil"/>
                                    <w:bottom w:val="nil"/>
                                    <w:right w:val="nil"/>
                                  </w:tcBorders>
                                  <w:noWrap/>
                                  <w:hideMark/>
                                </w:tcPr>
                                <w:p w14:paraId="25C5A473"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LT Debt/Capital</w:t>
                                  </w:r>
                                </w:p>
                              </w:tc>
                              <w:tc>
                                <w:tcPr>
                                  <w:tcW w:w="485" w:type="pct"/>
                                  <w:tcBorders>
                                    <w:top w:val="nil"/>
                                    <w:left w:val="nil"/>
                                    <w:bottom w:val="nil"/>
                                    <w:right w:val="nil"/>
                                  </w:tcBorders>
                                  <w:hideMark/>
                                </w:tcPr>
                                <w:p w14:paraId="2A42A45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41.9% </w:t>
                                  </w:r>
                                </w:p>
                              </w:tc>
                              <w:tc>
                                <w:tcPr>
                                  <w:tcW w:w="485" w:type="pct"/>
                                  <w:tcBorders>
                                    <w:top w:val="nil"/>
                                    <w:left w:val="nil"/>
                                    <w:bottom w:val="nil"/>
                                    <w:right w:val="nil"/>
                                  </w:tcBorders>
                                  <w:hideMark/>
                                </w:tcPr>
                                <w:p w14:paraId="59A8AD1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38.6% </w:t>
                                  </w:r>
                                </w:p>
                              </w:tc>
                              <w:tc>
                                <w:tcPr>
                                  <w:tcW w:w="485" w:type="pct"/>
                                  <w:tcBorders>
                                    <w:top w:val="nil"/>
                                    <w:left w:val="nil"/>
                                    <w:bottom w:val="nil"/>
                                    <w:right w:val="nil"/>
                                  </w:tcBorders>
                                  <w:hideMark/>
                                </w:tcPr>
                                <w:p w14:paraId="37066B9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35.4% </w:t>
                                  </w:r>
                                </w:p>
                              </w:tc>
                              <w:tc>
                                <w:tcPr>
                                  <w:tcW w:w="485" w:type="pct"/>
                                  <w:tcBorders>
                                    <w:top w:val="nil"/>
                                    <w:left w:val="nil"/>
                                    <w:bottom w:val="nil"/>
                                    <w:right w:val="nil"/>
                                  </w:tcBorders>
                                  <w:hideMark/>
                                </w:tcPr>
                                <w:p w14:paraId="0C5A0D7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37.5% </w:t>
                                  </w:r>
                                </w:p>
                              </w:tc>
                              <w:tc>
                                <w:tcPr>
                                  <w:tcW w:w="485" w:type="pct"/>
                                  <w:tcBorders>
                                    <w:top w:val="nil"/>
                                    <w:left w:val="nil"/>
                                    <w:bottom w:val="nil"/>
                                    <w:right w:val="nil"/>
                                  </w:tcBorders>
                                  <w:hideMark/>
                                </w:tcPr>
                                <w:p w14:paraId="75C476D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36.9% </w:t>
                                  </w:r>
                                </w:p>
                              </w:tc>
                              <w:tc>
                                <w:tcPr>
                                  <w:tcW w:w="585" w:type="pct"/>
                                  <w:tcBorders>
                                    <w:top w:val="nil"/>
                                    <w:left w:val="nil"/>
                                    <w:bottom w:val="nil"/>
                                    <w:right w:val="nil"/>
                                  </w:tcBorders>
                                  <w:hideMark/>
                                </w:tcPr>
                                <w:p w14:paraId="0D10B8D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33.0% </w:t>
                                  </w:r>
                                </w:p>
                              </w:tc>
                            </w:tr>
                            <w:tr w:rsidR="003C2F53" w:rsidRPr="00E11EEC" w14:paraId="7D8AD751" w14:textId="77777777" w:rsidTr="000E7471">
                              <w:trPr>
                                <w:trHeight w:val="204"/>
                              </w:trPr>
                              <w:tc>
                                <w:tcPr>
                                  <w:tcW w:w="1991" w:type="pct"/>
                                  <w:tcBorders>
                                    <w:top w:val="nil"/>
                                    <w:left w:val="nil"/>
                                    <w:bottom w:val="nil"/>
                                    <w:right w:val="nil"/>
                                  </w:tcBorders>
                                  <w:noWrap/>
                                  <w:hideMark/>
                                </w:tcPr>
                                <w:p w14:paraId="7A7690B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Liabilities/Total Assets</w:t>
                                  </w:r>
                                </w:p>
                              </w:tc>
                              <w:tc>
                                <w:tcPr>
                                  <w:tcW w:w="485" w:type="pct"/>
                                  <w:tcBorders>
                                    <w:top w:val="nil"/>
                                    <w:left w:val="nil"/>
                                    <w:bottom w:val="nil"/>
                                    <w:right w:val="nil"/>
                                  </w:tcBorders>
                                  <w:hideMark/>
                                </w:tcPr>
                                <w:p w14:paraId="319BEAF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65.5% </w:t>
                                  </w:r>
                                </w:p>
                              </w:tc>
                              <w:tc>
                                <w:tcPr>
                                  <w:tcW w:w="485" w:type="pct"/>
                                  <w:tcBorders>
                                    <w:top w:val="nil"/>
                                    <w:left w:val="nil"/>
                                    <w:bottom w:val="nil"/>
                                    <w:right w:val="nil"/>
                                  </w:tcBorders>
                                  <w:hideMark/>
                                </w:tcPr>
                                <w:p w14:paraId="45910D9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65.3% </w:t>
                                  </w:r>
                                </w:p>
                              </w:tc>
                              <w:tc>
                                <w:tcPr>
                                  <w:tcW w:w="485" w:type="pct"/>
                                  <w:tcBorders>
                                    <w:top w:val="nil"/>
                                    <w:left w:val="nil"/>
                                    <w:bottom w:val="nil"/>
                                    <w:right w:val="nil"/>
                                  </w:tcBorders>
                                  <w:hideMark/>
                                </w:tcPr>
                                <w:p w14:paraId="68C4601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62.5% </w:t>
                                  </w:r>
                                </w:p>
                              </w:tc>
                              <w:tc>
                                <w:tcPr>
                                  <w:tcW w:w="485" w:type="pct"/>
                                  <w:tcBorders>
                                    <w:top w:val="nil"/>
                                    <w:left w:val="nil"/>
                                    <w:bottom w:val="nil"/>
                                    <w:right w:val="nil"/>
                                  </w:tcBorders>
                                  <w:hideMark/>
                                </w:tcPr>
                                <w:p w14:paraId="50A6DED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65.5% </w:t>
                                  </w:r>
                                </w:p>
                              </w:tc>
                              <w:tc>
                                <w:tcPr>
                                  <w:tcW w:w="485" w:type="pct"/>
                                  <w:tcBorders>
                                    <w:top w:val="nil"/>
                                    <w:left w:val="nil"/>
                                    <w:bottom w:val="nil"/>
                                    <w:right w:val="nil"/>
                                  </w:tcBorders>
                                  <w:hideMark/>
                                </w:tcPr>
                                <w:p w14:paraId="2CC0D14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64.1% </w:t>
                                  </w:r>
                                </w:p>
                              </w:tc>
                              <w:tc>
                                <w:tcPr>
                                  <w:tcW w:w="585" w:type="pct"/>
                                  <w:tcBorders>
                                    <w:top w:val="nil"/>
                                    <w:left w:val="nil"/>
                                    <w:bottom w:val="nil"/>
                                    <w:right w:val="nil"/>
                                  </w:tcBorders>
                                  <w:hideMark/>
                                </w:tcPr>
                                <w:p w14:paraId="7C2A4A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62.5% </w:t>
                                  </w:r>
                                </w:p>
                              </w:tc>
                            </w:tr>
                            <w:tr w:rsidR="003C2F53" w:rsidRPr="00E11EEC" w14:paraId="181417F9" w14:textId="77777777" w:rsidTr="000E7471">
                              <w:trPr>
                                <w:trHeight w:val="204"/>
                              </w:trPr>
                              <w:tc>
                                <w:tcPr>
                                  <w:tcW w:w="1991" w:type="pct"/>
                                  <w:tcBorders>
                                    <w:top w:val="nil"/>
                                    <w:left w:val="nil"/>
                                    <w:bottom w:val="nil"/>
                                    <w:right w:val="nil"/>
                                  </w:tcBorders>
                                  <w:noWrap/>
                                  <w:hideMark/>
                                </w:tcPr>
                                <w:p w14:paraId="52734CB7"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 / Interest Exp.</w:t>
                                  </w:r>
                                </w:p>
                              </w:tc>
                              <w:tc>
                                <w:tcPr>
                                  <w:tcW w:w="485" w:type="pct"/>
                                  <w:tcBorders>
                                    <w:top w:val="nil"/>
                                    <w:left w:val="nil"/>
                                    <w:bottom w:val="nil"/>
                                    <w:right w:val="nil"/>
                                  </w:tcBorders>
                                  <w:hideMark/>
                                </w:tcPr>
                                <w:p w14:paraId="2C52DFE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8.3x</w:t>
                                  </w:r>
                                </w:p>
                              </w:tc>
                              <w:tc>
                                <w:tcPr>
                                  <w:tcW w:w="485" w:type="pct"/>
                                  <w:tcBorders>
                                    <w:top w:val="nil"/>
                                    <w:left w:val="nil"/>
                                    <w:bottom w:val="nil"/>
                                    <w:right w:val="nil"/>
                                  </w:tcBorders>
                                  <w:hideMark/>
                                </w:tcPr>
                                <w:p w14:paraId="0265399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9.7x</w:t>
                                  </w:r>
                                </w:p>
                              </w:tc>
                              <w:tc>
                                <w:tcPr>
                                  <w:tcW w:w="485" w:type="pct"/>
                                  <w:tcBorders>
                                    <w:top w:val="nil"/>
                                    <w:left w:val="nil"/>
                                    <w:bottom w:val="nil"/>
                                    <w:right w:val="nil"/>
                                  </w:tcBorders>
                                  <w:hideMark/>
                                </w:tcPr>
                                <w:p w14:paraId="005F8CC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13.0x</w:t>
                                  </w:r>
                                </w:p>
                              </w:tc>
                              <w:tc>
                                <w:tcPr>
                                  <w:tcW w:w="485" w:type="pct"/>
                                  <w:tcBorders>
                                    <w:top w:val="nil"/>
                                    <w:left w:val="nil"/>
                                    <w:bottom w:val="nil"/>
                                    <w:right w:val="nil"/>
                                  </w:tcBorders>
                                  <w:hideMark/>
                                </w:tcPr>
                                <w:p w14:paraId="6CA7B0B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11.5x</w:t>
                                  </w:r>
                                </w:p>
                              </w:tc>
                              <w:tc>
                                <w:tcPr>
                                  <w:tcW w:w="485" w:type="pct"/>
                                  <w:tcBorders>
                                    <w:top w:val="nil"/>
                                    <w:left w:val="nil"/>
                                    <w:bottom w:val="nil"/>
                                    <w:right w:val="nil"/>
                                  </w:tcBorders>
                                  <w:hideMark/>
                                </w:tcPr>
                                <w:p w14:paraId="78333CD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10.1x</w:t>
                                  </w:r>
                                </w:p>
                              </w:tc>
                              <w:tc>
                                <w:tcPr>
                                  <w:tcW w:w="585" w:type="pct"/>
                                  <w:tcBorders>
                                    <w:top w:val="nil"/>
                                    <w:left w:val="nil"/>
                                    <w:bottom w:val="nil"/>
                                    <w:right w:val="nil"/>
                                  </w:tcBorders>
                                  <w:hideMark/>
                                </w:tcPr>
                                <w:p w14:paraId="60B197A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10.8x</w:t>
                                  </w:r>
                                </w:p>
                              </w:tc>
                            </w:tr>
                            <w:tr w:rsidR="003C2F53" w:rsidRPr="00E11EEC" w14:paraId="16A713B5" w14:textId="77777777" w:rsidTr="000E7471">
                              <w:trPr>
                                <w:trHeight w:val="204"/>
                              </w:trPr>
                              <w:tc>
                                <w:tcPr>
                                  <w:tcW w:w="1991" w:type="pct"/>
                                  <w:tcBorders>
                                    <w:top w:val="nil"/>
                                    <w:left w:val="nil"/>
                                    <w:bottom w:val="nil"/>
                                    <w:right w:val="nil"/>
                                  </w:tcBorders>
                                  <w:noWrap/>
                                  <w:hideMark/>
                                </w:tcPr>
                                <w:p w14:paraId="55E85C4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 / Interest Exp.</w:t>
                                  </w:r>
                                </w:p>
                              </w:tc>
                              <w:tc>
                                <w:tcPr>
                                  <w:tcW w:w="485" w:type="pct"/>
                                  <w:tcBorders>
                                    <w:top w:val="nil"/>
                                    <w:left w:val="nil"/>
                                    <w:bottom w:val="nil"/>
                                    <w:right w:val="nil"/>
                                  </w:tcBorders>
                                  <w:hideMark/>
                                </w:tcPr>
                                <w:p w14:paraId="4E2A2D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13.8x</w:t>
                                  </w:r>
                                </w:p>
                              </w:tc>
                              <w:tc>
                                <w:tcPr>
                                  <w:tcW w:w="485" w:type="pct"/>
                                  <w:tcBorders>
                                    <w:top w:val="nil"/>
                                    <w:left w:val="nil"/>
                                    <w:bottom w:val="nil"/>
                                    <w:right w:val="nil"/>
                                  </w:tcBorders>
                                  <w:hideMark/>
                                </w:tcPr>
                                <w:p w14:paraId="430E0F5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16.0x</w:t>
                                  </w:r>
                                </w:p>
                              </w:tc>
                              <w:tc>
                                <w:tcPr>
                                  <w:tcW w:w="485" w:type="pct"/>
                                  <w:tcBorders>
                                    <w:top w:val="nil"/>
                                    <w:left w:val="nil"/>
                                    <w:bottom w:val="nil"/>
                                    <w:right w:val="nil"/>
                                  </w:tcBorders>
                                  <w:hideMark/>
                                </w:tcPr>
                                <w:p w14:paraId="0D6FD72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19.9x</w:t>
                                  </w:r>
                                </w:p>
                              </w:tc>
                              <w:tc>
                                <w:tcPr>
                                  <w:tcW w:w="485" w:type="pct"/>
                                  <w:tcBorders>
                                    <w:top w:val="nil"/>
                                    <w:left w:val="nil"/>
                                    <w:bottom w:val="nil"/>
                                    <w:right w:val="nil"/>
                                  </w:tcBorders>
                                  <w:hideMark/>
                                </w:tcPr>
                                <w:p w14:paraId="169E86E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18.2x</w:t>
                                  </w:r>
                                </w:p>
                              </w:tc>
                              <w:tc>
                                <w:tcPr>
                                  <w:tcW w:w="485" w:type="pct"/>
                                  <w:tcBorders>
                                    <w:top w:val="nil"/>
                                    <w:left w:val="nil"/>
                                    <w:bottom w:val="nil"/>
                                    <w:right w:val="nil"/>
                                  </w:tcBorders>
                                  <w:hideMark/>
                                </w:tcPr>
                                <w:p w14:paraId="5AAA368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15.7x</w:t>
                                  </w:r>
                                </w:p>
                              </w:tc>
                              <w:tc>
                                <w:tcPr>
                                  <w:tcW w:w="585" w:type="pct"/>
                                  <w:tcBorders>
                                    <w:top w:val="nil"/>
                                    <w:left w:val="nil"/>
                                    <w:bottom w:val="nil"/>
                                    <w:right w:val="nil"/>
                                  </w:tcBorders>
                                  <w:hideMark/>
                                </w:tcPr>
                                <w:p w14:paraId="4EFB382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16.8x</w:t>
                                  </w:r>
                                </w:p>
                              </w:tc>
                            </w:tr>
                            <w:tr w:rsidR="003C2F53" w:rsidRPr="00E11EEC" w14:paraId="7464AEBA" w14:textId="77777777" w:rsidTr="000E7471">
                              <w:trPr>
                                <w:trHeight w:val="204"/>
                              </w:trPr>
                              <w:tc>
                                <w:tcPr>
                                  <w:tcW w:w="1991" w:type="pct"/>
                                  <w:tcBorders>
                                    <w:top w:val="nil"/>
                                    <w:left w:val="nil"/>
                                    <w:bottom w:val="nil"/>
                                    <w:right w:val="nil"/>
                                  </w:tcBorders>
                                  <w:noWrap/>
                                  <w:hideMark/>
                                </w:tcPr>
                                <w:p w14:paraId="22ABB5D0"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(EBITDA-CAPEX) / Interest Exp.</w:t>
                                  </w:r>
                                </w:p>
                              </w:tc>
                              <w:tc>
                                <w:tcPr>
                                  <w:tcW w:w="485" w:type="pct"/>
                                  <w:tcBorders>
                                    <w:top w:val="nil"/>
                                    <w:left w:val="nil"/>
                                    <w:bottom w:val="nil"/>
                                    <w:right w:val="nil"/>
                                  </w:tcBorders>
                                  <w:hideMark/>
                                </w:tcPr>
                                <w:p w14:paraId="306AA2B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9.7x</w:t>
                                  </w:r>
                                </w:p>
                              </w:tc>
                              <w:tc>
                                <w:tcPr>
                                  <w:tcW w:w="485" w:type="pct"/>
                                  <w:tcBorders>
                                    <w:top w:val="nil"/>
                                    <w:left w:val="nil"/>
                                    <w:bottom w:val="nil"/>
                                    <w:right w:val="nil"/>
                                  </w:tcBorders>
                                  <w:hideMark/>
                                </w:tcPr>
                                <w:p w14:paraId="05F1ECA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11.6x</w:t>
                                  </w:r>
                                </w:p>
                              </w:tc>
                              <w:tc>
                                <w:tcPr>
                                  <w:tcW w:w="485" w:type="pct"/>
                                  <w:tcBorders>
                                    <w:top w:val="nil"/>
                                    <w:left w:val="nil"/>
                                    <w:bottom w:val="nil"/>
                                    <w:right w:val="nil"/>
                                  </w:tcBorders>
                                  <w:hideMark/>
                                </w:tcPr>
                                <w:p w14:paraId="2D107A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13.3x</w:t>
                                  </w:r>
                                </w:p>
                              </w:tc>
                              <w:tc>
                                <w:tcPr>
                                  <w:tcW w:w="485" w:type="pct"/>
                                  <w:tcBorders>
                                    <w:top w:val="nil"/>
                                    <w:left w:val="nil"/>
                                    <w:bottom w:val="nil"/>
                                    <w:right w:val="nil"/>
                                  </w:tcBorders>
                                  <w:hideMark/>
                                </w:tcPr>
                                <w:p w14:paraId="6C4373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10.3x</w:t>
                                  </w:r>
                                </w:p>
                              </w:tc>
                              <w:tc>
                                <w:tcPr>
                                  <w:tcW w:w="485" w:type="pct"/>
                                  <w:tcBorders>
                                    <w:top w:val="nil"/>
                                    <w:left w:val="nil"/>
                                    <w:bottom w:val="nil"/>
                                    <w:right w:val="nil"/>
                                  </w:tcBorders>
                                  <w:hideMark/>
                                </w:tcPr>
                                <w:p w14:paraId="72A3462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8.1x</w:t>
                                  </w:r>
                                </w:p>
                              </w:tc>
                              <w:tc>
                                <w:tcPr>
                                  <w:tcW w:w="585" w:type="pct"/>
                                  <w:tcBorders>
                                    <w:top w:val="nil"/>
                                    <w:left w:val="nil"/>
                                    <w:bottom w:val="nil"/>
                                    <w:right w:val="nil"/>
                                  </w:tcBorders>
                                  <w:hideMark/>
                                </w:tcPr>
                                <w:p w14:paraId="7CC6DE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8.1x</w:t>
                                  </w:r>
                                </w:p>
                              </w:tc>
                            </w:tr>
                            <w:tr w:rsidR="003C2F53" w:rsidRPr="00E11EEC" w14:paraId="73302BDE" w14:textId="77777777" w:rsidTr="000E7471">
                              <w:trPr>
                                <w:trHeight w:val="204"/>
                              </w:trPr>
                              <w:tc>
                                <w:tcPr>
                                  <w:tcW w:w="1991" w:type="pct"/>
                                  <w:tcBorders>
                                    <w:top w:val="nil"/>
                                    <w:left w:val="nil"/>
                                    <w:bottom w:val="nil"/>
                                    <w:right w:val="nil"/>
                                  </w:tcBorders>
                                  <w:noWrap/>
                                  <w:hideMark/>
                                </w:tcPr>
                                <w:p w14:paraId="558FFF4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Debt/EBITDA</w:t>
                                  </w:r>
                                </w:p>
                              </w:tc>
                              <w:tc>
                                <w:tcPr>
                                  <w:tcW w:w="485" w:type="pct"/>
                                  <w:tcBorders>
                                    <w:top w:val="nil"/>
                                    <w:left w:val="nil"/>
                                    <w:bottom w:val="nil"/>
                                    <w:right w:val="nil"/>
                                  </w:tcBorders>
                                  <w:hideMark/>
                                </w:tcPr>
                                <w:p w14:paraId="1041C57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2.0x</w:t>
                                  </w:r>
                                </w:p>
                              </w:tc>
                              <w:tc>
                                <w:tcPr>
                                  <w:tcW w:w="485" w:type="pct"/>
                                  <w:tcBorders>
                                    <w:top w:val="nil"/>
                                    <w:left w:val="nil"/>
                                    <w:bottom w:val="nil"/>
                                    <w:right w:val="nil"/>
                                  </w:tcBorders>
                                  <w:hideMark/>
                                </w:tcPr>
                                <w:p w14:paraId="46419C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1.7x</w:t>
                                  </w:r>
                                </w:p>
                              </w:tc>
                              <w:tc>
                                <w:tcPr>
                                  <w:tcW w:w="485" w:type="pct"/>
                                  <w:tcBorders>
                                    <w:top w:val="nil"/>
                                    <w:left w:val="nil"/>
                                    <w:bottom w:val="nil"/>
                                    <w:right w:val="nil"/>
                                  </w:tcBorders>
                                  <w:hideMark/>
                                </w:tcPr>
                                <w:p w14:paraId="5E0AC58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1.5x</w:t>
                                  </w:r>
                                </w:p>
                              </w:tc>
                              <w:tc>
                                <w:tcPr>
                                  <w:tcW w:w="485" w:type="pct"/>
                                  <w:tcBorders>
                                    <w:top w:val="nil"/>
                                    <w:left w:val="nil"/>
                                    <w:bottom w:val="nil"/>
                                    <w:right w:val="nil"/>
                                  </w:tcBorders>
                                  <w:hideMark/>
                                </w:tcPr>
                                <w:p w14:paraId="5E48ACD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1.6x</w:t>
                                  </w:r>
                                </w:p>
                              </w:tc>
                              <w:tc>
                                <w:tcPr>
                                  <w:tcW w:w="485" w:type="pct"/>
                                  <w:tcBorders>
                                    <w:top w:val="nil"/>
                                    <w:left w:val="nil"/>
                                    <w:bottom w:val="nil"/>
                                    <w:right w:val="nil"/>
                                  </w:tcBorders>
                                  <w:hideMark/>
                                </w:tcPr>
                                <w:p w14:paraId="251BF4C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1.5x</w:t>
                                  </w:r>
                                </w:p>
                              </w:tc>
                              <w:tc>
                                <w:tcPr>
                                  <w:tcW w:w="585" w:type="pct"/>
                                  <w:tcBorders>
                                    <w:top w:val="nil"/>
                                    <w:left w:val="nil"/>
                                    <w:bottom w:val="nil"/>
                                    <w:right w:val="nil"/>
                                  </w:tcBorders>
                                  <w:hideMark/>
                                </w:tcPr>
                                <w:p w14:paraId="3C891D2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1.3x</w:t>
                                  </w:r>
                                </w:p>
                              </w:tc>
                            </w:tr>
                            <w:tr w:rsidR="003C2F53" w:rsidRPr="00E11EEC" w14:paraId="26CFEC43" w14:textId="77777777" w:rsidTr="000E7471">
                              <w:trPr>
                                <w:trHeight w:val="204"/>
                              </w:trPr>
                              <w:tc>
                                <w:tcPr>
                                  <w:tcW w:w="1991" w:type="pct"/>
                                  <w:tcBorders>
                                    <w:top w:val="nil"/>
                                    <w:left w:val="nil"/>
                                    <w:bottom w:val="nil"/>
                                    <w:right w:val="nil"/>
                                  </w:tcBorders>
                                  <w:noWrap/>
                                  <w:hideMark/>
                                </w:tcPr>
                                <w:p w14:paraId="1A0FE78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Debt/EBITDA</w:t>
                                  </w:r>
                                </w:p>
                              </w:tc>
                              <w:tc>
                                <w:tcPr>
                                  <w:tcW w:w="485" w:type="pct"/>
                                  <w:tcBorders>
                                    <w:top w:val="nil"/>
                                    <w:left w:val="nil"/>
                                    <w:bottom w:val="nil"/>
                                    <w:right w:val="nil"/>
                                  </w:tcBorders>
                                  <w:hideMark/>
                                </w:tcPr>
                                <w:p w14:paraId="6F31CD8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1.8x</w:t>
                                  </w:r>
                                </w:p>
                              </w:tc>
                              <w:tc>
                                <w:tcPr>
                                  <w:tcW w:w="485" w:type="pct"/>
                                  <w:tcBorders>
                                    <w:top w:val="nil"/>
                                    <w:left w:val="nil"/>
                                    <w:bottom w:val="nil"/>
                                    <w:right w:val="nil"/>
                                  </w:tcBorders>
                                  <w:hideMark/>
                                </w:tcPr>
                                <w:p w14:paraId="64A6A9A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1.2x</w:t>
                                  </w:r>
                                </w:p>
                              </w:tc>
                              <w:tc>
                                <w:tcPr>
                                  <w:tcW w:w="485" w:type="pct"/>
                                  <w:tcBorders>
                                    <w:top w:val="nil"/>
                                    <w:left w:val="nil"/>
                                    <w:bottom w:val="nil"/>
                                    <w:right w:val="nil"/>
                                  </w:tcBorders>
                                  <w:hideMark/>
                                </w:tcPr>
                                <w:p w14:paraId="68C858F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1.1x</w:t>
                                  </w:r>
                                </w:p>
                              </w:tc>
                              <w:tc>
                                <w:tcPr>
                                  <w:tcW w:w="485" w:type="pct"/>
                                  <w:tcBorders>
                                    <w:top w:val="nil"/>
                                    <w:left w:val="nil"/>
                                    <w:bottom w:val="nil"/>
                                    <w:right w:val="nil"/>
                                  </w:tcBorders>
                                  <w:hideMark/>
                                </w:tcPr>
                                <w:p w14:paraId="6909027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1.4x</w:t>
                                  </w:r>
                                </w:p>
                              </w:tc>
                              <w:tc>
                                <w:tcPr>
                                  <w:tcW w:w="485" w:type="pct"/>
                                  <w:tcBorders>
                                    <w:top w:val="nil"/>
                                    <w:left w:val="nil"/>
                                    <w:bottom w:val="nil"/>
                                    <w:right w:val="nil"/>
                                  </w:tcBorders>
                                  <w:hideMark/>
                                </w:tcPr>
                                <w:p w14:paraId="19B1A0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1.3x</w:t>
                                  </w:r>
                                </w:p>
                              </w:tc>
                              <w:tc>
                                <w:tcPr>
                                  <w:tcW w:w="585" w:type="pct"/>
                                  <w:tcBorders>
                                    <w:top w:val="nil"/>
                                    <w:left w:val="nil"/>
                                    <w:bottom w:val="nil"/>
                                    <w:right w:val="nil"/>
                                  </w:tcBorders>
                                  <w:hideMark/>
                                </w:tcPr>
                                <w:p w14:paraId="4E54D08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1.1x</w:t>
                                  </w:r>
                                </w:p>
                              </w:tc>
                            </w:tr>
                            <w:tr w:rsidR="003C2F53" w:rsidRPr="00E11EEC" w14:paraId="14CF58B6" w14:textId="77777777" w:rsidTr="000E7471">
                              <w:trPr>
                                <w:trHeight w:val="204"/>
                              </w:trPr>
                              <w:tc>
                                <w:tcPr>
                                  <w:tcW w:w="1991" w:type="pct"/>
                                  <w:tcBorders>
                                    <w:top w:val="nil"/>
                                    <w:left w:val="nil"/>
                                    <w:bottom w:val="nil"/>
                                    <w:right w:val="nil"/>
                                  </w:tcBorders>
                                  <w:noWrap/>
                                  <w:hideMark/>
                                </w:tcPr>
                                <w:p w14:paraId="11A7826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Debt/(EBITDA-CAPEX)</w:t>
                                  </w:r>
                                </w:p>
                              </w:tc>
                              <w:tc>
                                <w:tcPr>
                                  <w:tcW w:w="485" w:type="pct"/>
                                  <w:tcBorders>
                                    <w:top w:val="nil"/>
                                    <w:left w:val="nil"/>
                                    <w:bottom w:val="nil"/>
                                    <w:right w:val="nil"/>
                                  </w:tcBorders>
                                  <w:hideMark/>
                                </w:tcPr>
                                <w:p w14:paraId="6243A9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2.9x</w:t>
                                  </w:r>
                                </w:p>
                              </w:tc>
                              <w:tc>
                                <w:tcPr>
                                  <w:tcW w:w="485" w:type="pct"/>
                                  <w:tcBorders>
                                    <w:top w:val="nil"/>
                                    <w:left w:val="nil"/>
                                    <w:bottom w:val="nil"/>
                                    <w:right w:val="nil"/>
                                  </w:tcBorders>
                                  <w:hideMark/>
                                </w:tcPr>
                                <w:p w14:paraId="58D3106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2.4x</w:t>
                                  </w:r>
                                </w:p>
                              </w:tc>
                              <w:tc>
                                <w:tcPr>
                                  <w:tcW w:w="485" w:type="pct"/>
                                  <w:tcBorders>
                                    <w:top w:val="nil"/>
                                    <w:left w:val="nil"/>
                                    <w:bottom w:val="nil"/>
                                    <w:right w:val="nil"/>
                                  </w:tcBorders>
                                  <w:hideMark/>
                                </w:tcPr>
                                <w:p w14:paraId="3428EC0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2.2x</w:t>
                                  </w:r>
                                </w:p>
                              </w:tc>
                              <w:tc>
                                <w:tcPr>
                                  <w:tcW w:w="485" w:type="pct"/>
                                  <w:tcBorders>
                                    <w:top w:val="nil"/>
                                    <w:left w:val="nil"/>
                                    <w:bottom w:val="nil"/>
                                    <w:right w:val="nil"/>
                                  </w:tcBorders>
                                  <w:hideMark/>
                                </w:tcPr>
                                <w:p w14:paraId="20F298C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2.8x</w:t>
                                  </w:r>
                                </w:p>
                              </w:tc>
                              <w:tc>
                                <w:tcPr>
                                  <w:tcW w:w="485" w:type="pct"/>
                                  <w:tcBorders>
                                    <w:top w:val="nil"/>
                                    <w:left w:val="nil"/>
                                    <w:bottom w:val="nil"/>
                                    <w:right w:val="nil"/>
                                  </w:tcBorders>
                                  <w:hideMark/>
                                </w:tcPr>
                                <w:p w14:paraId="15DB45B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2.9x</w:t>
                                  </w:r>
                                </w:p>
                              </w:tc>
                              <w:tc>
                                <w:tcPr>
                                  <w:tcW w:w="585" w:type="pct"/>
                                  <w:tcBorders>
                                    <w:top w:val="nil"/>
                                    <w:left w:val="nil"/>
                                    <w:bottom w:val="nil"/>
                                    <w:right w:val="nil"/>
                                  </w:tcBorders>
                                  <w:hideMark/>
                                </w:tcPr>
                                <w:p w14:paraId="180F0F6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2.7x</w:t>
                                  </w:r>
                                </w:p>
                              </w:tc>
                            </w:tr>
                            <w:tr w:rsidR="003C2F53" w:rsidRPr="00E11EEC" w14:paraId="68923E12" w14:textId="77777777" w:rsidTr="000E7471">
                              <w:trPr>
                                <w:trHeight w:val="204"/>
                              </w:trPr>
                              <w:tc>
                                <w:tcPr>
                                  <w:tcW w:w="1991" w:type="pct"/>
                                  <w:tcBorders>
                                    <w:top w:val="nil"/>
                                    <w:left w:val="nil"/>
                                    <w:bottom w:val="nil"/>
                                    <w:right w:val="nil"/>
                                  </w:tcBorders>
                                  <w:noWrap/>
                                  <w:hideMark/>
                                </w:tcPr>
                                <w:p w14:paraId="718AF39D"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Debt/(EBITDA-CAPEX)</w:t>
                                  </w:r>
                                </w:p>
                              </w:tc>
                              <w:tc>
                                <w:tcPr>
                                  <w:tcW w:w="485" w:type="pct"/>
                                  <w:tcBorders>
                                    <w:top w:val="nil"/>
                                    <w:left w:val="nil"/>
                                    <w:bottom w:val="nil"/>
                                    <w:right w:val="nil"/>
                                  </w:tcBorders>
                                  <w:hideMark/>
                                </w:tcPr>
                                <w:p w14:paraId="7AB0C26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485" w:type="pct"/>
                                  <w:tcBorders>
                                    <w:top w:val="nil"/>
                                    <w:left w:val="nil"/>
                                    <w:bottom w:val="nil"/>
                                    <w:right w:val="nil"/>
                                  </w:tcBorders>
                                  <w:hideMark/>
                                </w:tcPr>
                                <w:p w14:paraId="6A1EA05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1.7x</w:t>
                                  </w:r>
                                </w:p>
                              </w:tc>
                              <w:tc>
                                <w:tcPr>
                                  <w:tcW w:w="485" w:type="pct"/>
                                  <w:tcBorders>
                                    <w:top w:val="nil"/>
                                    <w:left w:val="nil"/>
                                    <w:bottom w:val="nil"/>
                                    <w:right w:val="nil"/>
                                  </w:tcBorders>
                                  <w:hideMark/>
                                </w:tcPr>
                                <w:p w14:paraId="33FA08F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1.6x</w:t>
                                  </w:r>
                                </w:p>
                              </w:tc>
                              <w:tc>
                                <w:tcPr>
                                  <w:tcW w:w="485" w:type="pct"/>
                                  <w:tcBorders>
                                    <w:top w:val="nil"/>
                                    <w:left w:val="nil"/>
                                    <w:bottom w:val="nil"/>
                                    <w:right w:val="nil"/>
                                  </w:tcBorders>
                                  <w:hideMark/>
                                </w:tcPr>
                                <w:p w14:paraId="1A37B48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2.4x</w:t>
                                  </w:r>
                                </w:p>
                              </w:tc>
                              <w:tc>
                                <w:tcPr>
                                  <w:tcW w:w="485" w:type="pct"/>
                                  <w:tcBorders>
                                    <w:top w:val="nil"/>
                                    <w:left w:val="nil"/>
                                    <w:bottom w:val="nil"/>
                                    <w:right w:val="nil"/>
                                  </w:tcBorders>
                                  <w:hideMark/>
                                </w:tcPr>
                                <w:p w14:paraId="6615074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585" w:type="pct"/>
                                  <w:tcBorders>
                                    <w:top w:val="nil"/>
                                    <w:left w:val="nil"/>
                                    <w:bottom w:val="nil"/>
                                    <w:right w:val="nil"/>
                                  </w:tcBorders>
                                  <w:hideMark/>
                                </w:tcPr>
                                <w:p w14:paraId="4FC58BD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r>
                            <w:tr w:rsidR="003C2F53" w:rsidRPr="00E11EEC" w14:paraId="5099A06C" w14:textId="77777777" w:rsidTr="000E7471">
                              <w:trPr>
                                <w:trHeight w:val="204"/>
                              </w:trPr>
                              <w:tc>
                                <w:tcPr>
                                  <w:tcW w:w="1991" w:type="pct"/>
                                  <w:tcBorders>
                                    <w:top w:val="nil"/>
                                    <w:left w:val="nil"/>
                                    <w:bottom w:val="nil"/>
                                    <w:right w:val="nil"/>
                                  </w:tcBorders>
                                  <w:noWrap/>
                                  <w:hideMark/>
                                </w:tcPr>
                                <w:p w14:paraId="4D64349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Altman Z Score</w:t>
                                  </w:r>
                                </w:p>
                              </w:tc>
                              <w:tc>
                                <w:tcPr>
                                  <w:tcW w:w="485" w:type="pct"/>
                                  <w:tcBorders>
                                    <w:top w:val="nil"/>
                                    <w:left w:val="nil"/>
                                    <w:bottom w:val="nil"/>
                                    <w:right w:val="nil"/>
                                  </w:tcBorders>
                                  <w:hideMark/>
                                </w:tcPr>
                                <w:p w14:paraId="184389D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4.15 </w:t>
                                  </w:r>
                                </w:p>
                              </w:tc>
                              <w:tc>
                                <w:tcPr>
                                  <w:tcW w:w="485" w:type="pct"/>
                                  <w:tcBorders>
                                    <w:top w:val="nil"/>
                                    <w:left w:val="nil"/>
                                    <w:bottom w:val="nil"/>
                                    <w:right w:val="nil"/>
                                  </w:tcBorders>
                                  <w:hideMark/>
                                </w:tcPr>
                                <w:p w14:paraId="720AA01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4.35 </w:t>
                                  </w:r>
                                </w:p>
                              </w:tc>
                              <w:tc>
                                <w:tcPr>
                                  <w:tcW w:w="485" w:type="pct"/>
                                  <w:tcBorders>
                                    <w:top w:val="nil"/>
                                    <w:left w:val="nil"/>
                                    <w:bottom w:val="nil"/>
                                    <w:right w:val="nil"/>
                                  </w:tcBorders>
                                  <w:hideMark/>
                                </w:tcPr>
                                <w:p w14:paraId="1CAB8C2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4.71 </w:t>
                                  </w:r>
                                </w:p>
                              </w:tc>
                              <w:tc>
                                <w:tcPr>
                                  <w:tcW w:w="485" w:type="pct"/>
                                  <w:tcBorders>
                                    <w:top w:val="nil"/>
                                    <w:left w:val="nil"/>
                                    <w:bottom w:val="nil"/>
                                    <w:right w:val="nil"/>
                                  </w:tcBorders>
                                  <w:hideMark/>
                                </w:tcPr>
                                <w:p w14:paraId="7C2CCE9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4.67 </w:t>
                                  </w:r>
                                </w:p>
                              </w:tc>
                              <w:tc>
                                <w:tcPr>
                                  <w:tcW w:w="485" w:type="pct"/>
                                  <w:tcBorders>
                                    <w:top w:val="nil"/>
                                    <w:left w:val="nil"/>
                                    <w:bottom w:val="nil"/>
                                    <w:right w:val="nil"/>
                                  </w:tcBorders>
                                  <w:hideMark/>
                                </w:tcPr>
                                <w:p w14:paraId="5DFE84E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4.89 </w:t>
                                  </w:r>
                                </w:p>
                              </w:tc>
                              <w:tc>
                                <w:tcPr>
                                  <w:tcW w:w="585" w:type="pct"/>
                                  <w:tcBorders>
                                    <w:top w:val="nil"/>
                                    <w:left w:val="nil"/>
                                    <w:bottom w:val="nil"/>
                                    <w:right w:val="nil"/>
                                  </w:tcBorders>
                                  <w:hideMark/>
                                </w:tcPr>
                                <w:p w14:paraId="083E143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5.61 </w:t>
                                  </w:r>
                                </w:p>
                              </w:tc>
                            </w:tr>
                          </w:tbl>
                          <w:p w14:paraId="5E5D264F" w14:textId="63C300A4" w:rsidR="00E67059" w:rsidRDefault="00E67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A6B2A" id="_x0000_s1047" type="#_x0000_t202" style="position:absolute;left:0;text-align:left;margin-left:434.2pt;margin-top:61.2pt;width:485.4pt;height:520.8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" filled="f" stroked="f">
                <v:textbox>
                  <w:txbxContent>
                    <w:tbl>
                      <w:tblPr>
                        <w:tblW w:w="4992" w:type="pct"/>
                        <w:tblLook w:val="04A0" w:firstRow="1" w:lastRow="0" w:firstColumn="1" w:lastColumn="0" w:noHBand="0" w:noVBand="1"/>
                      </w:tblPr>
                      <w:tblGrid>
                        <w:gridCol w:w="3746"/>
                        <w:gridCol w:w="913"/>
                        <w:gridCol w:w="912"/>
                        <w:gridCol w:w="912"/>
                        <w:gridCol w:w="912"/>
                        <w:gridCol w:w="912"/>
                        <w:gridCol w:w="1099"/>
                      </w:tblGrid>
                      <w:tr w:rsidR="003C2F53" w:rsidRPr="00E11EEC" w14:paraId="4BA4ED65" w14:textId="77777777" w:rsidTr="000E7471">
                        <w:trPr>
                          <w:trHeight w:val="204"/>
                        </w:trPr>
                        <w:tc>
                          <w:tcPr>
                            <w:tcW w:w="1991" w:type="pct"/>
                            <w:tcBorders>
                              <w:top w:val="nil"/>
                              <w:left w:val="nil"/>
                              <w:bottom w:val="nil"/>
                              <w:right w:val="nil"/>
                            </w:tcBorders>
                            <w:noWrap/>
                            <w:vAlign w:val="bottom"/>
                            <w:hideMark/>
                          </w:tcPr>
                          <w:p w14:paraId="4A17254C"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Walmart Inc. (</w:t>
                            </w:r>
                            <w:r w:rsidRPr="00E67059">
                              <w:rPr>
                                <w:rFonts w:ascii="Cambria" w:eastAsia="Times New Roman" w:hAnsi="Cambria" w:cs="Arial"/>
                                <w:b/>
                                <w:bCs/>
                                <w:color w:val="000000"/>
                                <w:kern w:val="0"/>
                                <w:sz w:val="14"/>
                                <w:szCs w:val="14"/>
                                <w:lang w:eastAsia="en-IN"/>
                                <w14:ligatures w14:val="none"/>
                              </w:rPr>
                              <w:t>NYSE:WMT) &gt; Financials &gt; Ratios</w:t>
                            </w:r>
                          </w:p>
                        </w:tc>
                        <w:tc>
                          <w:tcPr>
                            <w:tcW w:w="485" w:type="pct"/>
                            <w:tcBorders>
                              <w:top w:val="nil"/>
                              <w:left w:val="nil"/>
                              <w:bottom w:val="nil"/>
                              <w:right w:val="nil"/>
                            </w:tcBorders>
                            <w:noWrap/>
                            <w:vAlign w:val="bottom"/>
                            <w:hideMark/>
                          </w:tcPr>
                          <w:p w14:paraId="74FEA4B4"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vAlign w:val="bottom"/>
                            <w:hideMark/>
                          </w:tcPr>
                          <w:p w14:paraId="6801944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1FA1A66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1778C17D"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vAlign w:val="bottom"/>
                            <w:hideMark/>
                          </w:tcPr>
                          <w:p w14:paraId="0EA3A19E"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vAlign w:val="bottom"/>
                            <w:hideMark/>
                          </w:tcPr>
                          <w:p w14:paraId="367BEFA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0E7471" w:rsidRPr="00E11EEC" w14:paraId="33FFCB81" w14:textId="77777777" w:rsidTr="000E7471">
                        <w:trPr>
                          <w:trHeight w:val="204"/>
                        </w:trPr>
                        <w:tc>
                          <w:tcPr>
                            <w:tcW w:w="1991" w:type="pct"/>
                            <w:tcBorders>
                              <w:top w:val="nil"/>
                              <w:left w:val="nil"/>
                              <w:bottom w:val="nil"/>
                              <w:right w:val="nil"/>
                            </w:tcBorders>
                            <w:shd w:val="clear" w:color="000000" w:fill="003366"/>
                            <w:noWrap/>
                            <w:vAlign w:val="bottom"/>
                            <w:hideMark/>
                          </w:tcPr>
                          <w:p w14:paraId="113429D7"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Ratios</w:t>
                            </w:r>
                          </w:p>
                        </w:tc>
                        <w:tc>
                          <w:tcPr>
                            <w:tcW w:w="485" w:type="pct"/>
                            <w:tcBorders>
                              <w:top w:val="nil"/>
                              <w:left w:val="nil"/>
                              <w:bottom w:val="nil"/>
                              <w:right w:val="nil"/>
                            </w:tcBorders>
                            <w:shd w:val="clear" w:color="000000" w:fill="003366"/>
                            <w:noWrap/>
                            <w:vAlign w:val="bottom"/>
                            <w:hideMark/>
                          </w:tcPr>
                          <w:p w14:paraId="1935D109"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40A0F506"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79E4CE34"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59C797BA"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485" w:type="pct"/>
                            <w:tcBorders>
                              <w:top w:val="nil"/>
                              <w:left w:val="nil"/>
                              <w:bottom w:val="nil"/>
                              <w:right w:val="nil"/>
                            </w:tcBorders>
                            <w:shd w:val="clear" w:color="000000" w:fill="003366"/>
                            <w:noWrap/>
                            <w:vAlign w:val="bottom"/>
                            <w:hideMark/>
                          </w:tcPr>
                          <w:p w14:paraId="591497B4"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c>
                          <w:tcPr>
                            <w:tcW w:w="585" w:type="pct"/>
                            <w:tcBorders>
                              <w:top w:val="nil"/>
                              <w:left w:val="nil"/>
                              <w:bottom w:val="nil"/>
                              <w:right w:val="nil"/>
                            </w:tcBorders>
                            <w:shd w:val="clear" w:color="000000" w:fill="003366"/>
                            <w:noWrap/>
                            <w:vAlign w:val="bottom"/>
                            <w:hideMark/>
                          </w:tcPr>
                          <w:p w14:paraId="060CCC21" w14:textId="77777777" w:rsidR="00E67059" w:rsidRPr="00E67059" w:rsidRDefault="00E67059" w:rsidP="00E67059">
                            <w:pPr>
                              <w:spacing w:after="0" w:line="240" w:lineRule="auto"/>
                              <w:rPr>
                                <w:rFonts w:ascii="Cambria" w:eastAsia="Times New Roman" w:hAnsi="Cambria" w:cs="Arial"/>
                                <w:b/>
                                <w:bCs/>
                                <w:color w:val="FFFFFF"/>
                                <w:kern w:val="0"/>
                                <w:sz w:val="14"/>
                                <w:szCs w:val="14"/>
                                <w:lang w:eastAsia="en-IN"/>
                                <w14:ligatures w14:val="none"/>
                              </w:rPr>
                            </w:pPr>
                            <w:r w:rsidRPr="00E67059">
                              <w:rPr>
                                <w:rFonts w:ascii="Cambria" w:eastAsia="Times New Roman" w:hAnsi="Cambria" w:cs="Arial"/>
                                <w:b/>
                                <w:bCs/>
                                <w:color w:val="FFFFFF"/>
                                <w:kern w:val="0"/>
                                <w:sz w:val="14"/>
                                <w:szCs w:val="14"/>
                                <w:lang w:eastAsia="en-IN"/>
                                <w14:ligatures w14:val="none"/>
                              </w:rPr>
                              <w:t> </w:t>
                            </w:r>
                          </w:p>
                        </w:tc>
                      </w:tr>
                      <w:tr w:rsidR="00E67059" w:rsidRPr="00E11EEC" w14:paraId="281E047D" w14:textId="77777777" w:rsidTr="000E7471">
                        <w:trPr>
                          <w:trHeight w:val="612"/>
                        </w:trPr>
                        <w:tc>
                          <w:tcPr>
                            <w:tcW w:w="1991" w:type="pct"/>
                            <w:tcBorders>
                              <w:top w:val="nil"/>
                              <w:left w:val="nil"/>
                              <w:bottom w:val="nil"/>
                              <w:right w:val="nil"/>
                            </w:tcBorders>
                            <w:shd w:val="clear" w:color="000000" w:fill="F0F0DC"/>
                            <w:vAlign w:val="bottom"/>
                            <w:hideMark/>
                          </w:tcPr>
                          <w:p w14:paraId="772EF29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For the Fiscal Period Ending</w:t>
                            </w:r>
                          </w:p>
                        </w:tc>
                        <w:tc>
                          <w:tcPr>
                            <w:tcW w:w="485" w:type="pct"/>
                            <w:tcBorders>
                              <w:top w:val="nil"/>
                              <w:left w:val="nil"/>
                              <w:bottom w:val="nil"/>
                              <w:right w:val="nil"/>
                            </w:tcBorders>
                            <w:shd w:val="clear" w:color="000000" w:fill="F0F0DC"/>
                            <w:vAlign w:val="bottom"/>
                            <w:hideMark/>
                          </w:tcPr>
                          <w:p w14:paraId="5F1CBBA8"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Jan-31-2020</w:t>
                            </w:r>
                          </w:p>
                        </w:tc>
                        <w:tc>
                          <w:tcPr>
                            <w:tcW w:w="485" w:type="pct"/>
                            <w:tcBorders>
                              <w:top w:val="nil"/>
                              <w:left w:val="nil"/>
                              <w:bottom w:val="nil"/>
                              <w:right w:val="nil"/>
                            </w:tcBorders>
                            <w:shd w:val="clear" w:color="000000" w:fill="F0F0DC"/>
                            <w:vAlign w:val="bottom"/>
                            <w:hideMark/>
                          </w:tcPr>
                          <w:p w14:paraId="6C57F62B"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Jan-31-2021</w:t>
                            </w:r>
                          </w:p>
                        </w:tc>
                        <w:tc>
                          <w:tcPr>
                            <w:tcW w:w="485" w:type="pct"/>
                            <w:tcBorders>
                              <w:top w:val="nil"/>
                              <w:left w:val="nil"/>
                              <w:bottom w:val="nil"/>
                              <w:right w:val="nil"/>
                            </w:tcBorders>
                            <w:shd w:val="clear" w:color="000000" w:fill="F0F0DC"/>
                            <w:vAlign w:val="bottom"/>
                            <w:hideMark/>
                          </w:tcPr>
                          <w:p w14:paraId="058BBD2C"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Jan-31-2022</w:t>
                            </w:r>
                          </w:p>
                        </w:tc>
                        <w:tc>
                          <w:tcPr>
                            <w:tcW w:w="485" w:type="pct"/>
                            <w:tcBorders>
                              <w:top w:val="nil"/>
                              <w:left w:val="nil"/>
                              <w:bottom w:val="nil"/>
                              <w:right w:val="nil"/>
                            </w:tcBorders>
                            <w:shd w:val="clear" w:color="000000" w:fill="F0F0DC"/>
                            <w:vAlign w:val="bottom"/>
                            <w:hideMark/>
                          </w:tcPr>
                          <w:p w14:paraId="5CE4E3AD"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Jan-31-2023</w:t>
                            </w:r>
                          </w:p>
                        </w:tc>
                        <w:tc>
                          <w:tcPr>
                            <w:tcW w:w="485" w:type="pct"/>
                            <w:tcBorders>
                              <w:top w:val="nil"/>
                              <w:left w:val="nil"/>
                              <w:bottom w:val="nil"/>
                              <w:right w:val="nil"/>
                            </w:tcBorders>
                            <w:shd w:val="clear" w:color="000000" w:fill="F0F0DC"/>
                            <w:vAlign w:val="bottom"/>
                            <w:hideMark/>
                          </w:tcPr>
                          <w:p w14:paraId="53FF4182"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12 months</w:t>
                            </w:r>
                            <w:r w:rsidRPr="00E67059">
                              <w:rPr>
                                <w:rFonts w:ascii="Cambria" w:eastAsia="Times New Roman" w:hAnsi="Cambria" w:cs="Arial"/>
                                <w:b/>
                                <w:bCs/>
                                <w:color w:val="000000"/>
                                <w:kern w:val="0"/>
                                <w:sz w:val="14"/>
                                <w:szCs w:val="14"/>
                                <w:lang w:eastAsia="en-IN"/>
                                <w14:ligatures w14:val="none"/>
                              </w:rPr>
                              <w:br/>
                              <w:t>Jan-31-2024</w:t>
                            </w:r>
                          </w:p>
                        </w:tc>
                        <w:tc>
                          <w:tcPr>
                            <w:tcW w:w="585" w:type="pct"/>
                            <w:tcBorders>
                              <w:top w:val="nil"/>
                              <w:left w:val="nil"/>
                              <w:bottom w:val="nil"/>
                              <w:right w:val="nil"/>
                            </w:tcBorders>
                            <w:shd w:val="clear" w:color="000000" w:fill="F0F0DC"/>
                            <w:vAlign w:val="bottom"/>
                            <w:hideMark/>
                          </w:tcPr>
                          <w:p w14:paraId="0280F405" w14:textId="77777777" w:rsidR="00E67059" w:rsidRPr="00E67059" w:rsidRDefault="00E67059" w:rsidP="00E67059">
                            <w:pPr>
                              <w:spacing w:after="0" w:line="240" w:lineRule="auto"/>
                              <w:jc w:val="right"/>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Press Release</w:t>
                            </w:r>
                            <w:r w:rsidRPr="00E67059">
                              <w:rPr>
                                <w:rFonts w:ascii="Cambria" w:eastAsia="Times New Roman" w:hAnsi="Cambria" w:cs="Arial"/>
                                <w:b/>
                                <w:bCs/>
                                <w:color w:val="000000"/>
                                <w:kern w:val="0"/>
                                <w:sz w:val="14"/>
                                <w:szCs w:val="14"/>
                                <w:lang w:eastAsia="en-IN"/>
                                <w14:ligatures w14:val="none"/>
                              </w:rPr>
                              <w:br/>
                              <w:t>12 months</w:t>
                            </w:r>
                            <w:r w:rsidRPr="00E67059">
                              <w:rPr>
                                <w:rFonts w:ascii="Cambria" w:eastAsia="Times New Roman" w:hAnsi="Cambria" w:cs="Arial"/>
                                <w:b/>
                                <w:bCs/>
                                <w:color w:val="000000"/>
                                <w:kern w:val="0"/>
                                <w:sz w:val="14"/>
                                <w:szCs w:val="14"/>
                                <w:lang w:eastAsia="en-IN"/>
                                <w14:ligatures w14:val="none"/>
                              </w:rPr>
                              <w:br/>
                              <w:t>Jan-31-2025</w:t>
                            </w:r>
                          </w:p>
                        </w:tc>
                      </w:tr>
                      <w:tr w:rsidR="003C2F53" w:rsidRPr="00E11EEC" w14:paraId="7181B2A0" w14:textId="77777777" w:rsidTr="000E7471">
                        <w:trPr>
                          <w:trHeight w:val="204"/>
                        </w:trPr>
                        <w:tc>
                          <w:tcPr>
                            <w:tcW w:w="1991" w:type="pct"/>
                            <w:tcBorders>
                              <w:top w:val="nil"/>
                              <w:left w:val="nil"/>
                              <w:bottom w:val="nil"/>
                              <w:right w:val="nil"/>
                            </w:tcBorders>
                            <w:noWrap/>
                            <w:hideMark/>
                          </w:tcPr>
                          <w:p w14:paraId="229EEA6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Profitability</w:t>
                            </w:r>
                          </w:p>
                        </w:tc>
                        <w:tc>
                          <w:tcPr>
                            <w:tcW w:w="485" w:type="pct"/>
                            <w:tcBorders>
                              <w:top w:val="nil"/>
                              <w:left w:val="nil"/>
                              <w:bottom w:val="nil"/>
                              <w:right w:val="nil"/>
                            </w:tcBorders>
                            <w:noWrap/>
                            <w:hideMark/>
                          </w:tcPr>
                          <w:p w14:paraId="45927A35"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1F671D78"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1E252BE"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728D2E2B"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D311E1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505BEC3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3FBF4336" w14:textId="77777777" w:rsidTr="000E7471">
                        <w:trPr>
                          <w:trHeight w:val="204"/>
                        </w:trPr>
                        <w:tc>
                          <w:tcPr>
                            <w:tcW w:w="1991" w:type="pct"/>
                            <w:tcBorders>
                              <w:top w:val="nil"/>
                              <w:left w:val="nil"/>
                              <w:bottom w:val="nil"/>
                              <w:right w:val="nil"/>
                            </w:tcBorders>
                            <w:noWrap/>
                            <w:hideMark/>
                          </w:tcPr>
                          <w:p w14:paraId="17AE8A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Assets %</w:t>
                            </w:r>
                          </w:p>
                        </w:tc>
                        <w:tc>
                          <w:tcPr>
                            <w:tcW w:w="485" w:type="pct"/>
                            <w:tcBorders>
                              <w:top w:val="nil"/>
                              <w:left w:val="nil"/>
                              <w:bottom w:val="nil"/>
                              <w:right w:val="nil"/>
                            </w:tcBorders>
                            <w:hideMark/>
                          </w:tcPr>
                          <w:p w14:paraId="1DFAA94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5.9% </w:t>
                            </w:r>
                          </w:p>
                        </w:tc>
                        <w:tc>
                          <w:tcPr>
                            <w:tcW w:w="485" w:type="pct"/>
                            <w:tcBorders>
                              <w:top w:val="nil"/>
                              <w:left w:val="nil"/>
                              <w:bottom w:val="nil"/>
                              <w:right w:val="nil"/>
                            </w:tcBorders>
                            <w:hideMark/>
                          </w:tcPr>
                          <w:p w14:paraId="343C84B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5.8% </w:t>
                            </w:r>
                          </w:p>
                        </w:tc>
                        <w:tc>
                          <w:tcPr>
                            <w:tcW w:w="485" w:type="pct"/>
                            <w:tcBorders>
                              <w:top w:val="nil"/>
                              <w:left w:val="nil"/>
                              <w:bottom w:val="nil"/>
                              <w:right w:val="nil"/>
                            </w:tcBorders>
                            <w:hideMark/>
                          </w:tcPr>
                          <w:p w14:paraId="10BD749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 </w:t>
                            </w:r>
                          </w:p>
                        </w:tc>
                        <w:tc>
                          <w:tcPr>
                            <w:tcW w:w="485" w:type="pct"/>
                            <w:tcBorders>
                              <w:top w:val="nil"/>
                              <w:left w:val="nil"/>
                              <w:bottom w:val="nil"/>
                              <w:right w:val="nil"/>
                            </w:tcBorders>
                            <w:hideMark/>
                          </w:tcPr>
                          <w:p w14:paraId="4F2DCF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6.3% </w:t>
                            </w:r>
                          </w:p>
                        </w:tc>
                        <w:tc>
                          <w:tcPr>
                            <w:tcW w:w="485" w:type="pct"/>
                            <w:tcBorders>
                              <w:top w:val="nil"/>
                              <w:left w:val="nil"/>
                              <w:bottom w:val="nil"/>
                              <w:right w:val="nil"/>
                            </w:tcBorders>
                            <w:hideMark/>
                          </w:tcPr>
                          <w:p w14:paraId="2B6DAAB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6.8% </w:t>
                            </w:r>
                          </w:p>
                        </w:tc>
                        <w:tc>
                          <w:tcPr>
                            <w:tcW w:w="585" w:type="pct"/>
                            <w:tcBorders>
                              <w:top w:val="nil"/>
                              <w:left w:val="nil"/>
                              <w:bottom w:val="nil"/>
                              <w:right w:val="nil"/>
                            </w:tcBorders>
                            <w:hideMark/>
                          </w:tcPr>
                          <w:p w14:paraId="293A619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 </w:t>
                            </w:r>
                          </w:p>
                        </w:tc>
                      </w:tr>
                      <w:tr w:rsidR="003C2F53" w:rsidRPr="00E11EEC" w14:paraId="0E8BE6EE" w14:textId="77777777" w:rsidTr="000E7471">
                        <w:trPr>
                          <w:trHeight w:val="204"/>
                        </w:trPr>
                        <w:tc>
                          <w:tcPr>
                            <w:tcW w:w="1991" w:type="pct"/>
                            <w:tcBorders>
                              <w:top w:val="nil"/>
                              <w:left w:val="nil"/>
                              <w:bottom w:val="nil"/>
                              <w:right w:val="nil"/>
                            </w:tcBorders>
                            <w:noWrap/>
                            <w:hideMark/>
                          </w:tcPr>
                          <w:p w14:paraId="27824888"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Capital %</w:t>
                            </w:r>
                          </w:p>
                        </w:tc>
                        <w:tc>
                          <w:tcPr>
                            <w:tcW w:w="485" w:type="pct"/>
                            <w:tcBorders>
                              <w:top w:val="nil"/>
                              <w:left w:val="nil"/>
                              <w:bottom w:val="nil"/>
                              <w:right w:val="nil"/>
                            </w:tcBorders>
                            <w:hideMark/>
                          </w:tcPr>
                          <w:p w14:paraId="4C25620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9.2% </w:t>
                            </w:r>
                          </w:p>
                        </w:tc>
                        <w:tc>
                          <w:tcPr>
                            <w:tcW w:w="485" w:type="pct"/>
                            <w:tcBorders>
                              <w:top w:val="nil"/>
                              <w:left w:val="nil"/>
                              <w:bottom w:val="nil"/>
                              <w:right w:val="nil"/>
                            </w:tcBorders>
                            <w:hideMark/>
                          </w:tcPr>
                          <w:p w14:paraId="512F3BA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9.2% </w:t>
                            </w:r>
                          </w:p>
                        </w:tc>
                        <w:tc>
                          <w:tcPr>
                            <w:tcW w:w="485" w:type="pct"/>
                            <w:tcBorders>
                              <w:top w:val="nil"/>
                              <w:left w:val="nil"/>
                              <w:bottom w:val="nil"/>
                              <w:right w:val="nil"/>
                            </w:tcBorders>
                            <w:hideMark/>
                          </w:tcPr>
                          <w:p w14:paraId="1C0F5E1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10.8% </w:t>
                            </w:r>
                          </w:p>
                        </w:tc>
                        <w:tc>
                          <w:tcPr>
                            <w:tcW w:w="485" w:type="pct"/>
                            <w:tcBorders>
                              <w:top w:val="nil"/>
                              <w:left w:val="nil"/>
                              <w:bottom w:val="nil"/>
                              <w:right w:val="nil"/>
                            </w:tcBorders>
                            <w:hideMark/>
                          </w:tcPr>
                          <w:p w14:paraId="1499609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10.4% </w:t>
                            </w:r>
                          </w:p>
                        </w:tc>
                        <w:tc>
                          <w:tcPr>
                            <w:tcW w:w="485" w:type="pct"/>
                            <w:tcBorders>
                              <w:top w:val="nil"/>
                              <w:left w:val="nil"/>
                              <w:bottom w:val="nil"/>
                              <w:right w:val="nil"/>
                            </w:tcBorders>
                            <w:hideMark/>
                          </w:tcPr>
                          <w:p w14:paraId="5B1B383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11.3% </w:t>
                            </w:r>
                          </w:p>
                        </w:tc>
                        <w:tc>
                          <w:tcPr>
                            <w:tcW w:w="585" w:type="pct"/>
                            <w:tcBorders>
                              <w:top w:val="nil"/>
                              <w:left w:val="nil"/>
                              <w:bottom w:val="nil"/>
                              <w:right w:val="nil"/>
                            </w:tcBorders>
                            <w:hideMark/>
                          </w:tcPr>
                          <w:p w14:paraId="3E48EBD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11.8% </w:t>
                            </w:r>
                          </w:p>
                        </w:tc>
                      </w:tr>
                      <w:tr w:rsidR="003C2F53" w:rsidRPr="00E11EEC" w14:paraId="66A033C1" w14:textId="77777777" w:rsidTr="000E7471">
                        <w:trPr>
                          <w:trHeight w:val="204"/>
                        </w:trPr>
                        <w:tc>
                          <w:tcPr>
                            <w:tcW w:w="1991" w:type="pct"/>
                            <w:tcBorders>
                              <w:top w:val="nil"/>
                              <w:left w:val="nil"/>
                              <w:bottom w:val="nil"/>
                              <w:right w:val="nil"/>
                            </w:tcBorders>
                            <w:noWrap/>
                            <w:hideMark/>
                          </w:tcPr>
                          <w:p w14:paraId="2826F3C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Equity %</w:t>
                            </w:r>
                          </w:p>
                        </w:tc>
                        <w:tc>
                          <w:tcPr>
                            <w:tcW w:w="485" w:type="pct"/>
                            <w:tcBorders>
                              <w:top w:val="nil"/>
                              <w:left w:val="nil"/>
                              <w:bottom w:val="nil"/>
                              <w:right w:val="nil"/>
                            </w:tcBorders>
                            <w:hideMark/>
                          </w:tcPr>
                          <w:p w14:paraId="7963FA4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18.9% </w:t>
                            </w:r>
                          </w:p>
                        </w:tc>
                        <w:tc>
                          <w:tcPr>
                            <w:tcW w:w="485" w:type="pct"/>
                            <w:tcBorders>
                              <w:top w:val="nil"/>
                              <w:left w:val="nil"/>
                              <w:bottom w:val="nil"/>
                              <w:right w:val="nil"/>
                            </w:tcBorders>
                            <w:hideMark/>
                          </w:tcPr>
                          <w:p w14:paraId="0B856AD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16.2% </w:t>
                            </w:r>
                          </w:p>
                        </w:tc>
                        <w:tc>
                          <w:tcPr>
                            <w:tcW w:w="485" w:type="pct"/>
                            <w:tcBorders>
                              <w:top w:val="nil"/>
                              <w:left w:val="nil"/>
                              <w:bottom w:val="nil"/>
                              <w:right w:val="nil"/>
                            </w:tcBorders>
                            <w:hideMark/>
                          </w:tcPr>
                          <w:p w14:paraId="18603CB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15.5% </w:t>
                            </w:r>
                          </w:p>
                        </w:tc>
                        <w:tc>
                          <w:tcPr>
                            <w:tcW w:w="485" w:type="pct"/>
                            <w:tcBorders>
                              <w:top w:val="nil"/>
                              <w:left w:val="nil"/>
                              <w:bottom w:val="nil"/>
                              <w:right w:val="nil"/>
                            </w:tcBorders>
                            <w:hideMark/>
                          </w:tcPr>
                          <w:p w14:paraId="3F06931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12.8% </w:t>
                            </w:r>
                          </w:p>
                        </w:tc>
                        <w:tc>
                          <w:tcPr>
                            <w:tcW w:w="485" w:type="pct"/>
                            <w:tcBorders>
                              <w:top w:val="nil"/>
                              <w:left w:val="nil"/>
                              <w:bottom w:val="nil"/>
                              <w:right w:val="nil"/>
                            </w:tcBorders>
                            <w:hideMark/>
                          </w:tcPr>
                          <w:p w14:paraId="7A46E72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18.6% </w:t>
                            </w:r>
                          </w:p>
                        </w:tc>
                        <w:tc>
                          <w:tcPr>
                            <w:tcW w:w="585" w:type="pct"/>
                            <w:tcBorders>
                              <w:top w:val="nil"/>
                              <w:left w:val="nil"/>
                              <w:bottom w:val="nil"/>
                              <w:right w:val="nil"/>
                            </w:tcBorders>
                            <w:hideMark/>
                          </w:tcPr>
                          <w:p w14:paraId="0D1E834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21.4% </w:t>
                            </w:r>
                          </w:p>
                        </w:tc>
                      </w:tr>
                      <w:tr w:rsidR="003C2F53" w:rsidRPr="00E11EEC" w14:paraId="2A613797" w14:textId="77777777" w:rsidTr="000E7471">
                        <w:trPr>
                          <w:trHeight w:val="204"/>
                        </w:trPr>
                        <w:tc>
                          <w:tcPr>
                            <w:tcW w:w="1991" w:type="pct"/>
                            <w:tcBorders>
                              <w:top w:val="nil"/>
                              <w:left w:val="nil"/>
                              <w:bottom w:val="nil"/>
                              <w:right w:val="nil"/>
                            </w:tcBorders>
                            <w:noWrap/>
                            <w:hideMark/>
                          </w:tcPr>
                          <w:p w14:paraId="2AEE6CF3"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Return on Common Equity %</w:t>
                            </w:r>
                          </w:p>
                        </w:tc>
                        <w:tc>
                          <w:tcPr>
                            <w:tcW w:w="485" w:type="pct"/>
                            <w:tcBorders>
                              <w:top w:val="nil"/>
                              <w:left w:val="nil"/>
                              <w:bottom w:val="nil"/>
                              <w:right w:val="nil"/>
                            </w:tcBorders>
                            <w:hideMark/>
                          </w:tcPr>
                          <w:p w14:paraId="17D667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20.2% </w:t>
                            </w:r>
                          </w:p>
                        </w:tc>
                        <w:tc>
                          <w:tcPr>
                            <w:tcW w:w="485" w:type="pct"/>
                            <w:tcBorders>
                              <w:top w:val="nil"/>
                              <w:left w:val="nil"/>
                              <w:bottom w:val="nil"/>
                              <w:right w:val="nil"/>
                            </w:tcBorders>
                            <w:hideMark/>
                          </w:tcPr>
                          <w:p w14:paraId="173DBBC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17.4% </w:t>
                            </w:r>
                          </w:p>
                        </w:tc>
                        <w:tc>
                          <w:tcPr>
                            <w:tcW w:w="485" w:type="pct"/>
                            <w:tcBorders>
                              <w:top w:val="nil"/>
                              <w:left w:val="nil"/>
                              <w:bottom w:val="nil"/>
                              <w:right w:val="nil"/>
                            </w:tcBorders>
                            <w:hideMark/>
                          </w:tcPr>
                          <w:p w14:paraId="365922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16.7% </w:t>
                            </w:r>
                          </w:p>
                        </w:tc>
                        <w:tc>
                          <w:tcPr>
                            <w:tcW w:w="485" w:type="pct"/>
                            <w:tcBorders>
                              <w:top w:val="nil"/>
                              <w:left w:val="nil"/>
                              <w:bottom w:val="nil"/>
                              <w:right w:val="nil"/>
                            </w:tcBorders>
                            <w:hideMark/>
                          </w:tcPr>
                          <w:p w14:paraId="149E887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14.6% </w:t>
                            </w:r>
                          </w:p>
                        </w:tc>
                        <w:tc>
                          <w:tcPr>
                            <w:tcW w:w="485" w:type="pct"/>
                            <w:tcBorders>
                              <w:top w:val="nil"/>
                              <w:left w:val="nil"/>
                              <w:bottom w:val="nil"/>
                              <w:right w:val="nil"/>
                            </w:tcBorders>
                            <w:hideMark/>
                          </w:tcPr>
                          <w:p w14:paraId="20E5FB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19.3% </w:t>
                            </w:r>
                          </w:p>
                        </w:tc>
                        <w:tc>
                          <w:tcPr>
                            <w:tcW w:w="585" w:type="pct"/>
                            <w:tcBorders>
                              <w:top w:val="nil"/>
                              <w:left w:val="nil"/>
                              <w:bottom w:val="nil"/>
                              <w:right w:val="nil"/>
                            </w:tcBorders>
                            <w:hideMark/>
                          </w:tcPr>
                          <w:p w14:paraId="31FF4E0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22.2% </w:t>
                            </w:r>
                          </w:p>
                        </w:tc>
                      </w:tr>
                      <w:tr w:rsidR="003C2F53" w:rsidRPr="00E11EEC" w14:paraId="2D633DE7" w14:textId="77777777" w:rsidTr="000E7471">
                        <w:trPr>
                          <w:trHeight w:val="204"/>
                        </w:trPr>
                        <w:tc>
                          <w:tcPr>
                            <w:tcW w:w="1991" w:type="pct"/>
                            <w:tcBorders>
                              <w:top w:val="nil"/>
                              <w:left w:val="nil"/>
                              <w:bottom w:val="nil"/>
                              <w:right w:val="nil"/>
                            </w:tcBorders>
                            <w:noWrap/>
                            <w:hideMark/>
                          </w:tcPr>
                          <w:p w14:paraId="6E9E558C"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Margin Analysis</w:t>
                            </w:r>
                          </w:p>
                        </w:tc>
                        <w:tc>
                          <w:tcPr>
                            <w:tcW w:w="485" w:type="pct"/>
                            <w:tcBorders>
                              <w:top w:val="nil"/>
                              <w:left w:val="nil"/>
                              <w:bottom w:val="nil"/>
                              <w:right w:val="nil"/>
                            </w:tcBorders>
                            <w:noWrap/>
                            <w:hideMark/>
                          </w:tcPr>
                          <w:p w14:paraId="4B44D6D1"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2AF1EC9D"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E0F10F7"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430A839C"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0567D423"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7B41FBBB"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0D859528" w14:textId="77777777" w:rsidTr="000E7471">
                        <w:trPr>
                          <w:trHeight w:val="204"/>
                        </w:trPr>
                        <w:tc>
                          <w:tcPr>
                            <w:tcW w:w="1991" w:type="pct"/>
                            <w:tcBorders>
                              <w:top w:val="nil"/>
                              <w:left w:val="nil"/>
                              <w:bottom w:val="nil"/>
                              <w:right w:val="nil"/>
                            </w:tcBorders>
                            <w:noWrap/>
                            <w:hideMark/>
                          </w:tcPr>
                          <w:p w14:paraId="534AA2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Gross Margin %</w:t>
                            </w:r>
                          </w:p>
                        </w:tc>
                        <w:tc>
                          <w:tcPr>
                            <w:tcW w:w="485" w:type="pct"/>
                            <w:tcBorders>
                              <w:top w:val="nil"/>
                              <w:left w:val="nil"/>
                              <w:bottom w:val="nil"/>
                              <w:right w:val="nil"/>
                            </w:tcBorders>
                            <w:hideMark/>
                          </w:tcPr>
                          <w:p w14:paraId="713F818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24.7% </w:t>
                            </w:r>
                          </w:p>
                        </w:tc>
                        <w:tc>
                          <w:tcPr>
                            <w:tcW w:w="485" w:type="pct"/>
                            <w:tcBorders>
                              <w:top w:val="nil"/>
                              <w:left w:val="nil"/>
                              <w:bottom w:val="nil"/>
                              <w:right w:val="nil"/>
                            </w:tcBorders>
                            <w:hideMark/>
                          </w:tcPr>
                          <w:p w14:paraId="2C5A45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24.8% </w:t>
                            </w:r>
                          </w:p>
                        </w:tc>
                        <w:tc>
                          <w:tcPr>
                            <w:tcW w:w="485" w:type="pct"/>
                            <w:tcBorders>
                              <w:top w:val="nil"/>
                              <w:left w:val="nil"/>
                              <w:bottom w:val="nil"/>
                              <w:right w:val="nil"/>
                            </w:tcBorders>
                            <w:hideMark/>
                          </w:tcPr>
                          <w:p w14:paraId="1E16338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25.1% </w:t>
                            </w:r>
                          </w:p>
                        </w:tc>
                        <w:tc>
                          <w:tcPr>
                            <w:tcW w:w="485" w:type="pct"/>
                            <w:tcBorders>
                              <w:top w:val="nil"/>
                              <w:left w:val="nil"/>
                              <w:bottom w:val="nil"/>
                              <w:right w:val="nil"/>
                            </w:tcBorders>
                            <w:hideMark/>
                          </w:tcPr>
                          <w:p w14:paraId="54C34E5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24.1% </w:t>
                            </w:r>
                          </w:p>
                        </w:tc>
                        <w:tc>
                          <w:tcPr>
                            <w:tcW w:w="485" w:type="pct"/>
                            <w:tcBorders>
                              <w:top w:val="nil"/>
                              <w:left w:val="nil"/>
                              <w:bottom w:val="nil"/>
                              <w:right w:val="nil"/>
                            </w:tcBorders>
                            <w:hideMark/>
                          </w:tcPr>
                          <w:p w14:paraId="63A0E4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24.4% </w:t>
                            </w:r>
                          </w:p>
                        </w:tc>
                        <w:tc>
                          <w:tcPr>
                            <w:tcW w:w="585" w:type="pct"/>
                            <w:tcBorders>
                              <w:top w:val="nil"/>
                              <w:left w:val="nil"/>
                              <w:bottom w:val="nil"/>
                              <w:right w:val="nil"/>
                            </w:tcBorders>
                            <w:hideMark/>
                          </w:tcPr>
                          <w:p w14:paraId="2E6FAE7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24.9% </w:t>
                            </w:r>
                          </w:p>
                        </w:tc>
                      </w:tr>
                      <w:tr w:rsidR="003C2F53" w:rsidRPr="00E11EEC" w14:paraId="05ED7DA5" w14:textId="77777777" w:rsidTr="000E7471">
                        <w:trPr>
                          <w:trHeight w:val="204"/>
                        </w:trPr>
                        <w:tc>
                          <w:tcPr>
                            <w:tcW w:w="1991" w:type="pct"/>
                            <w:tcBorders>
                              <w:top w:val="nil"/>
                              <w:left w:val="nil"/>
                              <w:bottom w:val="nil"/>
                              <w:right w:val="nil"/>
                            </w:tcBorders>
                            <w:noWrap/>
                            <w:hideMark/>
                          </w:tcPr>
                          <w:p w14:paraId="58B7C54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SG&amp;A Margin %</w:t>
                            </w:r>
                          </w:p>
                        </w:tc>
                        <w:tc>
                          <w:tcPr>
                            <w:tcW w:w="485" w:type="pct"/>
                            <w:tcBorders>
                              <w:top w:val="nil"/>
                              <w:left w:val="nil"/>
                              <w:bottom w:val="nil"/>
                              <w:right w:val="nil"/>
                            </w:tcBorders>
                            <w:hideMark/>
                          </w:tcPr>
                          <w:p w14:paraId="1D18BD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20.6% </w:t>
                            </w:r>
                          </w:p>
                        </w:tc>
                        <w:tc>
                          <w:tcPr>
                            <w:tcW w:w="485" w:type="pct"/>
                            <w:tcBorders>
                              <w:top w:val="nil"/>
                              <w:left w:val="nil"/>
                              <w:bottom w:val="nil"/>
                              <w:right w:val="nil"/>
                            </w:tcBorders>
                            <w:hideMark/>
                          </w:tcPr>
                          <w:p w14:paraId="591A017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20.8% </w:t>
                            </w:r>
                          </w:p>
                        </w:tc>
                        <w:tc>
                          <w:tcPr>
                            <w:tcW w:w="485" w:type="pct"/>
                            <w:tcBorders>
                              <w:top w:val="nil"/>
                              <w:left w:val="nil"/>
                              <w:bottom w:val="nil"/>
                              <w:right w:val="nil"/>
                            </w:tcBorders>
                            <w:hideMark/>
                          </w:tcPr>
                          <w:p w14:paraId="55B6958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20.6% </w:t>
                            </w:r>
                          </w:p>
                        </w:tc>
                        <w:tc>
                          <w:tcPr>
                            <w:tcW w:w="485" w:type="pct"/>
                            <w:tcBorders>
                              <w:top w:val="nil"/>
                              <w:left w:val="nil"/>
                              <w:bottom w:val="nil"/>
                              <w:right w:val="nil"/>
                            </w:tcBorders>
                            <w:hideMark/>
                          </w:tcPr>
                          <w:p w14:paraId="58936CC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20.1% </w:t>
                            </w:r>
                          </w:p>
                        </w:tc>
                        <w:tc>
                          <w:tcPr>
                            <w:tcW w:w="485" w:type="pct"/>
                            <w:tcBorders>
                              <w:top w:val="nil"/>
                              <w:left w:val="nil"/>
                              <w:bottom w:val="nil"/>
                              <w:right w:val="nil"/>
                            </w:tcBorders>
                            <w:hideMark/>
                          </w:tcPr>
                          <w:p w14:paraId="2AC1F1F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20.2% </w:t>
                            </w:r>
                          </w:p>
                        </w:tc>
                        <w:tc>
                          <w:tcPr>
                            <w:tcW w:w="585" w:type="pct"/>
                            <w:tcBorders>
                              <w:top w:val="nil"/>
                              <w:left w:val="nil"/>
                              <w:bottom w:val="nil"/>
                              <w:right w:val="nil"/>
                            </w:tcBorders>
                            <w:hideMark/>
                          </w:tcPr>
                          <w:p w14:paraId="6D6CE72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20.5% </w:t>
                            </w:r>
                          </w:p>
                        </w:tc>
                      </w:tr>
                      <w:tr w:rsidR="003C2F53" w:rsidRPr="00E11EEC" w14:paraId="2DE24BC7" w14:textId="77777777" w:rsidTr="000E7471">
                        <w:trPr>
                          <w:trHeight w:val="204"/>
                        </w:trPr>
                        <w:tc>
                          <w:tcPr>
                            <w:tcW w:w="1991" w:type="pct"/>
                            <w:tcBorders>
                              <w:top w:val="nil"/>
                              <w:left w:val="nil"/>
                              <w:bottom w:val="nil"/>
                              <w:right w:val="nil"/>
                            </w:tcBorders>
                            <w:noWrap/>
                            <w:hideMark/>
                          </w:tcPr>
                          <w:p w14:paraId="02F9E3C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 Margin %</w:t>
                            </w:r>
                          </w:p>
                        </w:tc>
                        <w:tc>
                          <w:tcPr>
                            <w:tcW w:w="485" w:type="pct"/>
                            <w:tcBorders>
                              <w:top w:val="nil"/>
                              <w:left w:val="nil"/>
                              <w:bottom w:val="nil"/>
                              <w:right w:val="nil"/>
                            </w:tcBorders>
                            <w:hideMark/>
                          </w:tcPr>
                          <w:p w14:paraId="47A3418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 </w:t>
                            </w:r>
                          </w:p>
                        </w:tc>
                        <w:tc>
                          <w:tcPr>
                            <w:tcW w:w="485" w:type="pct"/>
                            <w:tcBorders>
                              <w:top w:val="nil"/>
                              <w:left w:val="nil"/>
                              <w:bottom w:val="nil"/>
                              <w:right w:val="nil"/>
                            </w:tcBorders>
                            <w:hideMark/>
                          </w:tcPr>
                          <w:p w14:paraId="5D15866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6.0% </w:t>
                            </w:r>
                          </w:p>
                        </w:tc>
                        <w:tc>
                          <w:tcPr>
                            <w:tcW w:w="485" w:type="pct"/>
                            <w:tcBorders>
                              <w:top w:val="nil"/>
                              <w:left w:val="nil"/>
                              <w:bottom w:val="nil"/>
                              <w:right w:val="nil"/>
                            </w:tcBorders>
                            <w:hideMark/>
                          </w:tcPr>
                          <w:p w14:paraId="1DD2DE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 </w:t>
                            </w:r>
                          </w:p>
                        </w:tc>
                        <w:tc>
                          <w:tcPr>
                            <w:tcW w:w="485" w:type="pct"/>
                            <w:tcBorders>
                              <w:top w:val="nil"/>
                              <w:left w:val="nil"/>
                              <w:bottom w:val="nil"/>
                              <w:right w:val="nil"/>
                            </w:tcBorders>
                            <w:hideMark/>
                          </w:tcPr>
                          <w:p w14:paraId="3DB9A10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5.8% </w:t>
                            </w:r>
                          </w:p>
                        </w:tc>
                        <w:tc>
                          <w:tcPr>
                            <w:tcW w:w="485" w:type="pct"/>
                            <w:tcBorders>
                              <w:top w:val="nil"/>
                              <w:left w:val="nil"/>
                              <w:bottom w:val="nil"/>
                              <w:right w:val="nil"/>
                            </w:tcBorders>
                            <w:hideMark/>
                          </w:tcPr>
                          <w:p w14:paraId="15638BD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6.0% </w:t>
                            </w:r>
                          </w:p>
                        </w:tc>
                        <w:tc>
                          <w:tcPr>
                            <w:tcW w:w="585" w:type="pct"/>
                            <w:tcBorders>
                              <w:top w:val="nil"/>
                              <w:left w:val="nil"/>
                              <w:bottom w:val="nil"/>
                              <w:right w:val="nil"/>
                            </w:tcBorders>
                            <w:hideMark/>
                          </w:tcPr>
                          <w:p w14:paraId="26F8B27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 </w:t>
                            </w:r>
                          </w:p>
                        </w:tc>
                      </w:tr>
                      <w:tr w:rsidR="003C2F53" w:rsidRPr="00E11EEC" w14:paraId="3A3FB338" w14:textId="77777777" w:rsidTr="000E7471">
                        <w:trPr>
                          <w:trHeight w:val="204"/>
                        </w:trPr>
                        <w:tc>
                          <w:tcPr>
                            <w:tcW w:w="1991" w:type="pct"/>
                            <w:tcBorders>
                              <w:top w:val="nil"/>
                              <w:left w:val="nil"/>
                              <w:bottom w:val="nil"/>
                              <w:right w:val="nil"/>
                            </w:tcBorders>
                            <w:noWrap/>
                            <w:hideMark/>
                          </w:tcPr>
                          <w:p w14:paraId="5D81EA0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EBITA Margin %</w:t>
                            </w:r>
                          </w:p>
                        </w:tc>
                        <w:tc>
                          <w:tcPr>
                            <w:tcW w:w="485" w:type="pct"/>
                            <w:tcBorders>
                              <w:top w:val="nil"/>
                              <w:left w:val="nil"/>
                              <w:bottom w:val="nil"/>
                              <w:right w:val="nil"/>
                            </w:tcBorders>
                            <w:hideMark/>
                          </w:tcPr>
                          <w:p w14:paraId="5BFB2AF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 </w:t>
                            </w:r>
                          </w:p>
                        </w:tc>
                        <w:tc>
                          <w:tcPr>
                            <w:tcW w:w="485" w:type="pct"/>
                            <w:tcBorders>
                              <w:top w:val="nil"/>
                              <w:left w:val="nil"/>
                              <w:bottom w:val="nil"/>
                              <w:right w:val="nil"/>
                            </w:tcBorders>
                            <w:hideMark/>
                          </w:tcPr>
                          <w:p w14:paraId="4DAC103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5CF6B03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4.5% </w:t>
                            </w:r>
                          </w:p>
                        </w:tc>
                        <w:tc>
                          <w:tcPr>
                            <w:tcW w:w="485" w:type="pct"/>
                            <w:tcBorders>
                              <w:top w:val="nil"/>
                              <w:left w:val="nil"/>
                              <w:bottom w:val="nil"/>
                              <w:right w:val="nil"/>
                            </w:tcBorders>
                            <w:hideMark/>
                          </w:tcPr>
                          <w:p w14:paraId="7ED354E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0C6DAFE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 </w:t>
                            </w:r>
                          </w:p>
                        </w:tc>
                        <w:tc>
                          <w:tcPr>
                            <w:tcW w:w="585" w:type="pct"/>
                            <w:tcBorders>
                              <w:top w:val="nil"/>
                              <w:left w:val="nil"/>
                              <w:bottom w:val="nil"/>
                              <w:right w:val="nil"/>
                            </w:tcBorders>
                            <w:hideMark/>
                          </w:tcPr>
                          <w:p w14:paraId="67015C5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 </w:t>
                            </w:r>
                          </w:p>
                        </w:tc>
                      </w:tr>
                      <w:tr w:rsidR="003C2F53" w:rsidRPr="00E11EEC" w14:paraId="538B52A5" w14:textId="77777777" w:rsidTr="000E7471">
                        <w:trPr>
                          <w:trHeight w:val="204"/>
                        </w:trPr>
                        <w:tc>
                          <w:tcPr>
                            <w:tcW w:w="1991" w:type="pct"/>
                            <w:tcBorders>
                              <w:top w:val="nil"/>
                              <w:left w:val="nil"/>
                              <w:bottom w:val="nil"/>
                              <w:right w:val="nil"/>
                            </w:tcBorders>
                            <w:noWrap/>
                            <w:hideMark/>
                          </w:tcPr>
                          <w:p w14:paraId="38CB47B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 Margin %</w:t>
                            </w:r>
                          </w:p>
                        </w:tc>
                        <w:tc>
                          <w:tcPr>
                            <w:tcW w:w="485" w:type="pct"/>
                            <w:tcBorders>
                              <w:top w:val="nil"/>
                              <w:left w:val="nil"/>
                              <w:bottom w:val="nil"/>
                              <w:right w:val="nil"/>
                            </w:tcBorders>
                            <w:hideMark/>
                          </w:tcPr>
                          <w:p w14:paraId="698BA95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 </w:t>
                            </w:r>
                          </w:p>
                        </w:tc>
                        <w:tc>
                          <w:tcPr>
                            <w:tcW w:w="485" w:type="pct"/>
                            <w:tcBorders>
                              <w:top w:val="nil"/>
                              <w:left w:val="nil"/>
                              <w:bottom w:val="nil"/>
                              <w:right w:val="nil"/>
                            </w:tcBorders>
                            <w:hideMark/>
                          </w:tcPr>
                          <w:p w14:paraId="2DECA20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6A11F46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4.5% </w:t>
                            </w:r>
                          </w:p>
                        </w:tc>
                        <w:tc>
                          <w:tcPr>
                            <w:tcW w:w="485" w:type="pct"/>
                            <w:tcBorders>
                              <w:top w:val="nil"/>
                              <w:left w:val="nil"/>
                              <w:bottom w:val="nil"/>
                              <w:right w:val="nil"/>
                            </w:tcBorders>
                            <w:hideMark/>
                          </w:tcPr>
                          <w:p w14:paraId="4DDA4D9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4.0% </w:t>
                            </w:r>
                          </w:p>
                        </w:tc>
                        <w:tc>
                          <w:tcPr>
                            <w:tcW w:w="485" w:type="pct"/>
                            <w:tcBorders>
                              <w:top w:val="nil"/>
                              <w:left w:val="nil"/>
                              <w:bottom w:val="nil"/>
                              <w:right w:val="nil"/>
                            </w:tcBorders>
                            <w:hideMark/>
                          </w:tcPr>
                          <w:p w14:paraId="4AE0685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 </w:t>
                            </w:r>
                          </w:p>
                        </w:tc>
                        <w:tc>
                          <w:tcPr>
                            <w:tcW w:w="585" w:type="pct"/>
                            <w:tcBorders>
                              <w:top w:val="nil"/>
                              <w:left w:val="nil"/>
                              <w:bottom w:val="nil"/>
                              <w:right w:val="nil"/>
                            </w:tcBorders>
                            <w:hideMark/>
                          </w:tcPr>
                          <w:p w14:paraId="1E0F7F1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 </w:t>
                            </w:r>
                          </w:p>
                        </w:tc>
                      </w:tr>
                      <w:tr w:rsidR="003C2F53" w:rsidRPr="00E11EEC" w14:paraId="1946824E" w14:textId="77777777" w:rsidTr="000E7471">
                        <w:trPr>
                          <w:trHeight w:val="204"/>
                        </w:trPr>
                        <w:tc>
                          <w:tcPr>
                            <w:tcW w:w="1991" w:type="pct"/>
                            <w:tcBorders>
                              <w:top w:val="nil"/>
                              <w:left w:val="nil"/>
                              <w:bottom w:val="nil"/>
                              <w:right w:val="nil"/>
                            </w:tcBorders>
                            <w:noWrap/>
                            <w:hideMark/>
                          </w:tcPr>
                          <w:p w14:paraId="22EE741C"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Earnings from Cont. Ops Margin %</w:t>
                            </w:r>
                          </w:p>
                        </w:tc>
                        <w:tc>
                          <w:tcPr>
                            <w:tcW w:w="485" w:type="pct"/>
                            <w:tcBorders>
                              <w:top w:val="nil"/>
                              <w:left w:val="nil"/>
                              <w:bottom w:val="nil"/>
                              <w:right w:val="nil"/>
                            </w:tcBorders>
                            <w:hideMark/>
                          </w:tcPr>
                          <w:p w14:paraId="30E92C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c>
                          <w:tcPr>
                            <w:tcW w:w="485" w:type="pct"/>
                            <w:tcBorders>
                              <w:top w:val="nil"/>
                              <w:left w:val="nil"/>
                              <w:bottom w:val="nil"/>
                              <w:right w:val="nil"/>
                            </w:tcBorders>
                            <w:hideMark/>
                          </w:tcPr>
                          <w:p w14:paraId="7C681A5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40C6AC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20E50B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1.8% </w:t>
                            </w:r>
                          </w:p>
                        </w:tc>
                        <w:tc>
                          <w:tcPr>
                            <w:tcW w:w="485" w:type="pct"/>
                            <w:tcBorders>
                              <w:top w:val="nil"/>
                              <w:left w:val="nil"/>
                              <w:bottom w:val="nil"/>
                              <w:right w:val="nil"/>
                            </w:tcBorders>
                            <w:hideMark/>
                          </w:tcPr>
                          <w:p w14:paraId="0DE749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585" w:type="pct"/>
                            <w:tcBorders>
                              <w:top w:val="nil"/>
                              <w:left w:val="nil"/>
                              <w:bottom w:val="nil"/>
                              <w:right w:val="nil"/>
                            </w:tcBorders>
                            <w:hideMark/>
                          </w:tcPr>
                          <w:p w14:paraId="7CE9329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3.0% </w:t>
                            </w:r>
                          </w:p>
                        </w:tc>
                      </w:tr>
                      <w:tr w:rsidR="003C2F53" w:rsidRPr="00E11EEC" w14:paraId="16643A69" w14:textId="77777777" w:rsidTr="000E7471">
                        <w:trPr>
                          <w:trHeight w:val="204"/>
                        </w:trPr>
                        <w:tc>
                          <w:tcPr>
                            <w:tcW w:w="1991" w:type="pct"/>
                            <w:tcBorders>
                              <w:top w:val="nil"/>
                              <w:left w:val="nil"/>
                              <w:bottom w:val="nil"/>
                              <w:right w:val="nil"/>
                            </w:tcBorders>
                            <w:noWrap/>
                            <w:hideMark/>
                          </w:tcPr>
                          <w:p w14:paraId="4101ADB2"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Income Margin %</w:t>
                            </w:r>
                          </w:p>
                        </w:tc>
                        <w:tc>
                          <w:tcPr>
                            <w:tcW w:w="485" w:type="pct"/>
                            <w:tcBorders>
                              <w:top w:val="nil"/>
                              <w:left w:val="nil"/>
                              <w:bottom w:val="nil"/>
                              <w:right w:val="nil"/>
                            </w:tcBorders>
                            <w:hideMark/>
                          </w:tcPr>
                          <w:p w14:paraId="78716AD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321BB6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6C223B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785A0F9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 </w:t>
                            </w:r>
                          </w:p>
                        </w:tc>
                        <w:tc>
                          <w:tcPr>
                            <w:tcW w:w="485" w:type="pct"/>
                            <w:tcBorders>
                              <w:top w:val="nil"/>
                              <w:left w:val="nil"/>
                              <w:bottom w:val="nil"/>
                              <w:right w:val="nil"/>
                            </w:tcBorders>
                            <w:hideMark/>
                          </w:tcPr>
                          <w:p w14:paraId="3215A0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585" w:type="pct"/>
                            <w:tcBorders>
                              <w:top w:val="nil"/>
                              <w:left w:val="nil"/>
                              <w:bottom w:val="nil"/>
                              <w:right w:val="nil"/>
                            </w:tcBorders>
                            <w:hideMark/>
                          </w:tcPr>
                          <w:p w14:paraId="02BFE29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r>
                      <w:tr w:rsidR="003C2F53" w:rsidRPr="00E11EEC" w14:paraId="0D413D68" w14:textId="77777777" w:rsidTr="000E7471">
                        <w:trPr>
                          <w:trHeight w:val="204"/>
                        </w:trPr>
                        <w:tc>
                          <w:tcPr>
                            <w:tcW w:w="1991" w:type="pct"/>
                            <w:tcBorders>
                              <w:top w:val="nil"/>
                              <w:left w:val="nil"/>
                              <w:bottom w:val="nil"/>
                              <w:right w:val="nil"/>
                            </w:tcBorders>
                            <w:noWrap/>
                            <w:hideMark/>
                          </w:tcPr>
                          <w:p w14:paraId="1E217E2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Income Avail. for Common Margin %</w:t>
                            </w:r>
                          </w:p>
                        </w:tc>
                        <w:tc>
                          <w:tcPr>
                            <w:tcW w:w="485" w:type="pct"/>
                            <w:tcBorders>
                              <w:top w:val="nil"/>
                              <w:left w:val="nil"/>
                              <w:bottom w:val="nil"/>
                              <w:right w:val="nil"/>
                            </w:tcBorders>
                            <w:hideMark/>
                          </w:tcPr>
                          <w:p w14:paraId="05F25F6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3E42270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0AE08ED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63D395C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1.9% </w:t>
                            </w:r>
                          </w:p>
                        </w:tc>
                        <w:tc>
                          <w:tcPr>
                            <w:tcW w:w="485" w:type="pct"/>
                            <w:tcBorders>
                              <w:top w:val="nil"/>
                              <w:left w:val="nil"/>
                              <w:bottom w:val="nil"/>
                              <w:right w:val="nil"/>
                            </w:tcBorders>
                            <w:hideMark/>
                          </w:tcPr>
                          <w:p w14:paraId="4725F9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585" w:type="pct"/>
                            <w:tcBorders>
                              <w:top w:val="nil"/>
                              <w:left w:val="nil"/>
                              <w:bottom w:val="nil"/>
                              <w:right w:val="nil"/>
                            </w:tcBorders>
                            <w:hideMark/>
                          </w:tcPr>
                          <w:p w14:paraId="16EC95F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2.9% </w:t>
                            </w:r>
                          </w:p>
                        </w:tc>
                      </w:tr>
                      <w:tr w:rsidR="003C2F53" w:rsidRPr="00E11EEC" w14:paraId="4A96EB71" w14:textId="77777777" w:rsidTr="000E7471">
                        <w:trPr>
                          <w:trHeight w:val="204"/>
                        </w:trPr>
                        <w:tc>
                          <w:tcPr>
                            <w:tcW w:w="1991" w:type="pct"/>
                            <w:tcBorders>
                              <w:top w:val="nil"/>
                              <w:left w:val="nil"/>
                              <w:bottom w:val="nil"/>
                              <w:right w:val="nil"/>
                            </w:tcBorders>
                            <w:noWrap/>
                            <w:hideMark/>
                          </w:tcPr>
                          <w:p w14:paraId="1ADD861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Normalized Net Income Margin %</w:t>
                            </w:r>
                          </w:p>
                        </w:tc>
                        <w:tc>
                          <w:tcPr>
                            <w:tcW w:w="485" w:type="pct"/>
                            <w:tcBorders>
                              <w:top w:val="nil"/>
                              <w:left w:val="nil"/>
                              <w:bottom w:val="nil"/>
                              <w:right w:val="nil"/>
                            </w:tcBorders>
                            <w:hideMark/>
                          </w:tcPr>
                          <w:p w14:paraId="3F6EDD6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1B2F99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0C290C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2.6% </w:t>
                            </w:r>
                          </w:p>
                        </w:tc>
                        <w:tc>
                          <w:tcPr>
                            <w:tcW w:w="485" w:type="pct"/>
                            <w:tcBorders>
                              <w:top w:val="nil"/>
                              <w:left w:val="nil"/>
                              <w:bottom w:val="nil"/>
                              <w:right w:val="nil"/>
                            </w:tcBorders>
                            <w:hideMark/>
                          </w:tcPr>
                          <w:p w14:paraId="1DD6155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2.4% </w:t>
                            </w:r>
                          </w:p>
                        </w:tc>
                        <w:tc>
                          <w:tcPr>
                            <w:tcW w:w="485" w:type="pct"/>
                            <w:tcBorders>
                              <w:top w:val="nil"/>
                              <w:left w:val="nil"/>
                              <w:bottom w:val="nil"/>
                              <w:right w:val="nil"/>
                            </w:tcBorders>
                            <w:hideMark/>
                          </w:tcPr>
                          <w:p w14:paraId="38FE765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2.3% </w:t>
                            </w:r>
                          </w:p>
                        </w:tc>
                        <w:tc>
                          <w:tcPr>
                            <w:tcW w:w="585" w:type="pct"/>
                            <w:tcBorders>
                              <w:top w:val="nil"/>
                              <w:left w:val="nil"/>
                              <w:bottom w:val="nil"/>
                              <w:right w:val="nil"/>
                            </w:tcBorders>
                            <w:hideMark/>
                          </w:tcPr>
                          <w:p w14:paraId="150DB9A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2.3% </w:t>
                            </w:r>
                          </w:p>
                        </w:tc>
                      </w:tr>
                      <w:tr w:rsidR="003C2F53" w:rsidRPr="00E11EEC" w14:paraId="4E7D236B" w14:textId="77777777" w:rsidTr="000E7471">
                        <w:trPr>
                          <w:trHeight w:val="204"/>
                        </w:trPr>
                        <w:tc>
                          <w:tcPr>
                            <w:tcW w:w="1991" w:type="pct"/>
                            <w:tcBorders>
                              <w:top w:val="nil"/>
                              <w:left w:val="nil"/>
                              <w:bottom w:val="nil"/>
                              <w:right w:val="nil"/>
                            </w:tcBorders>
                            <w:noWrap/>
                            <w:hideMark/>
                          </w:tcPr>
                          <w:p w14:paraId="1AD3305C"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Levered Free Cash Flow Margin %</w:t>
                            </w:r>
                          </w:p>
                        </w:tc>
                        <w:tc>
                          <w:tcPr>
                            <w:tcW w:w="485" w:type="pct"/>
                            <w:tcBorders>
                              <w:top w:val="nil"/>
                              <w:left w:val="nil"/>
                              <w:bottom w:val="nil"/>
                              <w:right w:val="nil"/>
                            </w:tcBorders>
                            <w:hideMark/>
                          </w:tcPr>
                          <w:p w14:paraId="32F2F8E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2E42F0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591289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3743AC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2.0% </w:t>
                            </w:r>
                          </w:p>
                        </w:tc>
                        <w:tc>
                          <w:tcPr>
                            <w:tcW w:w="485" w:type="pct"/>
                            <w:tcBorders>
                              <w:top w:val="nil"/>
                              <w:left w:val="nil"/>
                              <w:bottom w:val="nil"/>
                              <w:right w:val="nil"/>
                            </w:tcBorders>
                            <w:hideMark/>
                          </w:tcPr>
                          <w:p w14:paraId="3A3EDB8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1.4% </w:t>
                            </w:r>
                          </w:p>
                        </w:tc>
                        <w:tc>
                          <w:tcPr>
                            <w:tcW w:w="585" w:type="pct"/>
                            <w:tcBorders>
                              <w:top w:val="nil"/>
                              <w:left w:val="nil"/>
                              <w:bottom w:val="nil"/>
                              <w:right w:val="nil"/>
                            </w:tcBorders>
                            <w:hideMark/>
                          </w:tcPr>
                          <w:p w14:paraId="1877FEF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0.8% </w:t>
                            </w:r>
                          </w:p>
                        </w:tc>
                      </w:tr>
                      <w:tr w:rsidR="003C2F53" w:rsidRPr="00E11EEC" w14:paraId="3BC987A6" w14:textId="77777777" w:rsidTr="000E7471">
                        <w:trPr>
                          <w:trHeight w:val="204"/>
                        </w:trPr>
                        <w:tc>
                          <w:tcPr>
                            <w:tcW w:w="1991" w:type="pct"/>
                            <w:tcBorders>
                              <w:top w:val="nil"/>
                              <w:left w:val="nil"/>
                              <w:bottom w:val="nil"/>
                              <w:right w:val="nil"/>
                            </w:tcBorders>
                            <w:noWrap/>
                            <w:hideMark/>
                          </w:tcPr>
                          <w:p w14:paraId="31C4A9F9"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Unlevered Free Cash Flow Margin %</w:t>
                            </w:r>
                          </w:p>
                        </w:tc>
                        <w:tc>
                          <w:tcPr>
                            <w:tcW w:w="485" w:type="pct"/>
                            <w:tcBorders>
                              <w:top w:val="nil"/>
                              <w:left w:val="nil"/>
                              <w:bottom w:val="nil"/>
                              <w:right w:val="nil"/>
                            </w:tcBorders>
                            <w:hideMark/>
                          </w:tcPr>
                          <w:p w14:paraId="60B970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3.1% </w:t>
                            </w:r>
                          </w:p>
                        </w:tc>
                        <w:tc>
                          <w:tcPr>
                            <w:tcW w:w="485" w:type="pct"/>
                            <w:tcBorders>
                              <w:top w:val="nil"/>
                              <w:left w:val="nil"/>
                              <w:bottom w:val="nil"/>
                              <w:right w:val="nil"/>
                            </w:tcBorders>
                            <w:hideMark/>
                          </w:tcPr>
                          <w:p w14:paraId="45265D0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2.5% </w:t>
                            </w:r>
                          </w:p>
                        </w:tc>
                        <w:tc>
                          <w:tcPr>
                            <w:tcW w:w="485" w:type="pct"/>
                            <w:tcBorders>
                              <w:top w:val="nil"/>
                              <w:left w:val="nil"/>
                              <w:bottom w:val="nil"/>
                              <w:right w:val="nil"/>
                            </w:tcBorders>
                            <w:hideMark/>
                          </w:tcPr>
                          <w:p w14:paraId="6BCC682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2.8% </w:t>
                            </w:r>
                          </w:p>
                        </w:tc>
                        <w:tc>
                          <w:tcPr>
                            <w:tcW w:w="485" w:type="pct"/>
                            <w:tcBorders>
                              <w:top w:val="nil"/>
                              <w:left w:val="nil"/>
                              <w:bottom w:val="nil"/>
                              <w:right w:val="nil"/>
                            </w:tcBorders>
                            <w:hideMark/>
                          </w:tcPr>
                          <w:p w14:paraId="1BC4955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2.2% </w:t>
                            </w:r>
                          </w:p>
                        </w:tc>
                        <w:tc>
                          <w:tcPr>
                            <w:tcW w:w="485" w:type="pct"/>
                            <w:tcBorders>
                              <w:top w:val="nil"/>
                              <w:left w:val="nil"/>
                              <w:bottom w:val="nil"/>
                              <w:right w:val="nil"/>
                            </w:tcBorders>
                            <w:hideMark/>
                          </w:tcPr>
                          <w:p w14:paraId="5FA2A13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1.6% </w:t>
                            </w:r>
                          </w:p>
                        </w:tc>
                        <w:tc>
                          <w:tcPr>
                            <w:tcW w:w="585" w:type="pct"/>
                            <w:tcBorders>
                              <w:top w:val="nil"/>
                              <w:left w:val="nil"/>
                              <w:bottom w:val="nil"/>
                              <w:right w:val="nil"/>
                            </w:tcBorders>
                            <w:hideMark/>
                          </w:tcPr>
                          <w:p w14:paraId="7D0ECC8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1.0% </w:t>
                            </w:r>
                          </w:p>
                        </w:tc>
                      </w:tr>
                      <w:tr w:rsidR="003C2F53" w:rsidRPr="00E11EEC" w14:paraId="2B42F9D9" w14:textId="77777777" w:rsidTr="000E7471">
                        <w:trPr>
                          <w:trHeight w:val="204"/>
                        </w:trPr>
                        <w:tc>
                          <w:tcPr>
                            <w:tcW w:w="1991" w:type="pct"/>
                            <w:tcBorders>
                              <w:top w:val="nil"/>
                              <w:left w:val="nil"/>
                              <w:bottom w:val="nil"/>
                              <w:right w:val="nil"/>
                            </w:tcBorders>
                            <w:noWrap/>
                            <w:hideMark/>
                          </w:tcPr>
                          <w:p w14:paraId="3D65CA17"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Asset Turnover</w:t>
                            </w:r>
                          </w:p>
                        </w:tc>
                        <w:tc>
                          <w:tcPr>
                            <w:tcW w:w="485" w:type="pct"/>
                            <w:tcBorders>
                              <w:top w:val="nil"/>
                              <w:left w:val="nil"/>
                              <w:bottom w:val="nil"/>
                              <w:right w:val="nil"/>
                            </w:tcBorders>
                            <w:noWrap/>
                            <w:hideMark/>
                          </w:tcPr>
                          <w:p w14:paraId="0506A595"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6B0AF4B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E5AAAB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1753AB6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7FE3A3D2"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5B10B6D5"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16E20197" w14:textId="77777777" w:rsidTr="000E7471">
                        <w:trPr>
                          <w:trHeight w:val="204"/>
                        </w:trPr>
                        <w:tc>
                          <w:tcPr>
                            <w:tcW w:w="1991" w:type="pct"/>
                            <w:tcBorders>
                              <w:top w:val="nil"/>
                              <w:left w:val="nil"/>
                              <w:bottom w:val="nil"/>
                              <w:right w:val="nil"/>
                            </w:tcBorders>
                            <w:noWrap/>
                            <w:hideMark/>
                          </w:tcPr>
                          <w:p w14:paraId="4377C5F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Asset Turnover</w:t>
                            </w:r>
                          </w:p>
                        </w:tc>
                        <w:tc>
                          <w:tcPr>
                            <w:tcW w:w="485" w:type="pct"/>
                            <w:tcBorders>
                              <w:top w:val="nil"/>
                              <w:left w:val="nil"/>
                              <w:bottom w:val="nil"/>
                              <w:right w:val="nil"/>
                            </w:tcBorders>
                            <w:hideMark/>
                          </w:tcPr>
                          <w:p w14:paraId="64F236D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3B2E08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701968D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c>
                          <w:tcPr>
                            <w:tcW w:w="485" w:type="pct"/>
                            <w:tcBorders>
                              <w:top w:val="nil"/>
                              <w:left w:val="nil"/>
                              <w:bottom w:val="nil"/>
                              <w:right w:val="nil"/>
                            </w:tcBorders>
                            <w:hideMark/>
                          </w:tcPr>
                          <w:p w14:paraId="19D85D9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485" w:type="pct"/>
                            <w:tcBorders>
                              <w:top w:val="nil"/>
                              <w:left w:val="nil"/>
                              <w:bottom w:val="nil"/>
                              <w:right w:val="nil"/>
                            </w:tcBorders>
                            <w:hideMark/>
                          </w:tcPr>
                          <w:p w14:paraId="1C8B675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2.6x</w:t>
                            </w:r>
                          </w:p>
                        </w:tc>
                        <w:tc>
                          <w:tcPr>
                            <w:tcW w:w="585" w:type="pct"/>
                            <w:tcBorders>
                              <w:top w:val="nil"/>
                              <w:left w:val="nil"/>
                              <w:bottom w:val="nil"/>
                              <w:right w:val="nil"/>
                            </w:tcBorders>
                            <w:hideMark/>
                          </w:tcPr>
                          <w:p w14:paraId="2B0917C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2.7x</w:t>
                            </w:r>
                          </w:p>
                        </w:tc>
                      </w:tr>
                      <w:tr w:rsidR="003C2F53" w:rsidRPr="00E11EEC" w14:paraId="4CDA3090" w14:textId="77777777" w:rsidTr="000E7471">
                        <w:trPr>
                          <w:trHeight w:val="204"/>
                        </w:trPr>
                        <w:tc>
                          <w:tcPr>
                            <w:tcW w:w="1991" w:type="pct"/>
                            <w:tcBorders>
                              <w:top w:val="nil"/>
                              <w:left w:val="nil"/>
                              <w:bottom w:val="nil"/>
                              <w:right w:val="nil"/>
                            </w:tcBorders>
                            <w:noWrap/>
                            <w:hideMark/>
                          </w:tcPr>
                          <w:p w14:paraId="7763BE97"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Fixed Asset Turnover</w:t>
                            </w:r>
                          </w:p>
                        </w:tc>
                        <w:tc>
                          <w:tcPr>
                            <w:tcW w:w="485" w:type="pct"/>
                            <w:tcBorders>
                              <w:top w:val="nil"/>
                              <w:left w:val="nil"/>
                              <w:bottom w:val="nil"/>
                              <w:right w:val="nil"/>
                            </w:tcBorders>
                            <w:hideMark/>
                          </w:tcPr>
                          <w:p w14:paraId="4893A4A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4.4x</w:t>
                            </w:r>
                          </w:p>
                        </w:tc>
                        <w:tc>
                          <w:tcPr>
                            <w:tcW w:w="485" w:type="pct"/>
                            <w:tcBorders>
                              <w:top w:val="nil"/>
                              <w:left w:val="nil"/>
                              <w:bottom w:val="nil"/>
                              <w:right w:val="nil"/>
                            </w:tcBorders>
                            <w:hideMark/>
                          </w:tcPr>
                          <w:p w14:paraId="6320C05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4.7x</w:t>
                            </w:r>
                          </w:p>
                        </w:tc>
                        <w:tc>
                          <w:tcPr>
                            <w:tcW w:w="485" w:type="pct"/>
                            <w:tcBorders>
                              <w:top w:val="nil"/>
                              <w:left w:val="nil"/>
                              <w:bottom w:val="nil"/>
                              <w:right w:val="nil"/>
                            </w:tcBorders>
                            <w:hideMark/>
                          </w:tcPr>
                          <w:p w14:paraId="7A7F6E0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5.1x</w:t>
                            </w:r>
                          </w:p>
                        </w:tc>
                        <w:tc>
                          <w:tcPr>
                            <w:tcW w:w="485" w:type="pct"/>
                            <w:tcBorders>
                              <w:top w:val="nil"/>
                              <w:left w:val="nil"/>
                              <w:bottom w:val="nil"/>
                              <w:right w:val="nil"/>
                            </w:tcBorders>
                            <w:hideMark/>
                          </w:tcPr>
                          <w:p w14:paraId="05AC9A4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5.3x</w:t>
                            </w:r>
                          </w:p>
                        </w:tc>
                        <w:tc>
                          <w:tcPr>
                            <w:tcW w:w="485" w:type="pct"/>
                            <w:tcBorders>
                              <w:top w:val="nil"/>
                              <w:left w:val="nil"/>
                              <w:bottom w:val="nil"/>
                              <w:right w:val="nil"/>
                            </w:tcBorders>
                            <w:hideMark/>
                          </w:tcPr>
                          <w:p w14:paraId="49A81F6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5.2x</w:t>
                            </w:r>
                          </w:p>
                        </w:tc>
                        <w:tc>
                          <w:tcPr>
                            <w:tcW w:w="585" w:type="pct"/>
                            <w:tcBorders>
                              <w:top w:val="nil"/>
                              <w:left w:val="nil"/>
                              <w:bottom w:val="nil"/>
                              <w:right w:val="nil"/>
                            </w:tcBorders>
                            <w:hideMark/>
                          </w:tcPr>
                          <w:p w14:paraId="51C9FC2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5.0x</w:t>
                            </w:r>
                          </w:p>
                        </w:tc>
                      </w:tr>
                      <w:tr w:rsidR="003C2F53" w:rsidRPr="00E11EEC" w14:paraId="45973CC9" w14:textId="77777777" w:rsidTr="000E7471">
                        <w:trPr>
                          <w:trHeight w:val="204"/>
                        </w:trPr>
                        <w:tc>
                          <w:tcPr>
                            <w:tcW w:w="1991" w:type="pct"/>
                            <w:tcBorders>
                              <w:top w:val="nil"/>
                              <w:left w:val="nil"/>
                              <w:bottom w:val="nil"/>
                              <w:right w:val="nil"/>
                            </w:tcBorders>
                            <w:noWrap/>
                            <w:hideMark/>
                          </w:tcPr>
                          <w:p w14:paraId="6985F574"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Accounts Receivable Turnover</w:t>
                            </w:r>
                          </w:p>
                        </w:tc>
                        <w:tc>
                          <w:tcPr>
                            <w:tcW w:w="485" w:type="pct"/>
                            <w:tcBorders>
                              <w:top w:val="nil"/>
                              <w:left w:val="nil"/>
                              <w:bottom w:val="nil"/>
                              <w:right w:val="nil"/>
                            </w:tcBorders>
                            <w:hideMark/>
                          </w:tcPr>
                          <w:p w14:paraId="5326479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83.4x</w:t>
                            </w:r>
                          </w:p>
                        </w:tc>
                        <w:tc>
                          <w:tcPr>
                            <w:tcW w:w="485" w:type="pct"/>
                            <w:tcBorders>
                              <w:top w:val="nil"/>
                              <w:left w:val="nil"/>
                              <w:bottom w:val="nil"/>
                              <w:right w:val="nil"/>
                            </w:tcBorders>
                            <w:hideMark/>
                          </w:tcPr>
                          <w:p w14:paraId="7E96687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87.4x</w:t>
                            </w:r>
                          </w:p>
                        </w:tc>
                        <w:tc>
                          <w:tcPr>
                            <w:tcW w:w="485" w:type="pct"/>
                            <w:tcBorders>
                              <w:top w:val="nil"/>
                              <w:left w:val="nil"/>
                              <w:bottom w:val="nil"/>
                              <w:right w:val="nil"/>
                            </w:tcBorders>
                            <w:hideMark/>
                          </w:tcPr>
                          <w:p w14:paraId="6B33796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77.4x</w:t>
                            </w:r>
                          </w:p>
                        </w:tc>
                        <w:tc>
                          <w:tcPr>
                            <w:tcW w:w="485" w:type="pct"/>
                            <w:tcBorders>
                              <w:top w:val="nil"/>
                              <w:left w:val="nil"/>
                              <w:bottom w:val="nil"/>
                              <w:right w:val="nil"/>
                            </w:tcBorders>
                            <w:hideMark/>
                          </w:tcPr>
                          <w:p w14:paraId="30C6015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75.4x</w:t>
                            </w:r>
                          </w:p>
                        </w:tc>
                        <w:tc>
                          <w:tcPr>
                            <w:tcW w:w="485" w:type="pct"/>
                            <w:tcBorders>
                              <w:top w:val="nil"/>
                              <w:left w:val="nil"/>
                              <w:bottom w:val="nil"/>
                              <w:right w:val="nil"/>
                            </w:tcBorders>
                            <w:hideMark/>
                          </w:tcPr>
                          <w:p w14:paraId="372F6AF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77.5x</w:t>
                            </w:r>
                          </w:p>
                        </w:tc>
                        <w:tc>
                          <w:tcPr>
                            <w:tcW w:w="585" w:type="pct"/>
                            <w:tcBorders>
                              <w:top w:val="nil"/>
                              <w:left w:val="nil"/>
                              <w:bottom w:val="nil"/>
                              <w:right w:val="nil"/>
                            </w:tcBorders>
                            <w:hideMark/>
                          </w:tcPr>
                          <w:p w14:paraId="312723D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72.6x</w:t>
                            </w:r>
                          </w:p>
                        </w:tc>
                      </w:tr>
                      <w:tr w:rsidR="003C2F53" w:rsidRPr="00E11EEC" w14:paraId="36911810" w14:textId="77777777" w:rsidTr="000E7471">
                        <w:trPr>
                          <w:trHeight w:val="204"/>
                        </w:trPr>
                        <w:tc>
                          <w:tcPr>
                            <w:tcW w:w="1991" w:type="pct"/>
                            <w:tcBorders>
                              <w:top w:val="nil"/>
                              <w:left w:val="nil"/>
                              <w:bottom w:val="nil"/>
                              <w:right w:val="nil"/>
                            </w:tcBorders>
                            <w:noWrap/>
                            <w:hideMark/>
                          </w:tcPr>
                          <w:p w14:paraId="5603B5A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Inventory Turnover</w:t>
                            </w:r>
                          </w:p>
                        </w:tc>
                        <w:tc>
                          <w:tcPr>
                            <w:tcW w:w="485" w:type="pct"/>
                            <w:tcBorders>
                              <w:top w:val="nil"/>
                              <w:left w:val="nil"/>
                              <w:bottom w:val="nil"/>
                              <w:right w:val="nil"/>
                            </w:tcBorders>
                            <w:hideMark/>
                          </w:tcPr>
                          <w:p w14:paraId="675C77D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8.9x</w:t>
                            </w:r>
                          </w:p>
                        </w:tc>
                        <w:tc>
                          <w:tcPr>
                            <w:tcW w:w="485" w:type="pct"/>
                            <w:tcBorders>
                              <w:top w:val="nil"/>
                              <w:left w:val="nil"/>
                              <w:bottom w:val="nil"/>
                              <w:right w:val="nil"/>
                            </w:tcBorders>
                            <w:hideMark/>
                          </w:tcPr>
                          <w:p w14:paraId="616E91C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9.4x</w:t>
                            </w:r>
                          </w:p>
                        </w:tc>
                        <w:tc>
                          <w:tcPr>
                            <w:tcW w:w="485" w:type="pct"/>
                            <w:tcBorders>
                              <w:top w:val="nil"/>
                              <w:left w:val="nil"/>
                              <w:bottom w:val="nil"/>
                              <w:right w:val="nil"/>
                            </w:tcBorders>
                            <w:hideMark/>
                          </w:tcPr>
                          <w:p w14:paraId="69DC5AB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8.5x</w:t>
                            </w:r>
                          </w:p>
                        </w:tc>
                        <w:tc>
                          <w:tcPr>
                            <w:tcW w:w="485" w:type="pct"/>
                            <w:tcBorders>
                              <w:top w:val="nil"/>
                              <w:left w:val="nil"/>
                              <w:bottom w:val="nil"/>
                              <w:right w:val="nil"/>
                            </w:tcBorders>
                            <w:hideMark/>
                          </w:tcPr>
                          <w:p w14:paraId="4591C26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8.2x</w:t>
                            </w:r>
                          </w:p>
                        </w:tc>
                        <w:tc>
                          <w:tcPr>
                            <w:tcW w:w="485" w:type="pct"/>
                            <w:tcBorders>
                              <w:top w:val="nil"/>
                              <w:left w:val="nil"/>
                              <w:bottom w:val="nil"/>
                              <w:right w:val="nil"/>
                            </w:tcBorders>
                            <w:hideMark/>
                          </w:tcPr>
                          <w:p w14:paraId="03DBB6A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8.8x</w:t>
                            </w:r>
                          </w:p>
                        </w:tc>
                        <w:tc>
                          <w:tcPr>
                            <w:tcW w:w="585" w:type="pct"/>
                            <w:tcBorders>
                              <w:top w:val="nil"/>
                              <w:left w:val="nil"/>
                              <w:bottom w:val="nil"/>
                              <w:right w:val="nil"/>
                            </w:tcBorders>
                            <w:hideMark/>
                          </w:tcPr>
                          <w:p w14:paraId="1EFBA26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9.2x</w:t>
                            </w:r>
                          </w:p>
                        </w:tc>
                      </w:tr>
                      <w:tr w:rsidR="003C2F53" w:rsidRPr="00E11EEC" w14:paraId="3801E0C8" w14:textId="77777777" w:rsidTr="000E7471">
                        <w:trPr>
                          <w:trHeight w:val="204"/>
                        </w:trPr>
                        <w:tc>
                          <w:tcPr>
                            <w:tcW w:w="1991" w:type="pct"/>
                            <w:tcBorders>
                              <w:top w:val="nil"/>
                              <w:left w:val="nil"/>
                              <w:bottom w:val="nil"/>
                              <w:right w:val="nil"/>
                            </w:tcBorders>
                            <w:noWrap/>
                            <w:hideMark/>
                          </w:tcPr>
                          <w:p w14:paraId="7754F9D2"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Short Term Liquidity</w:t>
                            </w:r>
                          </w:p>
                        </w:tc>
                        <w:tc>
                          <w:tcPr>
                            <w:tcW w:w="485" w:type="pct"/>
                            <w:tcBorders>
                              <w:top w:val="nil"/>
                              <w:left w:val="nil"/>
                              <w:bottom w:val="nil"/>
                              <w:right w:val="nil"/>
                            </w:tcBorders>
                            <w:noWrap/>
                            <w:hideMark/>
                          </w:tcPr>
                          <w:p w14:paraId="1200EF98"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48F448E6"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E9D7F9C"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5B357EA1"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E47C31A"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12148368"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628566EC" w14:textId="77777777" w:rsidTr="000E7471">
                        <w:trPr>
                          <w:trHeight w:val="204"/>
                        </w:trPr>
                        <w:tc>
                          <w:tcPr>
                            <w:tcW w:w="1991" w:type="pct"/>
                            <w:tcBorders>
                              <w:top w:val="nil"/>
                              <w:left w:val="nil"/>
                              <w:bottom w:val="nil"/>
                              <w:right w:val="nil"/>
                            </w:tcBorders>
                            <w:noWrap/>
                            <w:hideMark/>
                          </w:tcPr>
                          <w:p w14:paraId="3B1934BE"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Current Ratio</w:t>
                            </w:r>
                          </w:p>
                        </w:tc>
                        <w:tc>
                          <w:tcPr>
                            <w:tcW w:w="485" w:type="pct"/>
                            <w:tcBorders>
                              <w:top w:val="nil"/>
                              <w:left w:val="nil"/>
                              <w:bottom w:val="nil"/>
                              <w:right w:val="nil"/>
                            </w:tcBorders>
                            <w:hideMark/>
                          </w:tcPr>
                          <w:p w14:paraId="51093FE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485" w:type="pct"/>
                            <w:tcBorders>
                              <w:top w:val="nil"/>
                              <w:left w:val="nil"/>
                              <w:bottom w:val="nil"/>
                              <w:right w:val="nil"/>
                            </w:tcBorders>
                            <w:hideMark/>
                          </w:tcPr>
                          <w:p w14:paraId="6AE65E4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1.0x</w:t>
                            </w:r>
                          </w:p>
                        </w:tc>
                        <w:tc>
                          <w:tcPr>
                            <w:tcW w:w="485" w:type="pct"/>
                            <w:tcBorders>
                              <w:top w:val="nil"/>
                              <w:left w:val="nil"/>
                              <w:bottom w:val="nil"/>
                              <w:right w:val="nil"/>
                            </w:tcBorders>
                            <w:hideMark/>
                          </w:tcPr>
                          <w:p w14:paraId="22BCD62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0.9x</w:t>
                            </w:r>
                          </w:p>
                        </w:tc>
                        <w:tc>
                          <w:tcPr>
                            <w:tcW w:w="485" w:type="pct"/>
                            <w:tcBorders>
                              <w:top w:val="nil"/>
                              <w:left w:val="nil"/>
                              <w:bottom w:val="nil"/>
                              <w:right w:val="nil"/>
                            </w:tcBorders>
                            <w:hideMark/>
                          </w:tcPr>
                          <w:p w14:paraId="4170DE9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485" w:type="pct"/>
                            <w:tcBorders>
                              <w:top w:val="nil"/>
                              <w:left w:val="nil"/>
                              <w:bottom w:val="nil"/>
                              <w:right w:val="nil"/>
                            </w:tcBorders>
                            <w:hideMark/>
                          </w:tcPr>
                          <w:p w14:paraId="22188F8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c>
                          <w:tcPr>
                            <w:tcW w:w="585" w:type="pct"/>
                            <w:tcBorders>
                              <w:top w:val="nil"/>
                              <w:left w:val="nil"/>
                              <w:bottom w:val="nil"/>
                              <w:right w:val="nil"/>
                            </w:tcBorders>
                            <w:hideMark/>
                          </w:tcPr>
                          <w:p w14:paraId="23467F1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0.8x</w:t>
                            </w:r>
                          </w:p>
                        </w:tc>
                      </w:tr>
                      <w:tr w:rsidR="003C2F53" w:rsidRPr="00E11EEC" w14:paraId="60E8E1ED" w14:textId="77777777" w:rsidTr="000E7471">
                        <w:trPr>
                          <w:trHeight w:val="204"/>
                        </w:trPr>
                        <w:tc>
                          <w:tcPr>
                            <w:tcW w:w="1991" w:type="pct"/>
                            <w:tcBorders>
                              <w:top w:val="nil"/>
                              <w:left w:val="nil"/>
                              <w:bottom w:val="nil"/>
                              <w:right w:val="nil"/>
                            </w:tcBorders>
                            <w:noWrap/>
                            <w:hideMark/>
                          </w:tcPr>
                          <w:p w14:paraId="32CA4AF8"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Quick Ratio</w:t>
                            </w:r>
                          </w:p>
                        </w:tc>
                        <w:tc>
                          <w:tcPr>
                            <w:tcW w:w="485" w:type="pct"/>
                            <w:tcBorders>
                              <w:top w:val="nil"/>
                              <w:left w:val="nil"/>
                              <w:bottom w:val="nil"/>
                              <w:right w:val="nil"/>
                            </w:tcBorders>
                            <w:hideMark/>
                          </w:tcPr>
                          <w:p w14:paraId="15AAE0C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485" w:type="pct"/>
                            <w:tcBorders>
                              <w:top w:val="nil"/>
                              <w:left w:val="nil"/>
                              <w:bottom w:val="nil"/>
                              <w:right w:val="nil"/>
                            </w:tcBorders>
                            <w:hideMark/>
                          </w:tcPr>
                          <w:p w14:paraId="577D7C6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041AFE1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1A91D34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485" w:type="pct"/>
                            <w:tcBorders>
                              <w:top w:val="nil"/>
                              <w:left w:val="nil"/>
                              <w:bottom w:val="nil"/>
                              <w:right w:val="nil"/>
                            </w:tcBorders>
                            <w:hideMark/>
                          </w:tcPr>
                          <w:p w14:paraId="6763235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c>
                          <w:tcPr>
                            <w:tcW w:w="585" w:type="pct"/>
                            <w:tcBorders>
                              <w:top w:val="nil"/>
                              <w:left w:val="nil"/>
                              <w:bottom w:val="nil"/>
                              <w:right w:val="nil"/>
                            </w:tcBorders>
                            <w:hideMark/>
                          </w:tcPr>
                          <w:p w14:paraId="61504EB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0.2x</w:t>
                            </w:r>
                          </w:p>
                        </w:tc>
                      </w:tr>
                      <w:tr w:rsidR="003C2F53" w:rsidRPr="00E11EEC" w14:paraId="53DA2E2D" w14:textId="77777777" w:rsidTr="000E7471">
                        <w:trPr>
                          <w:trHeight w:val="204"/>
                        </w:trPr>
                        <w:tc>
                          <w:tcPr>
                            <w:tcW w:w="1991" w:type="pct"/>
                            <w:tcBorders>
                              <w:top w:val="nil"/>
                              <w:left w:val="nil"/>
                              <w:bottom w:val="nil"/>
                              <w:right w:val="nil"/>
                            </w:tcBorders>
                            <w:noWrap/>
                            <w:hideMark/>
                          </w:tcPr>
                          <w:p w14:paraId="61302F5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Cash from Ops. to Curr. </w:t>
                            </w:r>
                            <w:r w:rsidRPr="00E67059">
                              <w:rPr>
                                <w:rFonts w:ascii="Cambria" w:eastAsia="Times New Roman" w:hAnsi="Cambria" w:cs="Arial"/>
                                <w:color w:val="000000"/>
                                <w:kern w:val="0"/>
                                <w:sz w:val="14"/>
                                <w:szCs w:val="14"/>
                                <w:lang w:eastAsia="en-IN"/>
                                <w14:ligatures w14:val="none"/>
                              </w:rPr>
                              <w:t>Liab.</w:t>
                            </w:r>
                          </w:p>
                        </w:tc>
                        <w:tc>
                          <w:tcPr>
                            <w:tcW w:w="485" w:type="pct"/>
                            <w:tcBorders>
                              <w:top w:val="nil"/>
                              <w:left w:val="nil"/>
                              <w:bottom w:val="nil"/>
                              <w:right w:val="nil"/>
                            </w:tcBorders>
                            <w:hideMark/>
                          </w:tcPr>
                          <w:p w14:paraId="109417B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1C5D659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c>
                          <w:tcPr>
                            <w:tcW w:w="485" w:type="pct"/>
                            <w:tcBorders>
                              <w:top w:val="nil"/>
                              <w:left w:val="nil"/>
                              <w:bottom w:val="nil"/>
                              <w:right w:val="nil"/>
                            </w:tcBorders>
                            <w:hideMark/>
                          </w:tcPr>
                          <w:p w14:paraId="460E797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3455B10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0.3x</w:t>
                            </w:r>
                          </w:p>
                        </w:tc>
                        <w:tc>
                          <w:tcPr>
                            <w:tcW w:w="485" w:type="pct"/>
                            <w:tcBorders>
                              <w:top w:val="nil"/>
                              <w:left w:val="nil"/>
                              <w:bottom w:val="nil"/>
                              <w:right w:val="nil"/>
                            </w:tcBorders>
                            <w:hideMark/>
                          </w:tcPr>
                          <w:p w14:paraId="56743BB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c>
                          <w:tcPr>
                            <w:tcW w:w="585" w:type="pct"/>
                            <w:tcBorders>
                              <w:top w:val="nil"/>
                              <w:left w:val="nil"/>
                              <w:bottom w:val="nil"/>
                              <w:right w:val="nil"/>
                            </w:tcBorders>
                            <w:hideMark/>
                          </w:tcPr>
                          <w:p w14:paraId="4424D3B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0.4x</w:t>
                            </w:r>
                          </w:p>
                        </w:tc>
                      </w:tr>
                      <w:tr w:rsidR="003C2F53" w:rsidRPr="00E11EEC" w14:paraId="1D8FD4A0" w14:textId="77777777" w:rsidTr="000E7471">
                        <w:trPr>
                          <w:trHeight w:val="204"/>
                        </w:trPr>
                        <w:tc>
                          <w:tcPr>
                            <w:tcW w:w="1991" w:type="pct"/>
                            <w:tcBorders>
                              <w:top w:val="nil"/>
                              <w:left w:val="nil"/>
                              <w:bottom w:val="nil"/>
                              <w:right w:val="nil"/>
                            </w:tcBorders>
                            <w:noWrap/>
                            <w:hideMark/>
                          </w:tcPr>
                          <w:p w14:paraId="742A5E5E"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r w:rsidRPr="00E67059">
                              <w:rPr>
                                <w:rFonts w:ascii="Cambria" w:eastAsia="Times New Roman" w:hAnsi="Cambria" w:cs="Arial"/>
                                <w:b/>
                                <w:bCs/>
                                <w:color w:val="000000"/>
                                <w:kern w:val="0"/>
                                <w:sz w:val="14"/>
                                <w:szCs w:val="14"/>
                                <w:lang w:eastAsia="en-IN"/>
                                <w14:ligatures w14:val="none"/>
                              </w:rPr>
                              <w:t>Long Term Solvency</w:t>
                            </w:r>
                          </w:p>
                        </w:tc>
                        <w:tc>
                          <w:tcPr>
                            <w:tcW w:w="485" w:type="pct"/>
                            <w:tcBorders>
                              <w:top w:val="nil"/>
                              <w:left w:val="nil"/>
                              <w:bottom w:val="nil"/>
                              <w:right w:val="nil"/>
                            </w:tcBorders>
                            <w:noWrap/>
                            <w:hideMark/>
                          </w:tcPr>
                          <w:p w14:paraId="18733D2D" w14:textId="77777777" w:rsidR="00E67059" w:rsidRPr="00E67059" w:rsidRDefault="00E67059" w:rsidP="00E67059">
                            <w:pPr>
                              <w:spacing w:after="0" w:line="240" w:lineRule="auto"/>
                              <w:rPr>
                                <w:rFonts w:ascii="Cambria" w:eastAsia="Times New Roman" w:hAnsi="Cambria" w:cs="Arial"/>
                                <w:b/>
                                <w:bCs/>
                                <w:color w:val="000000"/>
                                <w:kern w:val="0"/>
                                <w:sz w:val="14"/>
                                <w:szCs w:val="14"/>
                                <w:lang w:eastAsia="en-IN"/>
                                <w14:ligatures w14:val="none"/>
                              </w:rPr>
                            </w:pPr>
                          </w:p>
                        </w:tc>
                        <w:tc>
                          <w:tcPr>
                            <w:tcW w:w="485" w:type="pct"/>
                            <w:tcBorders>
                              <w:top w:val="nil"/>
                              <w:left w:val="nil"/>
                              <w:bottom w:val="nil"/>
                              <w:right w:val="nil"/>
                            </w:tcBorders>
                            <w:noWrap/>
                            <w:hideMark/>
                          </w:tcPr>
                          <w:p w14:paraId="17FEB91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220FAE14"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4E95FF5F"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485" w:type="pct"/>
                            <w:tcBorders>
                              <w:top w:val="nil"/>
                              <w:left w:val="nil"/>
                              <w:bottom w:val="nil"/>
                              <w:right w:val="nil"/>
                            </w:tcBorders>
                            <w:noWrap/>
                            <w:hideMark/>
                          </w:tcPr>
                          <w:p w14:paraId="6B72ABA3"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c>
                          <w:tcPr>
                            <w:tcW w:w="585" w:type="pct"/>
                            <w:tcBorders>
                              <w:top w:val="nil"/>
                              <w:left w:val="nil"/>
                              <w:bottom w:val="nil"/>
                              <w:right w:val="nil"/>
                            </w:tcBorders>
                            <w:noWrap/>
                            <w:hideMark/>
                          </w:tcPr>
                          <w:p w14:paraId="292F7B09" w14:textId="77777777" w:rsidR="00E67059" w:rsidRPr="00E67059" w:rsidRDefault="00E67059" w:rsidP="00E67059">
                            <w:pPr>
                              <w:spacing w:after="0" w:line="240" w:lineRule="auto"/>
                              <w:rPr>
                                <w:rFonts w:ascii="Cambria" w:eastAsia="Times New Roman" w:hAnsi="Cambria" w:cs="Times New Roman"/>
                                <w:kern w:val="0"/>
                                <w:sz w:val="14"/>
                                <w:szCs w:val="14"/>
                                <w:lang w:eastAsia="en-IN"/>
                                <w14:ligatures w14:val="none"/>
                              </w:rPr>
                            </w:pPr>
                          </w:p>
                        </w:tc>
                      </w:tr>
                      <w:tr w:rsidR="003C2F53" w:rsidRPr="00E11EEC" w14:paraId="2746D835" w14:textId="77777777" w:rsidTr="000E7471">
                        <w:trPr>
                          <w:trHeight w:val="204"/>
                        </w:trPr>
                        <w:tc>
                          <w:tcPr>
                            <w:tcW w:w="1991" w:type="pct"/>
                            <w:tcBorders>
                              <w:top w:val="nil"/>
                              <w:left w:val="nil"/>
                              <w:bottom w:val="nil"/>
                              <w:right w:val="nil"/>
                            </w:tcBorders>
                            <w:noWrap/>
                            <w:hideMark/>
                          </w:tcPr>
                          <w:p w14:paraId="31DCB520"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Debt/Equity</w:t>
                            </w:r>
                          </w:p>
                        </w:tc>
                        <w:tc>
                          <w:tcPr>
                            <w:tcW w:w="485" w:type="pct"/>
                            <w:tcBorders>
                              <w:top w:val="nil"/>
                              <w:left w:val="nil"/>
                              <w:bottom w:val="nil"/>
                              <w:right w:val="nil"/>
                            </w:tcBorders>
                            <w:hideMark/>
                          </w:tcPr>
                          <w:p w14:paraId="7B1D4C8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89.7% </w:t>
                            </w:r>
                          </w:p>
                        </w:tc>
                        <w:tc>
                          <w:tcPr>
                            <w:tcW w:w="485" w:type="pct"/>
                            <w:tcBorders>
                              <w:top w:val="nil"/>
                              <w:left w:val="nil"/>
                              <w:bottom w:val="nil"/>
                              <w:right w:val="nil"/>
                            </w:tcBorders>
                            <w:hideMark/>
                          </w:tcPr>
                          <w:p w14:paraId="2E0E21A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72.7% </w:t>
                            </w:r>
                          </w:p>
                        </w:tc>
                        <w:tc>
                          <w:tcPr>
                            <w:tcW w:w="485" w:type="pct"/>
                            <w:tcBorders>
                              <w:top w:val="nil"/>
                              <w:left w:val="nil"/>
                              <w:bottom w:val="nil"/>
                              <w:right w:val="nil"/>
                            </w:tcBorders>
                            <w:hideMark/>
                          </w:tcPr>
                          <w:p w14:paraId="6F2DBD2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63.6% </w:t>
                            </w:r>
                          </w:p>
                        </w:tc>
                        <w:tc>
                          <w:tcPr>
                            <w:tcW w:w="485" w:type="pct"/>
                            <w:tcBorders>
                              <w:top w:val="nil"/>
                              <w:left w:val="nil"/>
                              <w:bottom w:val="nil"/>
                              <w:right w:val="nil"/>
                            </w:tcBorders>
                            <w:hideMark/>
                          </w:tcPr>
                          <w:p w14:paraId="48BDCDC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72.7% </w:t>
                            </w:r>
                          </w:p>
                        </w:tc>
                        <w:tc>
                          <w:tcPr>
                            <w:tcW w:w="485" w:type="pct"/>
                            <w:tcBorders>
                              <w:top w:val="nil"/>
                              <w:left w:val="nil"/>
                              <w:bottom w:val="nil"/>
                              <w:right w:val="nil"/>
                            </w:tcBorders>
                            <w:hideMark/>
                          </w:tcPr>
                          <w:p w14:paraId="348BC15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69.9% </w:t>
                            </w:r>
                          </w:p>
                        </w:tc>
                        <w:tc>
                          <w:tcPr>
                            <w:tcW w:w="585" w:type="pct"/>
                            <w:tcBorders>
                              <w:top w:val="nil"/>
                              <w:left w:val="nil"/>
                              <w:bottom w:val="nil"/>
                              <w:right w:val="nil"/>
                            </w:tcBorders>
                            <w:hideMark/>
                          </w:tcPr>
                          <w:p w14:paraId="7084874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61.5% </w:t>
                            </w:r>
                          </w:p>
                        </w:tc>
                      </w:tr>
                      <w:tr w:rsidR="003C2F53" w:rsidRPr="00E11EEC" w14:paraId="1F725C87" w14:textId="77777777" w:rsidTr="000E7471">
                        <w:trPr>
                          <w:trHeight w:val="204"/>
                        </w:trPr>
                        <w:tc>
                          <w:tcPr>
                            <w:tcW w:w="1991" w:type="pct"/>
                            <w:tcBorders>
                              <w:top w:val="nil"/>
                              <w:left w:val="nil"/>
                              <w:bottom w:val="nil"/>
                              <w:right w:val="nil"/>
                            </w:tcBorders>
                            <w:noWrap/>
                            <w:hideMark/>
                          </w:tcPr>
                          <w:p w14:paraId="63E13741"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Debt/Capital</w:t>
                            </w:r>
                          </w:p>
                        </w:tc>
                        <w:tc>
                          <w:tcPr>
                            <w:tcW w:w="485" w:type="pct"/>
                            <w:tcBorders>
                              <w:top w:val="nil"/>
                              <w:left w:val="nil"/>
                              <w:bottom w:val="nil"/>
                              <w:right w:val="nil"/>
                            </w:tcBorders>
                            <w:hideMark/>
                          </w:tcPr>
                          <w:p w14:paraId="521195D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47.3% </w:t>
                            </w:r>
                          </w:p>
                        </w:tc>
                        <w:tc>
                          <w:tcPr>
                            <w:tcW w:w="485" w:type="pct"/>
                            <w:tcBorders>
                              <w:top w:val="nil"/>
                              <w:left w:val="nil"/>
                              <w:bottom w:val="nil"/>
                              <w:right w:val="nil"/>
                            </w:tcBorders>
                            <w:hideMark/>
                          </w:tcPr>
                          <w:p w14:paraId="07AD97F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42.1% </w:t>
                            </w:r>
                          </w:p>
                        </w:tc>
                        <w:tc>
                          <w:tcPr>
                            <w:tcW w:w="485" w:type="pct"/>
                            <w:tcBorders>
                              <w:top w:val="nil"/>
                              <w:left w:val="nil"/>
                              <w:bottom w:val="nil"/>
                              <w:right w:val="nil"/>
                            </w:tcBorders>
                            <w:hideMark/>
                          </w:tcPr>
                          <w:p w14:paraId="29ACCB0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38.9% </w:t>
                            </w:r>
                          </w:p>
                        </w:tc>
                        <w:tc>
                          <w:tcPr>
                            <w:tcW w:w="485" w:type="pct"/>
                            <w:tcBorders>
                              <w:top w:val="nil"/>
                              <w:left w:val="nil"/>
                              <w:bottom w:val="nil"/>
                              <w:right w:val="nil"/>
                            </w:tcBorders>
                            <w:hideMark/>
                          </w:tcPr>
                          <w:p w14:paraId="64F5D0F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42.1% </w:t>
                            </w:r>
                          </w:p>
                        </w:tc>
                        <w:tc>
                          <w:tcPr>
                            <w:tcW w:w="485" w:type="pct"/>
                            <w:tcBorders>
                              <w:top w:val="nil"/>
                              <w:left w:val="nil"/>
                              <w:bottom w:val="nil"/>
                              <w:right w:val="nil"/>
                            </w:tcBorders>
                            <w:hideMark/>
                          </w:tcPr>
                          <w:p w14:paraId="455F670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41.1% </w:t>
                            </w:r>
                          </w:p>
                        </w:tc>
                        <w:tc>
                          <w:tcPr>
                            <w:tcW w:w="585" w:type="pct"/>
                            <w:tcBorders>
                              <w:top w:val="nil"/>
                              <w:left w:val="nil"/>
                              <w:bottom w:val="nil"/>
                              <w:right w:val="nil"/>
                            </w:tcBorders>
                            <w:hideMark/>
                          </w:tcPr>
                          <w:p w14:paraId="77FF7D2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38.1% </w:t>
                            </w:r>
                          </w:p>
                        </w:tc>
                      </w:tr>
                      <w:tr w:rsidR="003C2F53" w:rsidRPr="00E11EEC" w14:paraId="4C4247B4" w14:textId="77777777" w:rsidTr="000E7471">
                        <w:trPr>
                          <w:trHeight w:val="204"/>
                        </w:trPr>
                        <w:tc>
                          <w:tcPr>
                            <w:tcW w:w="1991" w:type="pct"/>
                            <w:tcBorders>
                              <w:top w:val="nil"/>
                              <w:left w:val="nil"/>
                              <w:bottom w:val="nil"/>
                              <w:right w:val="nil"/>
                            </w:tcBorders>
                            <w:noWrap/>
                            <w:hideMark/>
                          </w:tcPr>
                          <w:p w14:paraId="0154629D"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LT Debt/Equity</w:t>
                            </w:r>
                          </w:p>
                        </w:tc>
                        <w:tc>
                          <w:tcPr>
                            <w:tcW w:w="485" w:type="pct"/>
                            <w:tcBorders>
                              <w:top w:val="nil"/>
                              <w:left w:val="nil"/>
                              <w:bottom w:val="nil"/>
                              <w:right w:val="nil"/>
                            </w:tcBorders>
                            <w:hideMark/>
                          </w:tcPr>
                          <w:p w14:paraId="1D57E4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79.6% </w:t>
                            </w:r>
                          </w:p>
                        </w:tc>
                        <w:tc>
                          <w:tcPr>
                            <w:tcW w:w="485" w:type="pct"/>
                            <w:tcBorders>
                              <w:top w:val="nil"/>
                              <w:left w:val="nil"/>
                              <w:bottom w:val="nil"/>
                              <w:right w:val="nil"/>
                            </w:tcBorders>
                            <w:hideMark/>
                          </w:tcPr>
                          <w:p w14:paraId="4FD37C7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66.7% </w:t>
                            </w:r>
                          </w:p>
                        </w:tc>
                        <w:tc>
                          <w:tcPr>
                            <w:tcW w:w="485" w:type="pct"/>
                            <w:tcBorders>
                              <w:top w:val="nil"/>
                              <w:left w:val="nil"/>
                              <w:bottom w:val="nil"/>
                              <w:right w:val="nil"/>
                            </w:tcBorders>
                            <w:hideMark/>
                          </w:tcPr>
                          <w:p w14:paraId="7F5BC99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57.9% </w:t>
                            </w:r>
                          </w:p>
                        </w:tc>
                        <w:tc>
                          <w:tcPr>
                            <w:tcW w:w="485" w:type="pct"/>
                            <w:tcBorders>
                              <w:top w:val="nil"/>
                              <w:left w:val="nil"/>
                              <w:bottom w:val="nil"/>
                              <w:right w:val="nil"/>
                            </w:tcBorders>
                            <w:hideMark/>
                          </w:tcPr>
                          <w:p w14:paraId="7F51D03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64.8% </w:t>
                            </w:r>
                          </w:p>
                        </w:tc>
                        <w:tc>
                          <w:tcPr>
                            <w:tcW w:w="485" w:type="pct"/>
                            <w:tcBorders>
                              <w:top w:val="nil"/>
                              <w:left w:val="nil"/>
                              <w:bottom w:val="nil"/>
                              <w:right w:val="nil"/>
                            </w:tcBorders>
                            <w:hideMark/>
                          </w:tcPr>
                          <w:p w14:paraId="00AEB67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62.6% </w:t>
                            </w:r>
                          </w:p>
                        </w:tc>
                        <w:tc>
                          <w:tcPr>
                            <w:tcW w:w="585" w:type="pct"/>
                            <w:tcBorders>
                              <w:top w:val="nil"/>
                              <w:left w:val="nil"/>
                              <w:bottom w:val="nil"/>
                              <w:right w:val="nil"/>
                            </w:tcBorders>
                            <w:hideMark/>
                          </w:tcPr>
                          <w:p w14:paraId="499AA1E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53.4% </w:t>
                            </w:r>
                          </w:p>
                        </w:tc>
                      </w:tr>
                      <w:tr w:rsidR="003C2F53" w:rsidRPr="00E11EEC" w14:paraId="558F6DDD" w14:textId="77777777" w:rsidTr="000E7471">
                        <w:trPr>
                          <w:trHeight w:val="204"/>
                        </w:trPr>
                        <w:tc>
                          <w:tcPr>
                            <w:tcW w:w="1991" w:type="pct"/>
                            <w:tcBorders>
                              <w:top w:val="nil"/>
                              <w:left w:val="nil"/>
                              <w:bottom w:val="nil"/>
                              <w:right w:val="nil"/>
                            </w:tcBorders>
                            <w:noWrap/>
                            <w:hideMark/>
                          </w:tcPr>
                          <w:p w14:paraId="25C5A473"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LT Debt/Capital</w:t>
                            </w:r>
                          </w:p>
                        </w:tc>
                        <w:tc>
                          <w:tcPr>
                            <w:tcW w:w="485" w:type="pct"/>
                            <w:tcBorders>
                              <w:top w:val="nil"/>
                              <w:left w:val="nil"/>
                              <w:bottom w:val="nil"/>
                              <w:right w:val="nil"/>
                            </w:tcBorders>
                            <w:hideMark/>
                          </w:tcPr>
                          <w:p w14:paraId="2A42A45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41.9% </w:t>
                            </w:r>
                          </w:p>
                        </w:tc>
                        <w:tc>
                          <w:tcPr>
                            <w:tcW w:w="485" w:type="pct"/>
                            <w:tcBorders>
                              <w:top w:val="nil"/>
                              <w:left w:val="nil"/>
                              <w:bottom w:val="nil"/>
                              <w:right w:val="nil"/>
                            </w:tcBorders>
                            <w:hideMark/>
                          </w:tcPr>
                          <w:p w14:paraId="59A8AD1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38.6% </w:t>
                            </w:r>
                          </w:p>
                        </w:tc>
                        <w:tc>
                          <w:tcPr>
                            <w:tcW w:w="485" w:type="pct"/>
                            <w:tcBorders>
                              <w:top w:val="nil"/>
                              <w:left w:val="nil"/>
                              <w:bottom w:val="nil"/>
                              <w:right w:val="nil"/>
                            </w:tcBorders>
                            <w:hideMark/>
                          </w:tcPr>
                          <w:p w14:paraId="37066B9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35.4% </w:t>
                            </w:r>
                          </w:p>
                        </w:tc>
                        <w:tc>
                          <w:tcPr>
                            <w:tcW w:w="485" w:type="pct"/>
                            <w:tcBorders>
                              <w:top w:val="nil"/>
                              <w:left w:val="nil"/>
                              <w:bottom w:val="nil"/>
                              <w:right w:val="nil"/>
                            </w:tcBorders>
                            <w:hideMark/>
                          </w:tcPr>
                          <w:p w14:paraId="0C5A0D7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37.5% </w:t>
                            </w:r>
                          </w:p>
                        </w:tc>
                        <w:tc>
                          <w:tcPr>
                            <w:tcW w:w="485" w:type="pct"/>
                            <w:tcBorders>
                              <w:top w:val="nil"/>
                              <w:left w:val="nil"/>
                              <w:bottom w:val="nil"/>
                              <w:right w:val="nil"/>
                            </w:tcBorders>
                            <w:hideMark/>
                          </w:tcPr>
                          <w:p w14:paraId="75C476D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36.9% </w:t>
                            </w:r>
                          </w:p>
                        </w:tc>
                        <w:tc>
                          <w:tcPr>
                            <w:tcW w:w="585" w:type="pct"/>
                            <w:tcBorders>
                              <w:top w:val="nil"/>
                              <w:left w:val="nil"/>
                              <w:bottom w:val="nil"/>
                              <w:right w:val="nil"/>
                            </w:tcBorders>
                            <w:hideMark/>
                          </w:tcPr>
                          <w:p w14:paraId="0D10B8D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33.0% </w:t>
                            </w:r>
                          </w:p>
                        </w:tc>
                      </w:tr>
                      <w:tr w:rsidR="003C2F53" w:rsidRPr="00E11EEC" w14:paraId="7D8AD751" w14:textId="77777777" w:rsidTr="000E7471">
                        <w:trPr>
                          <w:trHeight w:val="204"/>
                        </w:trPr>
                        <w:tc>
                          <w:tcPr>
                            <w:tcW w:w="1991" w:type="pct"/>
                            <w:tcBorders>
                              <w:top w:val="nil"/>
                              <w:left w:val="nil"/>
                              <w:bottom w:val="nil"/>
                              <w:right w:val="nil"/>
                            </w:tcBorders>
                            <w:noWrap/>
                            <w:hideMark/>
                          </w:tcPr>
                          <w:p w14:paraId="7A7690B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Liabilities/Total Assets</w:t>
                            </w:r>
                          </w:p>
                        </w:tc>
                        <w:tc>
                          <w:tcPr>
                            <w:tcW w:w="485" w:type="pct"/>
                            <w:tcBorders>
                              <w:top w:val="nil"/>
                              <w:left w:val="nil"/>
                              <w:bottom w:val="nil"/>
                              <w:right w:val="nil"/>
                            </w:tcBorders>
                            <w:hideMark/>
                          </w:tcPr>
                          <w:p w14:paraId="319BEAF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65.5% </w:t>
                            </w:r>
                          </w:p>
                        </w:tc>
                        <w:tc>
                          <w:tcPr>
                            <w:tcW w:w="485" w:type="pct"/>
                            <w:tcBorders>
                              <w:top w:val="nil"/>
                              <w:left w:val="nil"/>
                              <w:bottom w:val="nil"/>
                              <w:right w:val="nil"/>
                            </w:tcBorders>
                            <w:hideMark/>
                          </w:tcPr>
                          <w:p w14:paraId="45910D9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65.3% </w:t>
                            </w:r>
                          </w:p>
                        </w:tc>
                        <w:tc>
                          <w:tcPr>
                            <w:tcW w:w="485" w:type="pct"/>
                            <w:tcBorders>
                              <w:top w:val="nil"/>
                              <w:left w:val="nil"/>
                              <w:bottom w:val="nil"/>
                              <w:right w:val="nil"/>
                            </w:tcBorders>
                            <w:hideMark/>
                          </w:tcPr>
                          <w:p w14:paraId="68C4601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62.5% </w:t>
                            </w:r>
                          </w:p>
                        </w:tc>
                        <w:tc>
                          <w:tcPr>
                            <w:tcW w:w="485" w:type="pct"/>
                            <w:tcBorders>
                              <w:top w:val="nil"/>
                              <w:left w:val="nil"/>
                              <w:bottom w:val="nil"/>
                              <w:right w:val="nil"/>
                            </w:tcBorders>
                            <w:hideMark/>
                          </w:tcPr>
                          <w:p w14:paraId="50A6DED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65.5% </w:t>
                            </w:r>
                          </w:p>
                        </w:tc>
                        <w:tc>
                          <w:tcPr>
                            <w:tcW w:w="485" w:type="pct"/>
                            <w:tcBorders>
                              <w:top w:val="nil"/>
                              <w:left w:val="nil"/>
                              <w:bottom w:val="nil"/>
                              <w:right w:val="nil"/>
                            </w:tcBorders>
                            <w:hideMark/>
                          </w:tcPr>
                          <w:p w14:paraId="2CC0D14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64.1% </w:t>
                            </w:r>
                          </w:p>
                        </w:tc>
                        <w:tc>
                          <w:tcPr>
                            <w:tcW w:w="585" w:type="pct"/>
                            <w:tcBorders>
                              <w:top w:val="nil"/>
                              <w:left w:val="nil"/>
                              <w:bottom w:val="nil"/>
                              <w:right w:val="nil"/>
                            </w:tcBorders>
                            <w:hideMark/>
                          </w:tcPr>
                          <w:p w14:paraId="7C2A4A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62.5% </w:t>
                            </w:r>
                          </w:p>
                        </w:tc>
                      </w:tr>
                      <w:tr w:rsidR="003C2F53" w:rsidRPr="00E11EEC" w14:paraId="181417F9" w14:textId="77777777" w:rsidTr="000E7471">
                        <w:trPr>
                          <w:trHeight w:val="204"/>
                        </w:trPr>
                        <w:tc>
                          <w:tcPr>
                            <w:tcW w:w="1991" w:type="pct"/>
                            <w:tcBorders>
                              <w:top w:val="nil"/>
                              <w:left w:val="nil"/>
                              <w:bottom w:val="nil"/>
                              <w:right w:val="nil"/>
                            </w:tcBorders>
                            <w:noWrap/>
                            <w:hideMark/>
                          </w:tcPr>
                          <w:p w14:paraId="52734CB7"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 / Interest Exp.</w:t>
                            </w:r>
                          </w:p>
                        </w:tc>
                        <w:tc>
                          <w:tcPr>
                            <w:tcW w:w="485" w:type="pct"/>
                            <w:tcBorders>
                              <w:top w:val="nil"/>
                              <w:left w:val="nil"/>
                              <w:bottom w:val="nil"/>
                              <w:right w:val="nil"/>
                            </w:tcBorders>
                            <w:hideMark/>
                          </w:tcPr>
                          <w:p w14:paraId="2C52DFE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8.3x</w:t>
                            </w:r>
                          </w:p>
                        </w:tc>
                        <w:tc>
                          <w:tcPr>
                            <w:tcW w:w="485" w:type="pct"/>
                            <w:tcBorders>
                              <w:top w:val="nil"/>
                              <w:left w:val="nil"/>
                              <w:bottom w:val="nil"/>
                              <w:right w:val="nil"/>
                            </w:tcBorders>
                            <w:hideMark/>
                          </w:tcPr>
                          <w:p w14:paraId="0265399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9.7x</w:t>
                            </w:r>
                          </w:p>
                        </w:tc>
                        <w:tc>
                          <w:tcPr>
                            <w:tcW w:w="485" w:type="pct"/>
                            <w:tcBorders>
                              <w:top w:val="nil"/>
                              <w:left w:val="nil"/>
                              <w:bottom w:val="nil"/>
                              <w:right w:val="nil"/>
                            </w:tcBorders>
                            <w:hideMark/>
                          </w:tcPr>
                          <w:p w14:paraId="005F8CC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13.0x</w:t>
                            </w:r>
                          </w:p>
                        </w:tc>
                        <w:tc>
                          <w:tcPr>
                            <w:tcW w:w="485" w:type="pct"/>
                            <w:tcBorders>
                              <w:top w:val="nil"/>
                              <w:left w:val="nil"/>
                              <w:bottom w:val="nil"/>
                              <w:right w:val="nil"/>
                            </w:tcBorders>
                            <w:hideMark/>
                          </w:tcPr>
                          <w:p w14:paraId="6CA7B0B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11.5x</w:t>
                            </w:r>
                          </w:p>
                        </w:tc>
                        <w:tc>
                          <w:tcPr>
                            <w:tcW w:w="485" w:type="pct"/>
                            <w:tcBorders>
                              <w:top w:val="nil"/>
                              <w:left w:val="nil"/>
                              <w:bottom w:val="nil"/>
                              <w:right w:val="nil"/>
                            </w:tcBorders>
                            <w:hideMark/>
                          </w:tcPr>
                          <w:p w14:paraId="78333CD4"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10.1x</w:t>
                            </w:r>
                          </w:p>
                        </w:tc>
                        <w:tc>
                          <w:tcPr>
                            <w:tcW w:w="585" w:type="pct"/>
                            <w:tcBorders>
                              <w:top w:val="nil"/>
                              <w:left w:val="nil"/>
                              <w:bottom w:val="nil"/>
                              <w:right w:val="nil"/>
                            </w:tcBorders>
                            <w:hideMark/>
                          </w:tcPr>
                          <w:p w14:paraId="60B197A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10.8x</w:t>
                            </w:r>
                          </w:p>
                        </w:tc>
                      </w:tr>
                      <w:tr w:rsidR="003C2F53" w:rsidRPr="00E11EEC" w14:paraId="16A713B5" w14:textId="77777777" w:rsidTr="000E7471">
                        <w:trPr>
                          <w:trHeight w:val="204"/>
                        </w:trPr>
                        <w:tc>
                          <w:tcPr>
                            <w:tcW w:w="1991" w:type="pct"/>
                            <w:tcBorders>
                              <w:top w:val="nil"/>
                              <w:left w:val="nil"/>
                              <w:bottom w:val="nil"/>
                              <w:right w:val="nil"/>
                            </w:tcBorders>
                            <w:noWrap/>
                            <w:hideMark/>
                          </w:tcPr>
                          <w:p w14:paraId="55E85C4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 / Interest Exp.</w:t>
                            </w:r>
                          </w:p>
                        </w:tc>
                        <w:tc>
                          <w:tcPr>
                            <w:tcW w:w="485" w:type="pct"/>
                            <w:tcBorders>
                              <w:top w:val="nil"/>
                              <w:left w:val="nil"/>
                              <w:bottom w:val="nil"/>
                              <w:right w:val="nil"/>
                            </w:tcBorders>
                            <w:hideMark/>
                          </w:tcPr>
                          <w:p w14:paraId="4E2A2D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13.8x</w:t>
                            </w:r>
                          </w:p>
                        </w:tc>
                        <w:tc>
                          <w:tcPr>
                            <w:tcW w:w="485" w:type="pct"/>
                            <w:tcBorders>
                              <w:top w:val="nil"/>
                              <w:left w:val="nil"/>
                              <w:bottom w:val="nil"/>
                              <w:right w:val="nil"/>
                            </w:tcBorders>
                            <w:hideMark/>
                          </w:tcPr>
                          <w:p w14:paraId="430E0F5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16.0x</w:t>
                            </w:r>
                          </w:p>
                        </w:tc>
                        <w:tc>
                          <w:tcPr>
                            <w:tcW w:w="485" w:type="pct"/>
                            <w:tcBorders>
                              <w:top w:val="nil"/>
                              <w:left w:val="nil"/>
                              <w:bottom w:val="nil"/>
                              <w:right w:val="nil"/>
                            </w:tcBorders>
                            <w:hideMark/>
                          </w:tcPr>
                          <w:p w14:paraId="0D6FD72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19.9x</w:t>
                            </w:r>
                          </w:p>
                        </w:tc>
                        <w:tc>
                          <w:tcPr>
                            <w:tcW w:w="485" w:type="pct"/>
                            <w:tcBorders>
                              <w:top w:val="nil"/>
                              <w:left w:val="nil"/>
                              <w:bottom w:val="nil"/>
                              <w:right w:val="nil"/>
                            </w:tcBorders>
                            <w:hideMark/>
                          </w:tcPr>
                          <w:p w14:paraId="169E86E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18.2x</w:t>
                            </w:r>
                          </w:p>
                        </w:tc>
                        <w:tc>
                          <w:tcPr>
                            <w:tcW w:w="485" w:type="pct"/>
                            <w:tcBorders>
                              <w:top w:val="nil"/>
                              <w:left w:val="nil"/>
                              <w:bottom w:val="nil"/>
                              <w:right w:val="nil"/>
                            </w:tcBorders>
                            <w:hideMark/>
                          </w:tcPr>
                          <w:p w14:paraId="5AAA368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15.7x</w:t>
                            </w:r>
                          </w:p>
                        </w:tc>
                        <w:tc>
                          <w:tcPr>
                            <w:tcW w:w="585" w:type="pct"/>
                            <w:tcBorders>
                              <w:top w:val="nil"/>
                              <w:left w:val="nil"/>
                              <w:bottom w:val="nil"/>
                              <w:right w:val="nil"/>
                            </w:tcBorders>
                            <w:hideMark/>
                          </w:tcPr>
                          <w:p w14:paraId="4EFB382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16.8x</w:t>
                            </w:r>
                          </w:p>
                        </w:tc>
                      </w:tr>
                      <w:tr w:rsidR="003C2F53" w:rsidRPr="00E11EEC" w14:paraId="7464AEBA" w14:textId="77777777" w:rsidTr="000E7471">
                        <w:trPr>
                          <w:trHeight w:val="204"/>
                        </w:trPr>
                        <w:tc>
                          <w:tcPr>
                            <w:tcW w:w="1991" w:type="pct"/>
                            <w:tcBorders>
                              <w:top w:val="nil"/>
                              <w:left w:val="nil"/>
                              <w:bottom w:val="nil"/>
                              <w:right w:val="nil"/>
                            </w:tcBorders>
                            <w:noWrap/>
                            <w:hideMark/>
                          </w:tcPr>
                          <w:p w14:paraId="22ABB5D0"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(EBITDA-CAPEX) / Interest Exp.</w:t>
                            </w:r>
                          </w:p>
                        </w:tc>
                        <w:tc>
                          <w:tcPr>
                            <w:tcW w:w="485" w:type="pct"/>
                            <w:tcBorders>
                              <w:top w:val="nil"/>
                              <w:left w:val="nil"/>
                              <w:bottom w:val="nil"/>
                              <w:right w:val="nil"/>
                            </w:tcBorders>
                            <w:hideMark/>
                          </w:tcPr>
                          <w:p w14:paraId="306AA2B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9.7x</w:t>
                            </w:r>
                          </w:p>
                        </w:tc>
                        <w:tc>
                          <w:tcPr>
                            <w:tcW w:w="485" w:type="pct"/>
                            <w:tcBorders>
                              <w:top w:val="nil"/>
                              <w:left w:val="nil"/>
                              <w:bottom w:val="nil"/>
                              <w:right w:val="nil"/>
                            </w:tcBorders>
                            <w:hideMark/>
                          </w:tcPr>
                          <w:p w14:paraId="05F1ECA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11.6x</w:t>
                            </w:r>
                          </w:p>
                        </w:tc>
                        <w:tc>
                          <w:tcPr>
                            <w:tcW w:w="485" w:type="pct"/>
                            <w:tcBorders>
                              <w:top w:val="nil"/>
                              <w:left w:val="nil"/>
                              <w:bottom w:val="nil"/>
                              <w:right w:val="nil"/>
                            </w:tcBorders>
                            <w:hideMark/>
                          </w:tcPr>
                          <w:p w14:paraId="2D107AC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13.3x</w:t>
                            </w:r>
                          </w:p>
                        </w:tc>
                        <w:tc>
                          <w:tcPr>
                            <w:tcW w:w="485" w:type="pct"/>
                            <w:tcBorders>
                              <w:top w:val="nil"/>
                              <w:left w:val="nil"/>
                              <w:bottom w:val="nil"/>
                              <w:right w:val="nil"/>
                            </w:tcBorders>
                            <w:hideMark/>
                          </w:tcPr>
                          <w:p w14:paraId="6C43731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10.3x</w:t>
                            </w:r>
                          </w:p>
                        </w:tc>
                        <w:tc>
                          <w:tcPr>
                            <w:tcW w:w="485" w:type="pct"/>
                            <w:tcBorders>
                              <w:top w:val="nil"/>
                              <w:left w:val="nil"/>
                              <w:bottom w:val="nil"/>
                              <w:right w:val="nil"/>
                            </w:tcBorders>
                            <w:hideMark/>
                          </w:tcPr>
                          <w:p w14:paraId="72A3462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8.1x</w:t>
                            </w:r>
                          </w:p>
                        </w:tc>
                        <w:tc>
                          <w:tcPr>
                            <w:tcW w:w="585" w:type="pct"/>
                            <w:tcBorders>
                              <w:top w:val="nil"/>
                              <w:left w:val="nil"/>
                              <w:bottom w:val="nil"/>
                              <w:right w:val="nil"/>
                            </w:tcBorders>
                            <w:hideMark/>
                          </w:tcPr>
                          <w:p w14:paraId="7CC6DEF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8.1x</w:t>
                            </w:r>
                          </w:p>
                        </w:tc>
                      </w:tr>
                      <w:tr w:rsidR="003C2F53" w:rsidRPr="00E11EEC" w14:paraId="73302BDE" w14:textId="77777777" w:rsidTr="000E7471">
                        <w:trPr>
                          <w:trHeight w:val="204"/>
                        </w:trPr>
                        <w:tc>
                          <w:tcPr>
                            <w:tcW w:w="1991" w:type="pct"/>
                            <w:tcBorders>
                              <w:top w:val="nil"/>
                              <w:left w:val="nil"/>
                              <w:bottom w:val="nil"/>
                              <w:right w:val="nil"/>
                            </w:tcBorders>
                            <w:noWrap/>
                            <w:hideMark/>
                          </w:tcPr>
                          <w:p w14:paraId="558FFF4B"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Debt/EBITDA</w:t>
                            </w:r>
                          </w:p>
                        </w:tc>
                        <w:tc>
                          <w:tcPr>
                            <w:tcW w:w="485" w:type="pct"/>
                            <w:tcBorders>
                              <w:top w:val="nil"/>
                              <w:left w:val="nil"/>
                              <w:bottom w:val="nil"/>
                              <w:right w:val="nil"/>
                            </w:tcBorders>
                            <w:hideMark/>
                          </w:tcPr>
                          <w:p w14:paraId="1041C57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2.0x</w:t>
                            </w:r>
                          </w:p>
                        </w:tc>
                        <w:tc>
                          <w:tcPr>
                            <w:tcW w:w="485" w:type="pct"/>
                            <w:tcBorders>
                              <w:top w:val="nil"/>
                              <w:left w:val="nil"/>
                              <w:bottom w:val="nil"/>
                              <w:right w:val="nil"/>
                            </w:tcBorders>
                            <w:hideMark/>
                          </w:tcPr>
                          <w:p w14:paraId="46419C0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1.7x</w:t>
                            </w:r>
                          </w:p>
                        </w:tc>
                        <w:tc>
                          <w:tcPr>
                            <w:tcW w:w="485" w:type="pct"/>
                            <w:tcBorders>
                              <w:top w:val="nil"/>
                              <w:left w:val="nil"/>
                              <w:bottom w:val="nil"/>
                              <w:right w:val="nil"/>
                            </w:tcBorders>
                            <w:hideMark/>
                          </w:tcPr>
                          <w:p w14:paraId="5E0AC58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1.5x</w:t>
                            </w:r>
                          </w:p>
                        </w:tc>
                        <w:tc>
                          <w:tcPr>
                            <w:tcW w:w="485" w:type="pct"/>
                            <w:tcBorders>
                              <w:top w:val="nil"/>
                              <w:left w:val="nil"/>
                              <w:bottom w:val="nil"/>
                              <w:right w:val="nil"/>
                            </w:tcBorders>
                            <w:hideMark/>
                          </w:tcPr>
                          <w:p w14:paraId="5E48ACD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1.6x</w:t>
                            </w:r>
                          </w:p>
                        </w:tc>
                        <w:tc>
                          <w:tcPr>
                            <w:tcW w:w="485" w:type="pct"/>
                            <w:tcBorders>
                              <w:top w:val="nil"/>
                              <w:left w:val="nil"/>
                              <w:bottom w:val="nil"/>
                              <w:right w:val="nil"/>
                            </w:tcBorders>
                            <w:hideMark/>
                          </w:tcPr>
                          <w:p w14:paraId="251BF4C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1.5x</w:t>
                            </w:r>
                          </w:p>
                        </w:tc>
                        <w:tc>
                          <w:tcPr>
                            <w:tcW w:w="585" w:type="pct"/>
                            <w:tcBorders>
                              <w:top w:val="nil"/>
                              <w:left w:val="nil"/>
                              <w:bottom w:val="nil"/>
                              <w:right w:val="nil"/>
                            </w:tcBorders>
                            <w:hideMark/>
                          </w:tcPr>
                          <w:p w14:paraId="3C891D2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1.3x</w:t>
                            </w:r>
                          </w:p>
                        </w:tc>
                      </w:tr>
                      <w:tr w:rsidR="003C2F53" w:rsidRPr="00E11EEC" w14:paraId="26CFEC43" w14:textId="77777777" w:rsidTr="000E7471">
                        <w:trPr>
                          <w:trHeight w:val="204"/>
                        </w:trPr>
                        <w:tc>
                          <w:tcPr>
                            <w:tcW w:w="1991" w:type="pct"/>
                            <w:tcBorders>
                              <w:top w:val="nil"/>
                              <w:left w:val="nil"/>
                              <w:bottom w:val="nil"/>
                              <w:right w:val="nil"/>
                            </w:tcBorders>
                            <w:noWrap/>
                            <w:hideMark/>
                          </w:tcPr>
                          <w:p w14:paraId="1A0FE786"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Debt/EBITDA</w:t>
                            </w:r>
                          </w:p>
                        </w:tc>
                        <w:tc>
                          <w:tcPr>
                            <w:tcW w:w="485" w:type="pct"/>
                            <w:tcBorders>
                              <w:top w:val="nil"/>
                              <w:left w:val="nil"/>
                              <w:bottom w:val="nil"/>
                              <w:right w:val="nil"/>
                            </w:tcBorders>
                            <w:hideMark/>
                          </w:tcPr>
                          <w:p w14:paraId="6F31CD8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1.8x</w:t>
                            </w:r>
                          </w:p>
                        </w:tc>
                        <w:tc>
                          <w:tcPr>
                            <w:tcW w:w="485" w:type="pct"/>
                            <w:tcBorders>
                              <w:top w:val="nil"/>
                              <w:left w:val="nil"/>
                              <w:bottom w:val="nil"/>
                              <w:right w:val="nil"/>
                            </w:tcBorders>
                            <w:hideMark/>
                          </w:tcPr>
                          <w:p w14:paraId="64A6A9A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1.2x</w:t>
                            </w:r>
                          </w:p>
                        </w:tc>
                        <w:tc>
                          <w:tcPr>
                            <w:tcW w:w="485" w:type="pct"/>
                            <w:tcBorders>
                              <w:top w:val="nil"/>
                              <w:left w:val="nil"/>
                              <w:bottom w:val="nil"/>
                              <w:right w:val="nil"/>
                            </w:tcBorders>
                            <w:hideMark/>
                          </w:tcPr>
                          <w:p w14:paraId="68C858F1"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1.1x</w:t>
                            </w:r>
                          </w:p>
                        </w:tc>
                        <w:tc>
                          <w:tcPr>
                            <w:tcW w:w="485" w:type="pct"/>
                            <w:tcBorders>
                              <w:top w:val="nil"/>
                              <w:left w:val="nil"/>
                              <w:bottom w:val="nil"/>
                              <w:right w:val="nil"/>
                            </w:tcBorders>
                            <w:hideMark/>
                          </w:tcPr>
                          <w:p w14:paraId="6909027F"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1.4x</w:t>
                            </w:r>
                          </w:p>
                        </w:tc>
                        <w:tc>
                          <w:tcPr>
                            <w:tcW w:w="485" w:type="pct"/>
                            <w:tcBorders>
                              <w:top w:val="nil"/>
                              <w:left w:val="nil"/>
                              <w:bottom w:val="nil"/>
                              <w:right w:val="nil"/>
                            </w:tcBorders>
                            <w:hideMark/>
                          </w:tcPr>
                          <w:p w14:paraId="19B1A00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1.3x</w:t>
                            </w:r>
                          </w:p>
                        </w:tc>
                        <w:tc>
                          <w:tcPr>
                            <w:tcW w:w="585" w:type="pct"/>
                            <w:tcBorders>
                              <w:top w:val="nil"/>
                              <w:left w:val="nil"/>
                              <w:bottom w:val="nil"/>
                              <w:right w:val="nil"/>
                            </w:tcBorders>
                            <w:hideMark/>
                          </w:tcPr>
                          <w:p w14:paraId="4E54D082"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1.1x</w:t>
                            </w:r>
                          </w:p>
                        </w:tc>
                      </w:tr>
                      <w:tr w:rsidR="003C2F53" w:rsidRPr="00E11EEC" w14:paraId="14CF58B6" w14:textId="77777777" w:rsidTr="000E7471">
                        <w:trPr>
                          <w:trHeight w:val="204"/>
                        </w:trPr>
                        <w:tc>
                          <w:tcPr>
                            <w:tcW w:w="1991" w:type="pct"/>
                            <w:tcBorders>
                              <w:top w:val="nil"/>
                              <w:left w:val="nil"/>
                              <w:bottom w:val="nil"/>
                              <w:right w:val="nil"/>
                            </w:tcBorders>
                            <w:noWrap/>
                            <w:hideMark/>
                          </w:tcPr>
                          <w:p w14:paraId="11A7826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Total Debt/(EBITDA-CAPEX)</w:t>
                            </w:r>
                          </w:p>
                        </w:tc>
                        <w:tc>
                          <w:tcPr>
                            <w:tcW w:w="485" w:type="pct"/>
                            <w:tcBorders>
                              <w:top w:val="nil"/>
                              <w:left w:val="nil"/>
                              <w:bottom w:val="nil"/>
                              <w:right w:val="nil"/>
                            </w:tcBorders>
                            <w:hideMark/>
                          </w:tcPr>
                          <w:p w14:paraId="6243A9B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2.9x</w:t>
                            </w:r>
                          </w:p>
                        </w:tc>
                        <w:tc>
                          <w:tcPr>
                            <w:tcW w:w="485" w:type="pct"/>
                            <w:tcBorders>
                              <w:top w:val="nil"/>
                              <w:left w:val="nil"/>
                              <w:bottom w:val="nil"/>
                              <w:right w:val="nil"/>
                            </w:tcBorders>
                            <w:hideMark/>
                          </w:tcPr>
                          <w:p w14:paraId="58D31066"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2.4x</w:t>
                            </w:r>
                          </w:p>
                        </w:tc>
                        <w:tc>
                          <w:tcPr>
                            <w:tcW w:w="485" w:type="pct"/>
                            <w:tcBorders>
                              <w:top w:val="nil"/>
                              <w:left w:val="nil"/>
                              <w:bottom w:val="nil"/>
                              <w:right w:val="nil"/>
                            </w:tcBorders>
                            <w:hideMark/>
                          </w:tcPr>
                          <w:p w14:paraId="3428EC0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2.2x</w:t>
                            </w:r>
                          </w:p>
                        </w:tc>
                        <w:tc>
                          <w:tcPr>
                            <w:tcW w:w="485" w:type="pct"/>
                            <w:tcBorders>
                              <w:top w:val="nil"/>
                              <w:left w:val="nil"/>
                              <w:bottom w:val="nil"/>
                              <w:right w:val="nil"/>
                            </w:tcBorders>
                            <w:hideMark/>
                          </w:tcPr>
                          <w:p w14:paraId="20F298C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2.8x</w:t>
                            </w:r>
                          </w:p>
                        </w:tc>
                        <w:tc>
                          <w:tcPr>
                            <w:tcW w:w="485" w:type="pct"/>
                            <w:tcBorders>
                              <w:top w:val="nil"/>
                              <w:left w:val="nil"/>
                              <w:bottom w:val="nil"/>
                              <w:right w:val="nil"/>
                            </w:tcBorders>
                            <w:hideMark/>
                          </w:tcPr>
                          <w:p w14:paraId="15DB45BD"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2.9x</w:t>
                            </w:r>
                          </w:p>
                        </w:tc>
                        <w:tc>
                          <w:tcPr>
                            <w:tcW w:w="585" w:type="pct"/>
                            <w:tcBorders>
                              <w:top w:val="nil"/>
                              <w:left w:val="nil"/>
                              <w:bottom w:val="nil"/>
                              <w:right w:val="nil"/>
                            </w:tcBorders>
                            <w:hideMark/>
                          </w:tcPr>
                          <w:p w14:paraId="180F0F6C"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2.7x</w:t>
                            </w:r>
                          </w:p>
                        </w:tc>
                      </w:tr>
                      <w:tr w:rsidR="003C2F53" w:rsidRPr="00E11EEC" w14:paraId="68923E12" w14:textId="77777777" w:rsidTr="000E7471">
                        <w:trPr>
                          <w:trHeight w:val="204"/>
                        </w:trPr>
                        <w:tc>
                          <w:tcPr>
                            <w:tcW w:w="1991" w:type="pct"/>
                            <w:tcBorders>
                              <w:top w:val="nil"/>
                              <w:left w:val="nil"/>
                              <w:bottom w:val="nil"/>
                              <w:right w:val="nil"/>
                            </w:tcBorders>
                            <w:noWrap/>
                            <w:hideMark/>
                          </w:tcPr>
                          <w:p w14:paraId="718AF39D"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Net Debt/(EBITDA-CAPEX)</w:t>
                            </w:r>
                          </w:p>
                        </w:tc>
                        <w:tc>
                          <w:tcPr>
                            <w:tcW w:w="485" w:type="pct"/>
                            <w:tcBorders>
                              <w:top w:val="nil"/>
                              <w:left w:val="nil"/>
                              <w:bottom w:val="nil"/>
                              <w:right w:val="nil"/>
                            </w:tcBorders>
                            <w:hideMark/>
                          </w:tcPr>
                          <w:p w14:paraId="7AB0C26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485" w:type="pct"/>
                            <w:tcBorders>
                              <w:top w:val="nil"/>
                              <w:left w:val="nil"/>
                              <w:bottom w:val="nil"/>
                              <w:right w:val="nil"/>
                            </w:tcBorders>
                            <w:hideMark/>
                          </w:tcPr>
                          <w:p w14:paraId="6A1EA057"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1.7x</w:t>
                            </w:r>
                          </w:p>
                        </w:tc>
                        <w:tc>
                          <w:tcPr>
                            <w:tcW w:w="485" w:type="pct"/>
                            <w:tcBorders>
                              <w:top w:val="nil"/>
                              <w:left w:val="nil"/>
                              <w:bottom w:val="nil"/>
                              <w:right w:val="nil"/>
                            </w:tcBorders>
                            <w:hideMark/>
                          </w:tcPr>
                          <w:p w14:paraId="33FA08FE"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1.6x</w:t>
                            </w:r>
                          </w:p>
                        </w:tc>
                        <w:tc>
                          <w:tcPr>
                            <w:tcW w:w="485" w:type="pct"/>
                            <w:tcBorders>
                              <w:top w:val="nil"/>
                              <w:left w:val="nil"/>
                              <w:bottom w:val="nil"/>
                              <w:right w:val="nil"/>
                            </w:tcBorders>
                            <w:hideMark/>
                          </w:tcPr>
                          <w:p w14:paraId="1A37B48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2.4x</w:t>
                            </w:r>
                          </w:p>
                        </w:tc>
                        <w:tc>
                          <w:tcPr>
                            <w:tcW w:w="485" w:type="pct"/>
                            <w:tcBorders>
                              <w:top w:val="nil"/>
                              <w:left w:val="nil"/>
                              <w:bottom w:val="nil"/>
                              <w:right w:val="nil"/>
                            </w:tcBorders>
                            <w:hideMark/>
                          </w:tcPr>
                          <w:p w14:paraId="6615074A"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2.5x</w:t>
                            </w:r>
                          </w:p>
                        </w:tc>
                        <w:tc>
                          <w:tcPr>
                            <w:tcW w:w="585" w:type="pct"/>
                            <w:tcBorders>
                              <w:top w:val="nil"/>
                              <w:left w:val="nil"/>
                              <w:bottom w:val="nil"/>
                              <w:right w:val="nil"/>
                            </w:tcBorders>
                            <w:hideMark/>
                          </w:tcPr>
                          <w:p w14:paraId="4FC58BD5"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2.3x</w:t>
                            </w:r>
                          </w:p>
                        </w:tc>
                      </w:tr>
                      <w:tr w:rsidR="003C2F53" w:rsidRPr="00E11EEC" w14:paraId="5099A06C" w14:textId="77777777" w:rsidTr="000E7471">
                        <w:trPr>
                          <w:trHeight w:val="204"/>
                        </w:trPr>
                        <w:tc>
                          <w:tcPr>
                            <w:tcW w:w="1991" w:type="pct"/>
                            <w:tcBorders>
                              <w:top w:val="nil"/>
                              <w:left w:val="nil"/>
                              <w:bottom w:val="nil"/>
                              <w:right w:val="nil"/>
                            </w:tcBorders>
                            <w:noWrap/>
                            <w:hideMark/>
                          </w:tcPr>
                          <w:p w14:paraId="4D64349F" w14:textId="77777777" w:rsidR="00E67059" w:rsidRPr="00E67059" w:rsidRDefault="00E67059" w:rsidP="00E67059">
                            <w:pPr>
                              <w:spacing w:after="0" w:line="240" w:lineRule="auto"/>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Altman Z Score</w:t>
                            </w:r>
                          </w:p>
                        </w:tc>
                        <w:tc>
                          <w:tcPr>
                            <w:tcW w:w="485" w:type="pct"/>
                            <w:tcBorders>
                              <w:top w:val="nil"/>
                              <w:left w:val="nil"/>
                              <w:bottom w:val="nil"/>
                              <w:right w:val="nil"/>
                            </w:tcBorders>
                            <w:hideMark/>
                          </w:tcPr>
                          <w:p w14:paraId="184389D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4.15 </w:t>
                            </w:r>
                          </w:p>
                        </w:tc>
                        <w:tc>
                          <w:tcPr>
                            <w:tcW w:w="485" w:type="pct"/>
                            <w:tcBorders>
                              <w:top w:val="nil"/>
                              <w:left w:val="nil"/>
                              <w:bottom w:val="nil"/>
                              <w:right w:val="nil"/>
                            </w:tcBorders>
                            <w:hideMark/>
                          </w:tcPr>
                          <w:p w14:paraId="720AA010"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4.35 </w:t>
                            </w:r>
                          </w:p>
                        </w:tc>
                        <w:tc>
                          <w:tcPr>
                            <w:tcW w:w="485" w:type="pct"/>
                            <w:tcBorders>
                              <w:top w:val="nil"/>
                              <w:left w:val="nil"/>
                              <w:bottom w:val="nil"/>
                              <w:right w:val="nil"/>
                            </w:tcBorders>
                            <w:hideMark/>
                          </w:tcPr>
                          <w:p w14:paraId="1CAB8C29"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4.71 </w:t>
                            </w:r>
                          </w:p>
                        </w:tc>
                        <w:tc>
                          <w:tcPr>
                            <w:tcW w:w="485" w:type="pct"/>
                            <w:tcBorders>
                              <w:top w:val="nil"/>
                              <w:left w:val="nil"/>
                              <w:bottom w:val="nil"/>
                              <w:right w:val="nil"/>
                            </w:tcBorders>
                            <w:hideMark/>
                          </w:tcPr>
                          <w:p w14:paraId="7C2CCE98"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4.67 </w:t>
                            </w:r>
                          </w:p>
                        </w:tc>
                        <w:tc>
                          <w:tcPr>
                            <w:tcW w:w="485" w:type="pct"/>
                            <w:tcBorders>
                              <w:top w:val="nil"/>
                              <w:left w:val="nil"/>
                              <w:bottom w:val="nil"/>
                              <w:right w:val="nil"/>
                            </w:tcBorders>
                            <w:hideMark/>
                          </w:tcPr>
                          <w:p w14:paraId="5DFE84EB"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4.89 </w:t>
                            </w:r>
                          </w:p>
                        </w:tc>
                        <w:tc>
                          <w:tcPr>
                            <w:tcW w:w="585" w:type="pct"/>
                            <w:tcBorders>
                              <w:top w:val="nil"/>
                              <w:left w:val="nil"/>
                              <w:bottom w:val="nil"/>
                              <w:right w:val="nil"/>
                            </w:tcBorders>
                            <w:hideMark/>
                          </w:tcPr>
                          <w:p w14:paraId="083E1433" w14:textId="77777777" w:rsidR="00E67059" w:rsidRPr="00E67059" w:rsidRDefault="00E67059" w:rsidP="00E67059">
                            <w:pPr>
                              <w:spacing w:after="0" w:line="240" w:lineRule="auto"/>
                              <w:jc w:val="right"/>
                              <w:rPr>
                                <w:rFonts w:ascii="Cambria" w:eastAsia="Times New Roman" w:hAnsi="Cambria" w:cs="Arial"/>
                                <w:color w:val="000000"/>
                                <w:kern w:val="0"/>
                                <w:sz w:val="14"/>
                                <w:szCs w:val="14"/>
                                <w:lang w:eastAsia="en-IN"/>
                                <w14:ligatures w14:val="none"/>
                              </w:rPr>
                            </w:pPr>
                            <w:r w:rsidRPr="00E67059">
                              <w:rPr>
                                <w:rFonts w:ascii="Cambria" w:eastAsia="Times New Roman" w:hAnsi="Cambria" w:cs="Arial"/>
                                <w:color w:val="000000"/>
                                <w:kern w:val="0"/>
                                <w:sz w:val="14"/>
                                <w:szCs w:val="14"/>
                                <w:lang w:eastAsia="en-IN"/>
                                <w14:ligatures w14:val="none"/>
                              </w:rPr>
                              <w:t xml:space="preserve">                     5.61 </w:t>
                            </w:r>
                          </w:p>
                        </w:tc>
                      </w:tr>
                    </w:tbl>
                    <w:p w14:paraId="5E5D264F" w14:textId="63C300A4" w:rsidR="00E67059" w:rsidRDefault="00E67059"/>
                  </w:txbxContent>
                </v:textbox>
                <w10:wrap type="square" anchorx="margin"/>
              </v:shape>
            </w:pict>
          </mc:Fallback>
        </mc:AlternateContent>
      </w:r>
      <w:r w:rsidR="003831A2" w:rsidRPr="00456405">
        <w:rPr>
          <w:rFonts w:ascii="Cambria" w:hAnsi="Cambria"/>
          <w:b/>
          <w:bCs/>
          <w:sz w:val="24"/>
          <w:szCs w:val="24"/>
        </w:rPr>
        <w:t>Appendix</w:t>
      </w:r>
      <w:r w:rsidR="003831A2" w:rsidRPr="00456405">
        <w:rPr>
          <w:rFonts w:ascii="Cambria" w:hAnsi="Cambria"/>
          <w:b/>
          <w:bCs/>
          <w:sz w:val="24"/>
          <w:szCs w:val="24"/>
        </w:rPr>
        <w:tab/>
      </w:r>
      <w:r w:rsidR="003831A2" w:rsidRPr="00456405">
        <w:rPr>
          <w:rFonts w:ascii="Cambria" w:hAnsi="Cambria"/>
          <w:b/>
          <w:bCs/>
          <w:sz w:val="24"/>
          <w:szCs w:val="24"/>
        </w:rPr>
        <w:br/>
      </w:r>
      <w:r w:rsidR="003831A2" w:rsidRPr="00456405">
        <w:rPr>
          <w:rFonts w:ascii="Cambria" w:hAnsi="Cambria"/>
          <w:b/>
          <w:bCs/>
          <w:sz w:val="24"/>
          <w:szCs w:val="24"/>
        </w:rPr>
        <w:br/>
      </w:r>
      <w:r w:rsidR="003831A2"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0E7471" w:rsidRPr="00456405">
        <w:rPr>
          <w:rFonts w:ascii="Cambria" w:hAnsi="Cambria"/>
          <w:b/>
          <w:bCs/>
          <w:sz w:val="24"/>
          <w:szCs w:val="24"/>
        </w:rPr>
        <w:br/>
      </w:r>
      <w:r w:rsidR="0014207C" w:rsidRPr="00456405">
        <w:rPr>
          <w:rFonts w:ascii="Cambria" w:hAnsi="Cambria"/>
          <w:b/>
          <w:bCs/>
          <w:noProof/>
          <w:sz w:val="24"/>
          <w:szCs w:val="24"/>
        </w:rPr>
        <w:lastRenderedPageBreak/>
        <mc:AlternateContent>
          <mc:Choice Requires="wps">
            <w:drawing>
              <wp:anchor distT="45720" distB="45720" distL="114300" distR="114300" simplePos="0" relativeHeight="251706368" behindDoc="0" locked="0" layoutInCell="1" allowOverlap="1" wp14:anchorId="04F9B83C" wp14:editId="15602185">
                <wp:simplePos x="0" y="0"/>
                <wp:positionH relativeFrom="margin">
                  <wp:align>right</wp:align>
                </wp:positionH>
                <wp:positionV relativeFrom="paragraph">
                  <wp:posOffset>0</wp:posOffset>
                </wp:positionV>
                <wp:extent cx="6172200" cy="8915400"/>
                <wp:effectExtent l="0" t="0" r="0" b="0"/>
                <wp:wrapSquare wrapText="bothSides"/>
                <wp:docPr id="1943077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0"/>
                        </a:xfrm>
                        <a:prstGeom prst="rect">
                          <a:avLst/>
                        </a:prstGeom>
                        <a:noFill/>
                        <a:ln w="9525">
                          <a:noFill/>
                          <a:miter lim="800000"/>
                          <a:headEnd/>
                          <a:tailEnd/>
                        </a:ln>
                      </wps:spPr>
                      <wps:txbx>
                        <w:txbxContent>
                          <w:tbl>
                            <w:tblPr>
                              <w:tblW w:w="8997" w:type="dxa"/>
                              <w:tblLook w:val="04A0" w:firstRow="1" w:lastRow="0" w:firstColumn="1" w:lastColumn="0" w:noHBand="0" w:noVBand="1"/>
                            </w:tblPr>
                            <w:tblGrid>
                              <w:gridCol w:w="2900"/>
                              <w:gridCol w:w="980"/>
                              <w:gridCol w:w="1097"/>
                              <w:gridCol w:w="980"/>
                              <w:gridCol w:w="980"/>
                              <w:gridCol w:w="980"/>
                              <w:gridCol w:w="1080"/>
                            </w:tblGrid>
                            <w:tr w:rsidR="0014207C" w:rsidRPr="0014207C" w14:paraId="1A4BA3BE" w14:textId="77777777" w:rsidTr="0014207C">
                              <w:trPr>
                                <w:trHeight w:val="204"/>
                              </w:trPr>
                              <w:tc>
                                <w:tcPr>
                                  <w:tcW w:w="4977" w:type="dxa"/>
                                  <w:gridSpan w:val="3"/>
                                  <w:tcBorders>
                                    <w:top w:val="nil"/>
                                    <w:left w:val="nil"/>
                                    <w:bottom w:val="nil"/>
                                    <w:right w:val="nil"/>
                                  </w:tcBorders>
                                  <w:noWrap/>
                                  <w:vAlign w:val="bottom"/>
                                  <w:hideMark/>
                                </w:tcPr>
                                <w:p w14:paraId="47A8C7B1"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Walmart Inc. (</w:t>
                                  </w:r>
                                  <w:r w:rsidRPr="0014207C">
                                    <w:rPr>
                                      <w:rFonts w:ascii="Cambria" w:eastAsia="Times New Roman" w:hAnsi="Cambria" w:cs="Arial"/>
                                      <w:b/>
                                      <w:bCs/>
                                      <w:color w:val="000000"/>
                                      <w:kern w:val="0"/>
                                      <w:sz w:val="14"/>
                                      <w:szCs w:val="14"/>
                                      <w:lang w:eastAsia="en-IN"/>
                                      <w14:ligatures w14:val="none"/>
                                    </w:rPr>
                                    <w:t>NYSE:WMT) &gt; Financials &gt; Income Statement</w:t>
                                  </w:r>
                                </w:p>
                              </w:tc>
                              <w:tc>
                                <w:tcPr>
                                  <w:tcW w:w="980" w:type="dxa"/>
                                  <w:tcBorders>
                                    <w:top w:val="nil"/>
                                    <w:left w:val="nil"/>
                                    <w:bottom w:val="nil"/>
                                    <w:right w:val="nil"/>
                                  </w:tcBorders>
                                  <w:noWrap/>
                                  <w:vAlign w:val="bottom"/>
                                  <w:hideMark/>
                                </w:tcPr>
                                <w:p w14:paraId="3101ADE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980" w:type="dxa"/>
                                  <w:tcBorders>
                                    <w:top w:val="nil"/>
                                    <w:left w:val="nil"/>
                                    <w:bottom w:val="nil"/>
                                    <w:right w:val="nil"/>
                                  </w:tcBorders>
                                  <w:noWrap/>
                                  <w:vAlign w:val="bottom"/>
                                  <w:hideMark/>
                                </w:tcPr>
                                <w:p w14:paraId="2879B0F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vAlign w:val="bottom"/>
                                  <w:hideMark/>
                                </w:tcPr>
                                <w:p w14:paraId="5F86CE1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vAlign w:val="bottom"/>
                                  <w:hideMark/>
                                </w:tcPr>
                                <w:p w14:paraId="519D4AC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7F26B7C3" w14:textId="77777777" w:rsidTr="0014207C">
                              <w:trPr>
                                <w:trHeight w:val="204"/>
                              </w:trPr>
                              <w:tc>
                                <w:tcPr>
                                  <w:tcW w:w="2900" w:type="dxa"/>
                                  <w:tcBorders>
                                    <w:top w:val="nil"/>
                                    <w:left w:val="nil"/>
                                    <w:bottom w:val="nil"/>
                                    <w:right w:val="nil"/>
                                  </w:tcBorders>
                                  <w:shd w:val="clear" w:color="000000" w:fill="003366"/>
                                  <w:noWrap/>
                                  <w:vAlign w:val="bottom"/>
                                  <w:hideMark/>
                                </w:tcPr>
                                <w:p w14:paraId="62D580DF"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Income Statement</w:t>
                                  </w:r>
                                </w:p>
                              </w:tc>
                              <w:tc>
                                <w:tcPr>
                                  <w:tcW w:w="980" w:type="dxa"/>
                                  <w:tcBorders>
                                    <w:top w:val="nil"/>
                                    <w:left w:val="nil"/>
                                    <w:bottom w:val="nil"/>
                                    <w:right w:val="nil"/>
                                  </w:tcBorders>
                                  <w:shd w:val="clear" w:color="000000" w:fill="003366"/>
                                  <w:noWrap/>
                                  <w:vAlign w:val="bottom"/>
                                  <w:hideMark/>
                                </w:tcPr>
                                <w:p w14:paraId="33BDC47A"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1097" w:type="dxa"/>
                                  <w:tcBorders>
                                    <w:top w:val="nil"/>
                                    <w:left w:val="nil"/>
                                    <w:bottom w:val="nil"/>
                                    <w:right w:val="nil"/>
                                  </w:tcBorders>
                                  <w:shd w:val="clear" w:color="000000" w:fill="003366"/>
                                  <w:noWrap/>
                                  <w:vAlign w:val="bottom"/>
                                  <w:hideMark/>
                                </w:tcPr>
                                <w:p w14:paraId="12275184"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96EFC97"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1DCD2D9"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F9185D5"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1080" w:type="dxa"/>
                                  <w:tcBorders>
                                    <w:top w:val="nil"/>
                                    <w:left w:val="nil"/>
                                    <w:bottom w:val="nil"/>
                                    <w:right w:val="nil"/>
                                  </w:tcBorders>
                                  <w:shd w:val="clear" w:color="000000" w:fill="003366"/>
                                  <w:noWrap/>
                                  <w:vAlign w:val="bottom"/>
                                  <w:hideMark/>
                                </w:tcPr>
                                <w:p w14:paraId="5CC7FC4B"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r>
                            <w:tr w:rsidR="0014207C" w:rsidRPr="0014207C" w14:paraId="42A36C0A" w14:textId="77777777" w:rsidTr="0014207C">
                              <w:trPr>
                                <w:trHeight w:val="612"/>
                              </w:trPr>
                              <w:tc>
                                <w:tcPr>
                                  <w:tcW w:w="2900" w:type="dxa"/>
                                  <w:tcBorders>
                                    <w:top w:val="nil"/>
                                    <w:left w:val="nil"/>
                                    <w:bottom w:val="nil"/>
                                    <w:right w:val="nil"/>
                                  </w:tcBorders>
                                  <w:shd w:val="clear" w:color="000000" w:fill="F0F0DC"/>
                                  <w:vAlign w:val="bottom"/>
                                  <w:hideMark/>
                                </w:tcPr>
                                <w:p w14:paraId="0B64B0F9"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For the Fiscal Period Ending</w:t>
                                  </w:r>
                                </w:p>
                              </w:tc>
                              <w:tc>
                                <w:tcPr>
                                  <w:tcW w:w="980" w:type="dxa"/>
                                  <w:tcBorders>
                                    <w:top w:val="nil"/>
                                    <w:left w:val="nil"/>
                                    <w:bottom w:val="nil"/>
                                    <w:right w:val="nil"/>
                                  </w:tcBorders>
                                  <w:shd w:val="clear" w:color="000000" w:fill="F0F0DC"/>
                                  <w:vAlign w:val="bottom"/>
                                  <w:hideMark/>
                                </w:tcPr>
                                <w:p w14:paraId="30E6011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Jan-31-2020</w:t>
                                  </w:r>
                                </w:p>
                              </w:tc>
                              <w:tc>
                                <w:tcPr>
                                  <w:tcW w:w="1097" w:type="dxa"/>
                                  <w:tcBorders>
                                    <w:top w:val="nil"/>
                                    <w:left w:val="nil"/>
                                    <w:bottom w:val="nil"/>
                                    <w:right w:val="nil"/>
                                  </w:tcBorders>
                                  <w:shd w:val="clear" w:color="000000" w:fill="F0F0DC"/>
                                  <w:vAlign w:val="bottom"/>
                                  <w:hideMark/>
                                </w:tcPr>
                                <w:p w14:paraId="02C5D2B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Reclassified</w:t>
                                  </w:r>
                                  <w:r w:rsidRPr="0014207C">
                                    <w:rPr>
                                      <w:rFonts w:ascii="Cambria" w:eastAsia="Times New Roman" w:hAnsi="Cambria" w:cs="Arial"/>
                                      <w:b/>
                                      <w:bCs/>
                                      <w:color w:val="000000"/>
                                      <w:kern w:val="0"/>
                                      <w:sz w:val="14"/>
                                      <w:szCs w:val="14"/>
                                      <w:lang w:eastAsia="en-IN"/>
                                      <w14:ligatures w14:val="none"/>
                                    </w:rPr>
                                    <w:br/>
                                    <w:t>12 months</w:t>
                                  </w:r>
                                  <w:r w:rsidRPr="0014207C">
                                    <w:rPr>
                                      <w:rFonts w:ascii="Cambria" w:eastAsia="Times New Roman" w:hAnsi="Cambria" w:cs="Arial"/>
                                      <w:b/>
                                      <w:bCs/>
                                      <w:color w:val="000000"/>
                                      <w:kern w:val="0"/>
                                      <w:sz w:val="14"/>
                                      <w:szCs w:val="14"/>
                                      <w:lang w:eastAsia="en-IN"/>
                                      <w14:ligatures w14:val="none"/>
                                    </w:rPr>
                                    <w:br/>
                                    <w:t>Jan-31-2021</w:t>
                                  </w:r>
                                </w:p>
                              </w:tc>
                              <w:tc>
                                <w:tcPr>
                                  <w:tcW w:w="980" w:type="dxa"/>
                                  <w:tcBorders>
                                    <w:top w:val="nil"/>
                                    <w:left w:val="nil"/>
                                    <w:bottom w:val="nil"/>
                                    <w:right w:val="nil"/>
                                  </w:tcBorders>
                                  <w:shd w:val="clear" w:color="000000" w:fill="F0F0DC"/>
                                  <w:vAlign w:val="bottom"/>
                                  <w:hideMark/>
                                </w:tcPr>
                                <w:p w14:paraId="7A32534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Jan-31-2022</w:t>
                                  </w:r>
                                </w:p>
                              </w:tc>
                              <w:tc>
                                <w:tcPr>
                                  <w:tcW w:w="980" w:type="dxa"/>
                                  <w:tcBorders>
                                    <w:top w:val="nil"/>
                                    <w:left w:val="nil"/>
                                    <w:bottom w:val="nil"/>
                                    <w:right w:val="nil"/>
                                  </w:tcBorders>
                                  <w:shd w:val="clear" w:color="000000" w:fill="F0F0DC"/>
                                  <w:vAlign w:val="bottom"/>
                                  <w:hideMark/>
                                </w:tcPr>
                                <w:p w14:paraId="77B1DAF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Jan-31-2023</w:t>
                                  </w:r>
                                </w:p>
                              </w:tc>
                              <w:tc>
                                <w:tcPr>
                                  <w:tcW w:w="980" w:type="dxa"/>
                                  <w:tcBorders>
                                    <w:top w:val="nil"/>
                                    <w:left w:val="nil"/>
                                    <w:bottom w:val="nil"/>
                                    <w:right w:val="nil"/>
                                  </w:tcBorders>
                                  <w:shd w:val="clear" w:color="000000" w:fill="F0F0DC"/>
                                  <w:vAlign w:val="bottom"/>
                                  <w:hideMark/>
                                </w:tcPr>
                                <w:p w14:paraId="7D29C5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Jan-31-2024</w:t>
                                  </w:r>
                                </w:p>
                              </w:tc>
                              <w:tc>
                                <w:tcPr>
                                  <w:tcW w:w="1080" w:type="dxa"/>
                                  <w:tcBorders>
                                    <w:top w:val="nil"/>
                                    <w:left w:val="nil"/>
                                    <w:bottom w:val="nil"/>
                                    <w:right w:val="nil"/>
                                  </w:tcBorders>
                                  <w:shd w:val="clear" w:color="000000" w:fill="F0F0DC"/>
                                  <w:vAlign w:val="bottom"/>
                                  <w:hideMark/>
                                </w:tcPr>
                                <w:p w14:paraId="4697A50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Press Release</w:t>
                                  </w:r>
                                  <w:r w:rsidRPr="0014207C">
                                    <w:rPr>
                                      <w:rFonts w:ascii="Cambria" w:eastAsia="Times New Roman" w:hAnsi="Cambria" w:cs="Arial"/>
                                      <w:b/>
                                      <w:bCs/>
                                      <w:color w:val="000000"/>
                                      <w:kern w:val="0"/>
                                      <w:sz w:val="14"/>
                                      <w:szCs w:val="14"/>
                                      <w:lang w:eastAsia="en-IN"/>
                                      <w14:ligatures w14:val="none"/>
                                    </w:rPr>
                                    <w:br/>
                                    <w:t>12 months</w:t>
                                  </w:r>
                                  <w:r w:rsidRPr="0014207C">
                                    <w:rPr>
                                      <w:rFonts w:ascii="Cambria" w:eastAsia="Times New Roman" w:hAnsi="Cambria" w:cs="Arial"/>
                                      <w:b/>
                                      <w:bCs/>
                                      <w:color w:val="000000"/>
                                      <w:kern w:val="0"/>
                                      <w:sz w:val="14"/>
                                      <w:szCs w:val="14"/>
                                      <w:lang w:eastAsia="en-IN"/>
                                      <w14:ligatures w14:val="none"/>
                                    </w:rPr>
                                    <w:br/>
                                    <w:t>Jan-31-2025</w:t>
                                  </w:r>
                                </w:p>
                              </w:tc>
                            </w:tr>
                            <w:tr w:rsidR="0014207C" w:rsidRPr="0014207C" w14:paraId="4B35D7F3" w14:textId="77777777" w:rsidTr="0014207C">
                              <w:trPr>
                                <w:trHeight w:val="204"/>
                              </w:trPr>
                              <w:tc>
                                <w:tcPr>
                                  <w:tcW w:w="2900" w:type="dxa"/>
                                  <w:tcBorders>
                                    <w:top w:val="nil"/>
                                    <w:left w:val="nil"/>
                                    <w:bottom w:val="nil"/>
                                    <w:right w:val="nil"/>
                                  </w:tcBorders>
                                  <w:shd w:val="clear" w:color="000000" w:fill="F0F0DC"/>
                                  <w:vAlign w:val="bottom"/>
                                  <w:hideMark/>
                                </w:tcPr>
                                <w:p w14:paraId="12749BB2" w14:textId="77777777" w:rsidR="0014207C" w:rsidRPr="0014207C" w:rsidRDefault="0014207C" w:rsidP="0014207C">
                                  <w:pPr>
                                    <w:spacing w:after="0" w:line="240" w:lineRule="auto"/>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Currency</w:t>
                                  </w:r>
                                </w:p>
                              </w:tc>
                              <w:tc>
                                <w:tcPr>
                                  <w:tcW w:w="980" w:type="dxa"/>
                                  <w:tcBorders>
                                    <w:top w:val="nil"/>
                                    <w:left w:val="nil"/>
                                    <w:bottom w:val="nil"/>
                                    <w:right w:val="nil"/>
                                  </w:tcBorders>
                                  <w:shd w:val="clear" w:color="000000" w:fill="F0F0DC"/>
                                  <w:vAlign w:val="bottom"/>
                                  <w:hideMark/>
                                </w:tcPr>
                                <w:p w14:paraId="1E85A9E6"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1097" w:type="dxa"/>
                                  <w:tcBorders>
                                    <w:top w:val="nil"/>
                                    <w:left w:val="nil"/>
                                    <w:bottom w:val="nil"/>
                                    <w:right w:val="nil"/>
                                  </w:tcBorders>
                                  <w:shd w:val="clear" w:color="000000" w:fill="F0F0DC"/>
                                  <w:vAlign w:val="bottom"/>
                                  <w:hideMark/>
                                </w:tcPr>
                                <w:p w14:paraId="08D392CE"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37B3AFCB"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036BD91D"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5B74E342"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1080" w:type="dxa"/>
                                  <w:tcBorders>
                                    <w:top w:val="nil"/>
                                    <w:left w:val="nil"/>
                                    <w:bottom w:val="nil"/>
                                    <w:right w:val="nil"/>
                                  </w:tcBorders>
                                  <w:shd w:val="clear" w:color="000000" w:fill="F0F0DC"/>
                                  <w:vAlign w:val="bottom"/>
                                  <w:hideMark/>
                                </w:tcPr>
                                <w:p w14:paraId="2E3F3DE2"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r>
                            <w:tr w:rsidR="0014207C" w:rsidRPr="0014207C" w14:paraId="6B1C5BAC" w14:textId="77777777" w:rsidTr="0014207C">
                              <w:trPr>
                                <w:trHeight w:val="204"/>
                              </w:trPr>
                              <w:tc>
                                <w:tcPr>
                                  <w:tcW w:w="2900" w:type="dxa"/>
                                  <w:tcBorders>
                                    <w:top w:val="nil"/>
                                    <w:left w:val="nil"/>
                                    <w:bottom w:val="nil"/>
                                    <w:right w:val="nil"/>
                                  </w:tcBorders>
                                  <w:noWrap/>
                                  <w:hideMark/>
                                </w:tcPr>
                                <w:p w14:paraId="6BAA5EB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Revenue</w:t>
                                  </w:r>
                                </w:p>
                              </w:tc>
                              <w:tc>
                                <w:tcPr>
                                  <w:tcW w:w="980" w:type="dxa"/>
                                  <w:tcBorders>
                                    <w:top w:val="nil"/>
                                    <w:left w:val="nil"/>
                                    <w:bottom w:val="nil"/>
                                    <w:right w:val="nil"/>
                                  </w:tcBorders>
                                  <w:hideMark/>
                                </w:tcPr>
                                <w:p w14:paraId="020174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523,964.0 </w:t>
                                  </w:r>
                                </w:p>
                              </w:tc>
                              <w:tc>
                                <w:tcPr>
                                  <w:tcW w:w="1097" w:type="dxa"/>
                                  <w:tcBorders>
                                    <w:top w:val="nil"/>
                                    <w:left w:val="nil"/>
                                    <w:bottom w:val="nil"/>
                                    <w:right w:val="nil"/>
                                  </w:tcBorders>
                                  <w:hideMark/>
                                </w:tcPr>
                                <w:p w14:paraId="0CD4500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559,151.0 </w:t>
                                  </w:r>
                                </w:p>
                              </w:tc>
                              <w:tc>
                                <w:tcPr>
                                  <w:tcW w:w="980" w:type="dxa"/>
                                  <w:tcBorders>
                                    <w:top w:val="nil"/>
                                    <w:left w:val="nil"/>
                                    <w:bottom w:val="nil"/>
                                    <w:right w:val="nil"/>
                                  </w:tcBorders>
                                  <w:hideMark/>
                                </w:tcPr>
                                <w:p w14:paraId="480FD6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572,754.0 </w:t>
                                  </w:r>
                                </w:p>
                              </w:tc>
                              <w:tc>
                                <w:tcPr>
                                  <w:tcW w:w="980" w:type="dxa"/>
                                  <w:tcBorders>
                                    <w:top w:val="nil"/>
                                    <w:left w:val="nil"/>
                                    <w:bottom w:val="nil"/>
                                    <w:right w:val="nil"/>
                                  </w:tcBorders>
                                  <w:hideMark/>
                                </w:tcPr>
                                <w:p w14:paraId="2293543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611,289.0 </w:t>
                                  </w:r>
                                </w:p>
                              </w:tc>
                              <w:tc>
                                <w:tcPr>
                                  <w:tcW w:w="980" w:type="dxa"/>
                                  <w:tcBorders>
                                    <w:top w:val="nil"/>
                                    <w:left w:val="nil"/>
                                    <w:bottom w:val="nil"/>
                                    <w:right w:val="nil"/>
                                  </w:tcBorders>
                                  <w:hideMark/>
                                </w:tcPr>
                                <w:p w14:paraId="091329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648,125.0 </w:t>
                                  </w:r>
                                </w:p>
                              </w:tc>
                              <w:tc>
                                <w:tcPr>
                                  <w:tcW w:w="1080" w:type="dxa"/>
                                  <w:tcBorders>
                                    <w:top w:val="nil"/>
                                    <w:left w:val="nil"/>
                                    <w:bottom w:val="nil"/>
                                    <w:right w:val="nil"/>
                                  </w:tcBorders>
                                  <w:hideMark/>
                                </w:tcPr>
                                <w:p w14:paraId="3F34E4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680,985.0 </w:t>
                                  </w:r>
                                </w:p>
                              </w:tc>
                            </w:tr>
                            <w:tr w:rsidR="0014207C" w:rsidRPr="0014207C" w14:paraId="5DEB8BE9" w14:textId="77777777" w:rsidTr="0014207C">
                              <w:trPr>
                                <w:trHeight w:val="204"/>
                              </w:trPr>
                              <w:tc>
                                <w:tcPr>
                                  <w:tcW w:w="2900" w:type="dxa"/>
                                  <w:tcBorders>
                                    <w:top w:val="nil"/>
                                    <w:left w:val="nil"/>
                                    <w:bottom w:val="nil"/>
                                    <w:right w:val="nil"/>
                                  </w:tcBorders>
                                  <w:noWrap/>
                                  <w:hideMark/>
                                </w:tcPr>
                                <w:p w14:paraId="39F5B6B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Revenue</w:t>
                                  </w:r>
                                </w:p>
                              </w:tc>
                              <w:tc>
                                <w:tcPr>
                                  <w:tcW w:w="980" w:type="dxa"/>
                                  <w:tcBorders>
                                    <w:top w:val="nil"/>
                                    <w:left w:val="nil"/>
                                    <w:bottom w:val="nil"/>
                                    <w:right w:val="nil"/>
                                  </w:tcBorders>
                                  <w:hideMark/>
                                </w:tcPr>
                                <w:p w14:paraId="2270682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4D592EF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716B581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E1EC0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CC7C75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57366C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1F54A07" w14:textId="77777777" w:rsidTr="0014207C">
                              <w:trPr>
                                <w:trHeight w:val="204"/>
                              </w:trPr>
                              <w:tc>
                                <w:tcPr>
                                  <w:tcW w:w="2900" w:type="dxa"/>
                                  <w:tcBorders>
                                    <w:top w:val="nil"/>
                                    <w:left w:val="nil"/>
                                    <w:bottom w:val="nil"/>
                                    <w:right w:val="nil"/>
                                  </w:tcBorders>
                                  <w:noWrap/>
                                  <w:hideMark/>
                                </w:tcPr>
                                <w:p w14:paraId="30634775"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Revenue</w:t>
                                  </w:r>
                                </w:p>
                              </w:tc>
                              <w:tc>
                                <w:tcPr>
                                  <w:tcW w:w="980" w:type="dxa"/>
                                  <w:tcBorders>
                                    <w:top w:val="single" w:sz="4" w:space="0" w:color="000000"/>
                                    <w:left w:val="nil"/>
                                    <w:bottom w:val="nil"/>
                                    <w:right w:val="nil"/>
                                  </w:tcBorders>
                                  <w:hideMark/>
                                </w:tcPr>
                                <w:p w14:paraId="6BB916D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523,964.0 </w:t>
                                  </w:r>
                                </w:p>
                              </w:tc>
                              <w:tc>
                                <w:tcPr>
                                  <w:tcW w:w="1097" w:type="dxa"/>
                                  <w:tcBorders>
                                    <w:top w:val="single" w:sz="4" w:space="0" w:color="000000"/>
                                    <w:left w:val="nil"/>
                                    <w:bottom w:val="nil"/>
                                    <w:right w:val="nil"/>
                                  </w:tcBorders>
                                  <w:hideMark/>
                                </w:tcPr>
                                <w:p w14:paraId="36AF017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559,151.0 </w:t>
                                  </w:r>
                                </w:p>
                              </w:tc>
                              <w:tc>
                                <w:tcPr>
                                  <w:tcW w:w="980" w:type="dxa"/>
                                  <w:tcBorders>
                                    <w:top w:val="single" w:sz="4" w:space="0" w:color="000000"/>
                                    <w:left w:val="nil"/>
                                    <w:bottom w:val="nil"/>
                                    <w:right w:val="nil"/>
                                  </w:tcBorders>
                                  <w:hideMark/>
                                </w:tcPr>
                                <w:p w14:paraId="72D707E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572,754.0 </w:t>
                                  </w:r>
                                </w:p>
                              </w:tc>
                              <w:tc>
                                <w:tcPr>
                                  <w:tcW w:w="980" w:type="dxa"/>
                                  <w:tcBorders>
                                    <w:top w:val="single" w:sz="4" w:space="0" w:color="000000"/>
                                    <w:left w:val="nil"/>
                                    <w:bottom w:val="nil"/>
                                    <w:right w:val="nil"/>
                                  </w:tcBorders>
                                  <w:hideMark/>
                                </w:tcPr>
                                <w:p w14:paraId="3E57A13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611,289.0 </w:t>
                                  </w:r>
                                </w:p>
                              </w:tc>
                              <w:tc>
                                <w:tcPr>
                                  <w:tcW w:w="980" w:type="dxa"/>
                                  <w:tcBorders>
                                    <w:top w:val="single" w:sz="4" w:space="0" w:color="000000"/>
                                    <w:left w:val="nil"/>
                                    <w:bottom w:val="nil"/>
                                    <w:right w:val="nil"/>
                                  </w:tcBorders>
                                  <w:hideMark/>
                                </w:tcPr>
                                <w:p w14:paraId="42D12CC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648,125.0 </w:t>
                                  </w:r>
                                </w:p>
                              </w:tc>
                              <w:tc>
                                <w:tcPr>
                                  <w:tcW w:w="1080" w:type="dxa"/>
                                  <w:tcBorders>
                                    <w:top w:val="single" w:sz="4" w:space="0" w:color="000000"/>
                                    <w:left w:val="nil"/>
                                    <w:bottom w:val="nil"/>
                                    <w:right w:val="nil"/>
                                  </w:tcBorders>
                                  <w:hideMark/>
                                </w:tcPr>
                                <w:p w14:paraId="6DAF87B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680,985.0 </w:t>
                                  </w:r>
                                </w:p>
                              </w:tc>
                            </w:tr>
                            <w:tr w:rsidR="0014207C" w:rsidRPr="0014207C" w14:paraId="649AACA0" w14:textId="77777777" w:rsidTr="0014207C">
                              <w:trPr>
                                <w:trHeight w:val="204"/>
                              </w:trPr>
                              <w:tc>
                                <w:tcPr>
                                  <w:tcW w:w="2900" w:type="dxa"/>
                                  <w:tcBorders>
                                    <w:top w:val="nil"/>
                                    <w:left w:val="nil"/>
                                    <w:bottom w:val="nil"/>
                                    <w:right w:val="nil"/>
                                  </w:tcBorders>
                                  <w:noWrap/>
                                  <w:hideMark/>
                                </w:tcPr>
                                <w:p w14:paraId="3A258EF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Cost Of Goods Sold</w:t>
                                  </w:r>
                                </w:p>
                              </w:tc>
                              <w:tc>
                                <w:tcPr>
                                  <w:tcW w:w="980" w:type="dxa"/>
                                  <w:tcBorders>
                                    <w:top w:val="nil"/>
                                    <w:left w:val="nil"/>
                                    <w:bottom w:val="nil"/>
                                    <w:right w:val="nil"/>
                                  </w:tcBorders>
                                  <w:hideMark/>
                                </w:tcPr>
                                <w:p w14:paraId="4DEB4C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394,605.0 </w:t>
                                  </w:r>
                                </w:p>
                              </w:tc>
                              <w:tc>
                                <w:tcPr>
                                  <w:tcW w:w="1097" w:type="dxa"/>
                                  <w:tcBorders>
                                    <w:top w:val="nil"/>
                                    <w:left w:val="nil"/>
                                    <w:bottom w:val="nil"/>
                                    <w:right w:val="nil"/>
                                  </w:tcBorders>
                                  <w:hideMark/>
                                </w:tcPr>
                                <w:p w14:paraId="56DC7A9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420,315.0 </w:t>
                                  </w:r>
                                </w:p>
                              </w:tc>
                              <w:tc>
                                <w:tcPr>
                                  <w:tcW w:w="980" w:type="dxa"/>
                                  <w:tcBorders>
                                    <w:top w:val="nil"/>
                                    <w:left w:val="nil"/>
                                    <w:bottom w:val="nil"/>
                                    <w:right w:val="nil"/>
                                  </w:tcBorders>
                                  <w:hideMark/>
                                </w:tcPr>
                                <w:p w14:paraId="635732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429,000.0 </w:t>
                                  </w:r>
                                </w:p>
                              </w:tc>
                              <w:tc>
                                <w:tcPr>
                                  <w:tcW w:w="980" w:type="dxa"/>
                                  <w:tcBorders>
                                    <w:top w:val="nil"/>
                                    <w:left w:val="nil"/>
                                    <w:bottom w:val="nil"/>
                                    <w:right w:val="nil"/>
                                  </w:tcBorders>
                                  <w:hideMark/>
                                </w:tcPr>
                                <w:p w14:paraId="2338E4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463,721.0 </w:t>
                                  </w:r>
                                </w:p>
                              </w:tc>
                              <w:tc>
                                <w:tcPr>
                                  <w:tcW w:w="980" w:type="dxa"/>
                                  <w:tcBorders>
                                    <w:top w:val="nil"/>
                                    <w:left w:val="nil"/>
                                    <w:bottom w:val="nil"/>
                                    <w:right w:val="nil"/>
                                  </w:tcBorders>
                                  <w:hideMark/>
                                </w:tcPr>
                                <w:p w14:paraId="58A26BA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490,142.0 </w:t>
                                  </w:r>
                                </w:p>
                              </w:tc>
                              <w:tc>
                                <w:tcPr>
                                  <w:tcW w:w="1080" w:type="dxa"/>
                                  <w:tcBorders>
                                    <w:top w:val="nil"/>
                                    <w:left w:val="nil"/>
                                    <w:bottom w:val="nil"/>
                                    <w:right w:val="nil"/>
                                  </w:tcBorders>
                                  <w:hideMark/>
                                </w:tcPr>
                                <w:p w14:paraId="6A0889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511,753.0 </w:t>
                                  </w:r>
                                </w:p>
                              </w:tc>
                            </w:tr>
                            <w:tr w:rsidR="0014207C" w:rsidRPr="0014207C" w14:paraId="12D7E4F8" w14:textId="77777777" w:rsidTr="0014207C">
                              <w:trPr>
                                <w:trHeight w:val="204"/>
                              </w:trPr>
                              <w:tc>
                                <w:tcPr>
                                  <w:tcW w:w="2900" w:type="dxa"/>
                                  <w:tcBorders>
                                    <w:top w:val="nil"/>
                                    <w:left w:val="nil"/>
                                    <w:bottom w:val="nil"/>
                                    <w:right w:val="nil"/>
                                  </w:tcBorders>
                                  <w:noWrap/>
                                  <w:hideMark/>
                                </w:tcPr>
                                <w:p w14:paraId="1CDD505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Gross Profit</w:t>
                                  </w:r>
                                </w:p>
                              </w:tc>
                              <w:tc>
                                <w:tcPr>
                                  <w:tcW w:w="980" w:type="dxa"/>
                                  <w:tcBorders>
                                    <w:top w:val="single" w:sz="4" w:space="0" w:color="000000"/>
                                    <w:left w:val="nil"/>
                                    <w:bottom w:val="nil"/>
                                    <w:right w:val="nil"/>
                                  </w:tcBorders>
                                  <w:hideMark/>
                                </w:tcPr>
                                <w:p w14:paraId="715FE7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129,359.0 </w:t>
                                  </w:r>
                                </w:p>
                              </w:tc>
                              <w:tc>
                                <w:tcPr>
                                  <w:tcW w:w="1097" w:type="dxa"/>
                                  <w:tcBorders>
                                    <w:top w:val="single" w:sz="4" w:space="0" w:color="000000"/>
                                    <w:left w:val="nil"/>
                                    <w:bottom w:val="nil"/>
                                    <w:right w:val="nil"/>
                                  </w:tcBorders>
                                  <w:hideMark/>
                                </w:tcPr>
                                <w:p w14:paraId="074AC24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138,836.0 </w:t>
                                  </w:r>
                                </w:p>
                              </w:tc>
                              <w:tc>
                                <w:tcPr>
                                  <w:tcW w:w="980" w:type="dxa"/>
                                  <w:tcBorders>
                                    <w:top w:val="single" w:sz="4" w:space="0" w:color="000000"/>
                                    <w:left w:val="nil"/>
                                    <w:bottom w:val="nil"/>
                                    <w:right w:val="nil"/>
                                  </w:tcBorders>
                                  <w:hideMark/>
                                </w:tcPr>
                                <w:p w14:paraId="5A0B549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143,754.0 </w:t>
                                  </w:r>
                                </w:p>
                              </w:tc>
                              <w:tc>
                                <w:tcPr>
                                  <w:tcW w:w="980" w:type="dxa"/>
                                  <w:tcBorders>
                                    <w:top w:val="single" w:sz="4" w:space="0" w:color="000000"/>
                                    <w:left w:val="nil"/>
                                    <w:bottom w:val="nil"/>
                                    <w:right w:val="nil"/>
                                  </w:tcBorders>
                                  <w:hideMark/>
                                </w:tcPr>
                                <w:p w14:paraId="7FB8ECE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147,568.0 </w:t>
                                  </w:r>
                                </w:p>
                              </w:tc>
                              <w:tc>
                                <w:tcPr>
                                  <w:tcW w:w="980" w:type="dxa"/>
                                  <w:tcBorders>
                                    <w:top w:val="single" w:sz="4" w:space="0" w:color="000000"/>
                                    <w:left w:val="nil"/>
                                    <w:bottom w:val="nil"/>
                                    <w:right w:val="nil"/>
                                  </w:tcBorders>
                                  <w:hideMark/>
                                </w:tcPr>
                                <w:p w14:paraId="746682F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157,983.0 </w:t>
                                  </w:r>
                                </w:p>
                              </w:tc>
                              <w:tc>
                                <w:tcPr>
                                  <w:tcW w:w="1080" w:type="dxa"/>
                                  <w:tcBorders>
                                    <w:top w:val="single" w:sz="4" w:space="0" w:color="000000"/>
                                    <w:left w:val="nil"/>
                                    <w:bottom w:val="nil"/>
                                    <w:right w:val="nil"/>
                                  </w:tcBorders>
                                  <w:hideMark/>
                                </w:tcPr>
                                <w:p w14:paraId="1BBBE89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169,232.0 </w:t>
                                  </w:r>
                                </w:p>
                              </w:tc>
                            </w:tr>
                            <w:tr w:rsidR="0014207C" w:rsidRPr="0014207C" w14:paraId="2F772611" w14:textId="77777777" w:rsidTr="0014207C">
                              <w:trPr>
                                <w:trHeight w:val="204"/>
                              </w:trPr>
                              <w:tc>
                                <w:tcPr>
                                  <w:tcW w:w="2900" w:type="dxa"/>
                                  <w:tcBorders>
                                    <w:top w:val="nil"/>
                                    <w:left w:val="nil"/>
                                    <w:bottom w:val="nil"/>
                                    <w:right w:val="nil"/>
                                  </w:tcBorders>
                                  <w:noWrap/>
                                  <w:hideMark/>
                                </w:tcPr>
                                <w:p w14:paraId="7F77C35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Selling General &amp; Admin Exp.</w:t>
                                  </w:r>
                                </w:p>
                              </w:tc>
                              <w:tc>
                                <w:tcPr>
                                  <w:tcW w:w="980" w:type="dxa"/>
                                  <w:tcBorders>
                                    <w:top w:val="nil"/>
                                    <w:left w:val="nil"/>
                                    <w:bottom w:val="nil"/>
                                    <w:right w:val="nil"/>
                                  </w:tcBorders>
                                  <w:hideMark/>
                                </w:tcPr>
                                <w:p w14:paraId="308D411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107,891.0 </w:t>
                                  </w:r>
                                </w:p>
                              </w:tc>
                              <w:tc>
                                <w:tcPr>
                                  <w:tcW w:w="1097" w:type="dxa"/>
                                  <w:tcBorders>
                                    <w:top w:val="nil"/>
                                    <w:left w:val="nil"/>
                                    <w:bottom w:val="nil"/>
                                    <w:right w:val="nil"/>
                                  </w:tcBorders>
                                  <w:hideMark/>
                                </w:tcPr>
                                <w:p w14:paraId="3605CAA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116,288.0 </w:t>
                                  </w:r>
                                </w:p>
                              </w:tc>
                              <w:tc>
                                <w:tcPr>
                                  <w:tcW w:w="980" w:type="dxa"/>
                                  <w:tcBorders>
                                    <w:top w:val="nil"/>
                                    <w:left w:val="nil"/>
                                    <w:bottom w:val="nil"/>
                                    <w:right w:val="nil"/>
                                  </w:tcBorders>
                                  <w:hideMark/>
                                </w:tcPr>
                                <w:p w14:paraId="173CE3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117,812.0 </w:t>
                                  </w:r>
                                </w:p>
                              </w:tc>
                              <w:tc>
                                <w:tcPr>
                                  <w:tcW w:w="980" w:type="dxa"/>
                                  <w:tcBorders>
                                    <w:top w:val="nil"/>
                                    <w:left w:val="nil"/>
                                    <w:bottom w:val="nil"/>
                                    <w:right w:val="nil"/>
                                  </w:tcBorders>
                                  <w:hideMark/>
                                </w:tcPr>
                                <w:p w14:paraId="15EBD1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123,040.0 </w:t>
                                  </w:r>
                                </w:p>
                              </w:tc>
                              <w:tc>
                                <w:tcPr>
                                  <w:tcW w:w="980" w:type="dxa"/>
                                  <w:tcBorders>
                                    <w:top w:val="nil"/>
                                    <w:left w:val="nil"/>
                                    <w:bottom w:val="nil"/>
                                    <w:right w:val="nil"/>
                                  </w:tcBorders>
                                  <w:hideMark/>
                                </w:tcPr>
                                <w:p w14:paraId="12C6D23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130,971.0 </w:t>
                                  </w:r>
                                </w:p>
                              </w:tc>
                              <w:tc>
                                <w:tcPr>
                                  <w:tcW w:w="1080" w:type="dxa"/>
                                  <w:tcBorders>
                                    <w:top w:val="nil"/>
                                    <w:left w:val="nil"/>
                                    <w:bottom w:val="nil"/>
                                    <w:right w:val="nil"/>
                                  </w:tcBorders>
                                  <w:hideMark/>
                                </w:tcPr>
                                <w:p w14:paraId="707ABB7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139,728.0 </w:t>
                                  </w:r>
                                </w:p>
                              </w:tc>
                            </w:tr>
                            <w:tr w:rsidR="0014207C" w:rsidRPr="0014207C" w14:paraId="5005F2A6" w14:textId="77777777" w:rsidTr="0014207C">
                              <w:trPr>
                                <w:trHeight w:val="204"/>
                              </w:trPr>
                              <w:tc>
                                <w:tcPr>
                                  <w:tcW w:w="2900" w:type="dxa"/>
                                  <w:tcBorders>
                                    <w:top w:val="nil"/>
                                    <w:left w:val="nil"/>
                                    <w:bottom w:val="nil"/>
                                    <w:right w:val="nil"/>
                                  </w:tcBorders>
                                  <w:noWrap/>
                                  <w:hideMark/>
                                </w:tcPr>
                                <w:p w14:paraId="08FC1FA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 &amp; D Exp.</w:t>
                                  </w:r>
                                </w:p>
                              </w:tc>
                              <w:tc>
                                <w:tcPr>
                                  <w:tcW w:w="980" w:type="dxa"/>
                                  <w:tcBorders>
                                    <w:top w:val="nil"/>
                                    <w:left w:val="nil"/>
                                    <w:bottom w:val="nil"/>
                                    <w:right w:val="nil"/>
                                  </w:tcBorders>
                                  <w:hideMark/>
                                </w:tcPr>
                                <w:p w14:paraId="4B5672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4E6BD5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9F428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6C38D9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1BF6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66BF329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5311909" w14:textId="77777777" w:rsidTr="0014207C">
                              <w:trPr>
                                <w:trHeight w:val="204"/>
                              </w:trPr>
                              <w:tc>
                                <w:tcPr>
                                  <w:tcW w:w="2900" w:type="dxa"/>
                                  <w:tcBorders>
                                    <w:top w:val="nil"/>
                                    <w:left w:val="nil"/>
                                    <w:bottom w:val="nil"/>
                                    <w:right w:val="nil"/>
                                  </w:tcBorders>
                                  <w:noWrap/>
                                  <w:hideMark/>
                                </w:tcPr>
                                <w:p w14:paraId="0F3AB1E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Depreciation &amp; Amort.</w:t>
                                  </w:r>
                                </w:p>
                              </w:tc>
                              <w:tc>
                                <w:tcPr>
                                  <w:tcW w:w="980" w:type="dxa"/>
                                  <w:tcBorders>
                                    <w:top w:val="nil"/>
                                    <w:left w:val="nil"/>
                                    <w:bottom w:val="nil"/>
                                    <w:right w:val="nil"/>
                                  </w:tcBorders>
                                  <w:hideMark/>
                                </w:tcPr>
                                <w:p w14:paraId="59C8D9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0945DAC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E7FD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79F9FFC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6D72E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080E3C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3745F801" w14:textId="77777777" w:rsidTr="0014207C">
                              <w:trPr>
                                <w:trHeight w:val="204"/>
                              </w:trPr>
                              <w:tc>
                                <w:tcPr>
                                  <w:tcW w:w="2900" w:type="dxa"/>
                                  <w:tcBorders>
                                    <w:top w:val="nil"/>
                                    <w:left w:val="nil"/>
                                    <w:bottom w:val="nil"/>
                                    <w:right w:val="nil"/>
                                  </w:tcBorders>
                                  <w:noWrap/>
                                  <w:hideMark/>
                                </w:tcPr>
                                <w:p w14:paraId="679A364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Operating Expense/(Income)</w:t>
                                  </w:r>
                                </w:p>
                              </w:tc>
                              <w:tc>
                                <w:tcPr>
                                  <w:tcW w:w="980" w:type="dxa"/>
                                  <w:tcBorders>
                                    <w:top w:val="nil"/>
                                    <w:left w:val="nil"/>
                                    <w:bottom w:val="nil"/>
                                    <w:right w:val="nil"/>
                                  </w:tcBorders>
                                  <w:hideMark/>
                                </w:tcPr>
                                <w:p w14:paraId="22210AA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68A164E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2A7F3E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04437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41B13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7DBC2E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3A9F6E3" w14:textId="77777777" w:rsidTr="0014207C">
                              <w:trPr>
                                <w:trHeight w:val="204"/>
                              </w:trPr>
                              <w:tc>
                                <w:tcPr>
                                  <w:tcW w:w="2900" w:type="dxa"/>
                                  <w:tcBorders>
                                    <w:top w:val="nil"/>
                                    <w:left w:val="nil"/>
                                    <w:bottom w:val="nil"/>
                                    <w:right w:val="nil"/>
                                  </w:tcBorders>
                                  <w:noWrap/>
                                  <w:hideMark/>
                                </w:tcPr>
                                <w:p w14:paraId="12481A4E"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Other Operating Exp., Total</w:t>
                                  </w:r>
                                </w:p>
                              </w:tc>
                              <w:tc>
                                <w:tcPr>
                                  <w:tcW w:w="980" w:type="dxa"/>
                                  <w:tcBorders>
                                    <w:top w:val="single" w:sz="4" w:space="0" w:color="000000"/>
                                    <w:left w:val="nil"/>
                                    <w:bottom w:val="nil"/>
                                    <w:right w:val="nil"/>
                                  </w:tcBorders>
                                  <w:hideMark/>
                                </w:tcPr>
                                <w:p w14:paraId="7325D0F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107,891.0 </w:t>
                                  </w:r>
                                </w:p>
                              </w:tc>
                              <w:tc>
                                <w:tcPr>
                                  <w:tcW w:w="1097" w:type="dxa"/>
                                  <w:tcBorders>
                                    <w:top w:val="single" w:sz="4" w:space="0" w:color="000000"/>
                                    <w:left w:val="nil"/>
                                    <w:bottom w:val="nil"/>
                                    <w:right w:val="nil"/>
                                  </w:tcBorders>
                                  <w:hideMark/>
                                </w:tcPr>
                                <w:p w14:paraId="0CCD86A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116,288.0 </w:t>
                                  </w:r>
                                </w:p>
                              </w:tc>
                              <w:tc>
                                <w:tcPr>
                                  <w:tcW w:w="980" w:type="dxa"/>
                                  <w:tcBorders>
                                    <w:top w:val="single" w:sz="4" w:space="0" w:color="000000"/>
                                    <w:left w:val="nil"/>
                                    <w:bottom w:val="nil"/>
                                    <w:right w:val="nil"/>
                                  </w:tcBorders>
                                  <w:hideMark/>
                                </w:tcPr>
                                <w:p w14:paraId="43B31A5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117,812.0 </w:t>
                                  </w:r>
                                </w:p>
                              </w:tc>
                              <w:tc>
                                <w:tcPr>
                                  <w:tcW w:w="980" w:type="dxa"/>
                                  <w:tcBorders>
                                    <w:top w:val="single" w:sz="4" w:space="0" w:color="000000"/>
                                    <w:left w:val="nil"/>
                                    <w:bottom w:val="nil"/>
                                    <w:right w:val="nil"/>
                                  </w:tcBorders>
                                  <w:hideMark/>
                                </w:tcPr>
                                <w:p w14:paraId="49076B5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123,040.0 </w:t>
                                  </w:r>
                                </w:p>
                              </w:tc>
                              <w:tc>
                                <w:tcPr>
                                  <w:tcW w:w="980" w:type="dxa"/>
                                  <w:tcBorders>
                                    <w:top w:val="single" w:sz="4" w:space="0" w:color="000000"/>
                                    <w:left w:val="nil"/>
                                    <w:bottom w:val="nil"/>
                                    <w:right w:val="nil"/>
                                  </w:tcBorders>
                                  <w:hideMark/>
                                </w:tcPr>
                                <w:p w14:paraId="3CAE486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130,971.0 </w:t>
                                  </w:r>
                                </w:p>
                              </w:tc>
                              <w:tc>
                                <w:tcPr>
                                  <w:tcW w:w="1080" w:type="dxa"/>
                                  <w:tcBorders>
                                    <w:top w:val="single" w:sz="4" w:space="0" w:color="000000"/>
                                    <w:left w:val="nil"/>
                                    <w:bottom w:val="nil"/>
                                    <w:right w:val="nil"/>
                                  </w:tcBorders>
                                  <w:hideMark/>
                                </w:tcPr>
                                <w:p w14:paraId="051CF9D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139,728.0 </w:t>
                                  </w:r>
                                </w:p>
                              </w:tc>
                            </w:tr>
                            <w:tr w:rsidR="0014207C" w:rsidRPr="0014207C" w14:paraId="6BCBE893" w14:textId="77777777" w:rsidTr="0014207C">
                              <w:trPr>
                                <w:trHeight w:val="204"/>
                              </w:trPr>
                              <w:tc>
                                <w:tcPr>
                                  <w:tcW w:w="2900" w:type="dxa"/>
                                  <w:tcBorders>
                                    <w:top w:val="nil"/>
                                    <w:left w:val="nil"/>
                                    <w:bottom w:val="nil"/>
                                    <w:right w:val="nil"/>
                                  </w:tcBorders>
                                  <w:noWrap/>
                                  <w:hideMark/>
                                </w:tcPr>
                                <w:p w14:paraId="6A71425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Operating Income</w:t>
                                  </w:r>
                                </w:p>
                              </w:tc>
                              <w:tc>
                                <w:tcPr>
                                  <w:tcW w:w="980" w:type="dxa"/>
                                  <w:tcBorders>
                                    <w:top w:val="nil"/>
                                    <w:left w:val="nil"/>
                                    <w:bottom w:val="nil"/>
                                    <w:right w:val="nil"/>
                                  </w:tcBorders>
                                  <w:hideMark/>
                                </w:tcPr>
                                <w:p w14:paraId="160C238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6ABBFD4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48EFB98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2FAE114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43D93CA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7FF8185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29,504.0 </w:t>
                                  </w:r>
                                </w:p>
                              </w:tc>
                            </w:tr>
                            <w:tr w:rsidR="0014207C" w:rsidRPr="0014207C" w14:paraId="67C6F536" w14:textId="77777777" w:rsidTr="0014207C">
                              <w:trPr>
                                <w:trHeight w:val="204"/>
                              </w:trPr>
                              <w:tc>
                                <w:tcPr>
                                  <w:tcW w:w="2900" w:type="dxa"/>
                                  <w:tcBorders>
                                    <w:top w:val="nil"/>
                                    <w:left w:val="nil"/>
                                    <w:bottom w:val="nil"/>
                                    <w:right w:val="nil"/>
                                  </w:tcBorders>
                                  <w:noWrap/>
                                  <w:hideMark/>
                                </w:tcPr>
                                <w:p w14:paraId="08A6372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Interest Expense</w:t>
                                  </w:r>
                                </w:p>
                              </w:tc>
                              <w:tc>
                                <w:tcPr>
                                  <w:tcW w:w="980" w:type="dxa"/>
                                  <w:tcBorders>
                                    <w:top w:val="nil"/>
                                    <w:left w:val="nil"/>
                                    <w:bottom w:val="nil"/>
                                    <w:right w:val="nil"/>
                                  </w:tcBorders>
                                  <w:hideMark/>
                                </w:tcPr>
                                <w:p w14:paraId="6B9FA9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(2,599.0)  </w:t>
                                  </w:r>
                                </w:p>
                              </w:tc>
                              <w:tc>
                                <w:tcPr>
                                  <w:tcW w:w="1097" w:type="dxa"/>
                                  <w:tcBorders>
                                    <w:top w:val="nil"/>
                                    <w:left w:val="nil"/>
                                    <w:bottom w:val="nil"/>
                                    <w:right w:val="nil"/>
                                  </w:tcBorders>
                                  <w:hideMark/>
                                </w:tcPr>
                                <w:p w14:paraId="672B84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(2,315.0)  </w:t>
                                  </w:r>
                                </w:p>
                              </w:tc>
                              <w:tc>
                                <w:tcPr>
                                  <w:tcW w:w="980" w:type="dxa"/>
                                  <w:tcBorders>
                                    <w:top w:val="nil"/>
                                    <w:left w:val="nil"/>
                                    <w:bottom w:val="nil"/>
                                    <w:right w:val="nil"/>
                                  </w:tcBorders>
                                  <w:hideMark/>
                                </w:tcPr>
                                <w:p w14:paraId="0B77296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(1,994.0)  </w:t>
                                  </w:r>
                                </w:p>
                              </w:tc>
                              <w:tc>
                                <w:tcPr>
                                  <w:tcW w:w="980" w:type="dxa"/>
                                  <w:tcBorders>
                                    <w:top w:val="nil"/>
                                    <w:left w:val="nil"/>
                                    <w:bottom w:val="nil"/>
                                    <w:right w:val="nil"/>
                                  </w:tcBorders>
                                  <w:hideMark/>
                                </w:tcPr>
                                <w:p w14:paraId="757CB7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(2,128.0)  </w:t>
                                  </w:r>
                                </w:p>
                              </w:tc>
                              <w:tc>
                                <w:tcPr>
                                  <w:tcW w:w="980" w:type="dxa"/>
                                  <w:tcBorders>
                                    <w:top w:val="nil"/>
                                    <w:left w:val="nil"/>
                                    <w:bottom w:val="nil"/>
                                    <w:right w:val="nil"/>
                                  </w:tcBorders>
                                  <w:hideMark/>
                                </w:tcPr>
                                <w:p w14:paraId="4C8B1F5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(2,683.0)  </w:t>
                                  </w:r>
                                </w:p>
                              </w:tc>
                              <w:tc>
                                <w:tcPr>
                                  <w:tcW w:w="1080" w:type="dxa"/>
                                  <w:tcBorders>
                                    <w:top w:val="nil"/>
                                    <w:left w:val="nil"/>
                                    <w:bottom w:val="nil"/>
                                    <w:right w:val="nil"/>
                                  </w:tcBorders>
                                  <w:hideMark/>
                                </w:tcPr>
                                <w:p w14:paraId="103F4F0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(2,728.0)  </w:t>
                                  </w:r>
                                </w:p>
                              </w:tc>
                            </w:tr>
                            <w:tr w:rsidR="0014207C" w:rsidRPr="0014207C" w14:paraId="384295E8" w14:textId="77777777" w:rsidTr="0014207C">
                              <w:trPr>
                                <w:trHeight w:val="204"/>
                              </w:trPr>
                              <w:tc>
                                <w:tcPr>
                                  <w:tcW w:w="2900" w:type="dxa"/>
                                  <w:tcBorders>
                                    <w:top w:val="nil"/>
                                    <w:left w:val="nil"/>
                                    <w:bottom w:val="nil"/>
                                    <w:right w:val="nil"/>
                                  </w:tcBorders>
                                  <w:noWrap/>
                                  <w:hideMark/>
                                </w:tcPr>
                                <w:p w14:paraId="56BA11A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Interest and Invest. Income</w:t>
                                  </w:r>
                                </w:p>
                              </w:tc>
                              <w:tc>
                                <w:tcPr>
                                  <w:tcW w:w="980" w:type="dxa"/>
                                  <w:tcBorders>
                                    <w:top w:val="nil"/>
                                    <w:left w:val="nil"/>
                                    <w:bottom w:val="nil"/>
                                    <w:right w:val="nil"/>
                                  </w:tcBorders>
                                  <w:hideMark/>
                                </w:tcPr>
                                <w:p w14:paraId="3B430E6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189.0 </w:t>
                                  </w:r>
                                </w:p>
                              </w:tc>
                              <w:tc>
                                <w:tcPr>
                                  <w:tcW w:w="1097" w:type="dxa"/>
                                  <w:tcBorders>
                                    <w:top w:val="nil"/>
                                    <w:left w:val="nil"/>
                                    <w:bottom w:val="nil"/>
                                    <w:right w:val="nil"/>
                                  </w:tcBorders>
                                  <w:hideMark/>
                                </w:tcPr>
                                <w:p w14:paraId="168B5E4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121.0 </w:t>
                                  </w:r>
                                </w:p>
                              </w:tc>
                              <w:tc>
                                <w:tcPr>
                                  <w:tcW w:w="980" w:type="dxa"/>
                                  <w:tcBorders>
                                    <w:top w:val="nil"/>
                                    <w:left w:val="nil"/>
                                    <w:bottom w:val="nil"/>
                                    <w:right w:val="nil"/>
                                  </w:tcBorders>
                                  <w:hideMark/>
                                </w:tcPr>
                                <w:p w14:paraId="7BABB4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158.0 </w:t>
                                  </w:r>
                                </w:p>
                              </w:tc>
                              <w:tc>
                                <w:tcPr>
                                  <w:tcW w:w="980" w:type="dxa"/>
                                  <w:tcBorders>
                                    <w:top w:val="nil"/>
                                    <w:left w:val="nil"/>
                                    <w:bottom w:val="nil"/>
                                    <w:right w:val="nil"/>
                                  </w:tcBorders>
                                  <w:hideMark/>
                                </w:tcPr>
                                <w:p w14:paraId="052E4C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454.0 </w:t>
                                  </w:r>
                                </w:p>
                              </w:tc>
                              <w:tc>
                                <w:tcPr>
                                  <w:tcW w:w="980" w:type="dxa"/>
                                  <w:tcBorders>
                                    <w:top w:val="nil"/>
                                    <w:left w:val="nil"/>
                                    <w:bottom w:val="nil"/>
                                    <w:right w:val="nil"/>
                                  </w:tcBorders>
                                  <w:hideMark/>
                                </w:tcPr>
                                <w:p w14:paraId="5C42107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546.0 </w:t>
                                  </w:r>
                                </w:p>
                              </w:tc>
                              <w:tc>
                                <w:tcPr>
                                  <w:tcW w:w="1080" w:type="dxa"/>
                                  <w:tcBorders>
                                    <w:top w:val="nil"/>
                                    <w:left w:val="nil"/>
                                    <w:bottom w:val="nil"/>
                                    <w:right w:val="nil"/>
                                  </w:tcBorders>
                                  <w:hideMark/>
                                </w:tcPr>
                                <w:p w14:paraId="6D7EE5C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483.0 </w:t>
                                  </w:r>
                                </w:p>
                              </w:tc>
                            </w:tr>
                            <w:tr w:rsidR="0014207C" w:rsidRPr="0014207C" w14:paraId="61636D94" w14:textId="77777777" w:rsidTr="0014207C">
                              <w:trPr>
                                <w:trHeight w:val="204"/>
                              </w:trPr>
                              <w:tc>
                                <w:tcPr>
                                  <w:tcW w:w="2900" w:type="dxa"/>
                                  <w:tcBorders>
                                    <w:top w:val="nil"/>
                                    <w:left w:val="nil"/>
                                    <w:bottom w:val="nil"/>
                                    <w:right w:val="nil"/>
                                  </w:tcBorders>
                                  <w:noWrap/>
                                  <w:hideMark/>
                                </w:tcPr>
                                <w:p w14:paraId="6D7DB42E"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Interest Exp.</w:t>
                                  </w:r>
                                </w:p>
                              </w:tc>
                              <w:tc>
                                <w:tcPr>
                                  <w:tcW w:w="980" w:type="dxa"/>
                                  <w:tcBorders>
                                    <w:top w:val="single" w:sz="4" w:space="0" w:color="000000"/>
                                    <w:left w:val="nil"/>
                                    <w:bottom w:val="nil"/>
                                    <w:right w:val="nil"/>
                                  </w:tcBorders>
                                  <w:hideMark/>
                                </w:tcPr>
                                <w:p w14:paraId="0A762CD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(2,410.0)  </w:t>
                                  </w:r>
                                </w:p>
                              </w:tc>
                              <w:tc>
                                <w:tcPr>
                                  <w:tcW w:w="1097" w:type="dxa"/>
                                  <w:tcBorders>
                                    <w:top w:val="single" w:sz="4" w:space="0" w:color="000000"/>
                                    <w:left w:val="nil"/>
                                    <w:bottom w:val="nil"/>
                                    <w:right w:val="nil"/>
                                  </w:tcBorders>
                                  <w:hideMark/>
                                </w:tcPr>
                                <w:p w14:paraId="72A21B2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(2,194.0)  </w:t>
                                  </w:r>
                                </w:p>
                              </w:tc>
                              <w:tc>
                                <w:tcPr>
                                  <w:tcW w:w="980" w:type="dxa"/>
                                  <w:tcBorders>
                                    <w:top w:val="single" w:sz="4" w:space="0" w:color="000000"/>
                                    <w:left w:val="nil"/>
                                    <w:bottom w:val="nil"/>
                                    <w:right w:val="nil"/>
                                  </w:tcBorders>
                                  <w:hideMark/>
                                </w:tcPr>
                                <w:p w14:paraId="4FF9719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(1,836.0)  </w:t>
                                  </w:r>
                                </w:p>
                              </w:tc>
                              <w:tc>
                                <w:tcPr>
                                  <w:tcW w:w="980" w:type="dxa"/>
                                  <w:tcBorders>
                                    <w:top w:val="single" w:sz="4" w:space="0" w:color="000000"/>
                                    <w:left w:val="nil"/>
                                    <w:bottom w:val="nil"/>
                                    <w:right w:val="nil"/>
                                  </w:tcBorders>
                                  <w:hideMark/>
                                </w:tcPr>
                                <w:p w14:paraId="2F87FC4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(1,674.0)  </w:t>
                                  </w:r>
                                </w:p>
                              </w:tc>
                              <w:tc>
                                <w:tcPr>
                                  <w:tcW w:w="980" w:type="dxa"/>
                                  <w:tcBorders>
                                    <w:top w:val="single" w:sz="4" w:space="0" w:color="000000"/>
                                    <w:left w:val="nil"/>
                                    <w:bottom w:val="nil"/>
                                    <w:right w:val="nil"/>
                                  </w:tcBorders>
                                  <w:hideMark/>
                                </w:tcPr>
                                <w:p w14:paraId="0EE6401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(2,137.0)  </w:t>
                                  </w:r>
                                </w:p>
                              </w:tc>
                              <w:tc>
                                <w:tcPr>
                                  <w:tcW w:w="1080" w:type="dxa"/>
                                  <w:tcBorders>
                                    <w:top w:val="single" w:sz="4" w:space="0" w:color="000000"/>
                                    <w:left w:val="nil"/>
                                    <w:bottom w:val="nil"/>
                                    <w:right w:val="nil"/>
                                  </w:tcBorders>
                                  <w:hideMark/>
                                </w:tcPr>
                                <w:p w14:paraId="32361F8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(2,245.0)  </w:t>
                                  </w:r>
                                </w:p>
                              </w:tc>
                            </w:tr>
                            <w:tr w:rsidR="0014207C" w:rsidRPr="0014207C" w14:paraId="2D29877D" w14:textId="77777777" w:rsidTr="0014207C">
                              <w:trPr>
                                <w:trHeight w:val="204"/>
                              </w:trPr>
                              <w:tc>
                                <w:tcPr>
                                  <w:tcW w:w="2900" w:type="dxa"/>
                                  <w:tcBorders>
                                    <w:top w:val="nil"/>
                                    <w:left w:val="nil"/>
                                    <w:bottom w:val="nil"/>
                                    <w:right w:val="nil"/>
                                  </w:tcBorders>
                                  <w:noWrap/>
                                  <w:hideMark/>
                                </w:tcPr>
                                <w:p w14:paraId="3E6FBF2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Non-Operating Inc. (Exp.)</w:t>
                                  </w:r>
                                </w:p>
                              </w:tc>
                              <w:tc>
                                <w:tcPr>
                                  <w:tcW w:w="980" w:type="dxa"/>
                                  <w:tcBorders>
                                    <w:top w:val="nil"/>
                                    <w:left w:val="nil"/>
                                    <w:bottom w:val="nil"/>
                                    <w:right w:val="nil"/>
                                  </w:tcBorders>
                                  <w:hideMark/>
                                </w:tcPr>
                                <w:p w14:paraId="6005F7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87.0 </w:t>
                                  </w:r>
                                </w:p>
                              </w:tc>
                              <w:tc>
                                <w:tcPr>
                                  <w:tcW w:w="1097" w:type="dxa"/>
                                  <w:tcBorders>
                                    <w:top w:val="nil"/>
                                    <w:left w:val="nil"/>
                                    <w:bottom w:val="nil"/>
                                    <w:right w:val="nil"/>
                                  </w:tcBorders>
                                  <w:hideMark/>
                                </w:tcPr>
                                <w:p w14:paraId="5FE9D8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22.0 </w:t>
                                  </w:r>
                                </w:p>
                              </w:tc>
                              <w:tc>
                                <w:tcPr>
                                  <w:tcW w:w="980" w:type="dxa"/>
                                  <w:tcBorders>
                                    <w:top w:val="nil"/>
                                    <w:left w:val="nil"/>
                                    <w:bottom w:val="nil"/>
                                    <w:right w:val="nil"/>
                                  </w:tcBorders>
                                  <w:hideMark/>
                                </w:tcPr>
                                <w:p w14:paraId="2935495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(127.0)  </w:t>
                                  </w:r>
                                </w:p>
                              </w:tc>
                              <w:tc>
                                <w:tcPr>
                                  <w:tcW w:w="980" w:type="dxa"/>
                                  <w:tcBorders>
                                    <w:top w:val="nil"/>
                                    <w:left w:val="nil"/>
                                    <w:bottom w:val="nil"/>
                                    <w:right w:val="nil"/>
                                  </w:tcBorders>
                                  <w:hideMark/>
                                </w:tcPr>
                                <w:p w14:paraId="7C4C08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(455.0)  </w:t>
                                  </w:r>
                                </w:p>
                              </w:tc>
                              <w:tc>
                                <w:tcPr>
                                  <w:tcW w:w="980" w:type="dxa"/>
                                  <w:tcBorders>
                                    <w:top w:val="nil"/>
                                    <w:left w:val="nil"/>
                                    <w:bottom w:val="nil"/>
                                    <w:right w:val="nil"/>
                                  </w:tcBorders>
                                  <w:hideMark/>
                                </w:tcPr>
                                <w:p w14:paraId="0BFA1A5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166.0 </w:t>
                                  </w:r>
                                </w:p>
                              </w:tc>
                              <w:tc>
                                <w:tcPr>
                                  <w:tcW w:w="1080" w:type="dxa"/>
                                  <w:tcBorders>
                                    <w:top w:val="nil"/>
                                    <w:left w:val="nil"/>
                                    <w:bottom w:val="nil"/>
                                    <w:right w:val="nil"/>
                                  </w:tcBorders>
                                  <w:hideMark/>
                                </w:tcPr>
                                <w:p w14:paraId="14D0E6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(794.0)  </w:t>
                                  </w:r>
                                </w:p>
                              </w:tc>
                            </w:tr>
                            <w:tr w:rsidR="0014207C" w:rsidRPr="0014207C" w14:paraId="7E6454F8" w14:textId="77777777" w:rsidTr="0014207C">
                              <w:trPr>
                                <w:trHeight w:val="204"/>
                              </w:trPr>
                              <w:tc>
                                <w:tcPr>
                                  <w:tcW w:w="2900" w:type="dxa"/>
                                  <w:tcBorders>
                                    <w:top w:val="nil"/>
                                    <w:left w:val="nil"/>
                                    <w:bottom w:val="nil"/>
                                    <w:right w:val="nil"/>
                                  </w:tcBorders>
                                  <w:noWrap/>
                                  <w:hideMark/>
                                </w:tcPr>
                                <w:p w14:paraId="2D3F9F34"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EBT Excl. Unusual Items</w:t>
                                  </w:r>
                                </w:p>
                              </w:tc>
                              <w:tc>
                                <w:tcPr>
                                  <w:tcW w:w="980" w:type="dxa"/>
                                  <w:tcBorders>
                                    <w:top w:val="single" w:sz="4" w:space="0" w:color="000000"/>
                                    <w:left w:val="nil"/>
                                    <w:bottom w:val="nil"/>
                                    <w:right w:val="nil"/>
                                  </w:tcBorders>
                                  <w:hideMark/>
                                </w:tcPr>
                                <w:p w14:paraId="7CCB4AB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19,145.0 </w:t>
                                  </w:r>
                                </w:p>
                              </w:tc>
                              <w:tc>
                                <w:tcPr>
                                  <w:tcW w:w="1097" w:type="dxa"/>
                                  <w:tcBorders>
                                    <w:top w:val="single" w:sz="4" w:space="0" w:color="000000"/>
                                    <w:left w:val="nil"/>
                                    <w:bottom w:val="nil"/>
                                    <w:right w:val="nil"/>
                                  </w:tcBorders>
                                  <w:hideMark/>
                                </w:tcPr>
                                <w:p w14:paraId="1DFED4A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20,376.0 </w:t>
                                  </w:r>
                                </w:p>
                              </w:tc>
                              <w:tc>
                                <w:tcPr>
                                  <w:tcW w:w="980" w:type="dxa"/>
                                  <w:tcBorders>
                                    <w:top w:val="single" w:sz="4" w:space="0" w:color="000000"/>
                                    <w:left w:val="nil"/>
                                    <w:bottom w:val="nil"/>
                                    <w:right w:val="nil"/>
                                  </w:tcBorders>
                                  <w:hideMark/>
                                </w:tcPr>
                                <w:p w14:paraId="5430FA1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23,979.0 </w:t>
                                  </w:r>
                                </w:p>
                              </w:tc>
                              <w:tc>
                                <w:tcPr>
                                  <w:tcW w:w="980" w:type="dxa"/>
                                  <w:tcBorders>
                                    <w:top w:val="single" w:sz="4" w:space="0" w:color="000000"/>
                                    <w:left w:val="nil"/>
                                    <w:bottom w:val="nil"/>
                                    <w:right w:val="nil"/>
                                  </w:tcBorders>
                                  <w:hideMark/>
                                </w:tcPr>
                                <w:p w14:paraId="75F6FBA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22,399.0 </w:t>
                                  </w:r>
                                </w:p>
                              </w:tc>
                              <w:tc>
                                <w:tcPr>
                                  <w:tcW w:w="980" w:type="dxa"/>
                                  <w:tcBorders>
                                    <w:top w:val="single" w:sz="4" w:space="0" w:color="000000"/>
                                    <w:left w:val="nil"/>
                                    <w:bottom w:val="nil"/>
                                    <w:right w:val="nil"/>
                                  </w:tcBorders>
                                  <w:hideMark/>
                                </w:tcPr>
                                <w:p w14:paraId="1F21117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25,041.0 </w:t>
                                  </w:r>
                                </w:p>
                              </w:tc>
                              <w:tc>
                                <w:tcPr>
                                  <w:tcW w:w="1080" w:type="dxa"/>
                                  <w:tcBorders>
                                    <w:top w:val="single" w:sz="4" w:space="0" w:color="000000"/>
                                    <w:left w:val="nil"/>
                                    <w:bottom w:val="nil"/>
                                    <w:right w:val="nil"/>
                                  </w:tcBorders>
                                  <w:hideMark/>
                                </w:tcPr>
                                <w:p w14:paraId="52A77C9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26,465.0 </w:t>
                                  </w:r>
                                </w:p>
                              </w:tc>
                            </w:tr>
                            <w:tr w:rsidR="0014207C" w:rsidRPr="0014207C" w14:paraId="4042A3F2" w14:textId="77777777" w:rsidTr="0014207C">
                              <w:trPr>
                                <w:trHeight w:val="204"/>
                              </w:trPr>
                              <w:tc>
                                <w:tcPr>
                                  <w:tcW w:w="2900" w:type="dxa"/>
                                  <w:tcBorders>
                                    <w:top w:val="nil"/>
                                    <w:left w:val="nil"/>
                                    <w:bottom w:val="nil"/>
                                    <w:right w:val="nil"/>
                                  </w:tcBorders>
                                  <w:noWrap/>
                                  <w:hideMark/>
                                </w:tcPr>
                                <w:p w14:paraId="6A1CA84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Restructuring Charges</w:t>
                                  </w:r>
                                </w:p>
                              </w:tc>
                              <w:tc>
                                <w:tcPr>
                                  <w:tcW w:w="980" w:type="dxa"/>
                                  <w:tcBorders>
                                    <w:top w:val="nil"/>
                                    <w:left w:val="nil"/>
                                    <w:bottom w:val="nil"/>
                                    <w:right w:val="nil"/>
                                  </w:tcBorders>
                                  <w:hideMark/>
                                </w:tcPr>
                                <w:p w14:paraId="687175B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(900.0)  </w:t>
                                  </w:r>
                                </w:p>
                              </w:tc>
                              <w:tc>
                                <w:tcPr>
                                  <w:tcW w:w="1097" w:type="dxa"/>
                                  <w:tcBorders>
                                    <w:top w:val="nil"/>
                                    <w:left w:val="nil"/>
                                    <w:bottom w:val="nil"/>
                                    <w:right w:val="nil"/>
                                  </w:tcBorders>
                                  <w:hideMark/>
                                </w:tcPr>
                                <w:p w14:paraId="63BD4B2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FF95CC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C68316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(800.0)  </w:t>
                                  </w:r>
                                </w:p>
                              </w:tc>
                              <w:tc>
                                <w:tcPr>
                                  <w:tcW w:w="980" w:type="dxa"/>
                                  <w:tcBorders>
                                    <w:top w:val="nil"/>
                                    <w:left w:val="nil"/>
                                    <w:bottom w:val="nil"/>
                                    <w:right w:val="nil"/>
                                  </w:tcBorders>
                                  <w:hideMark/>
                                </w:tcPr>
                                <w:p w14:paraId="543D103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45A4043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(255.0)  </w:t>
                                  </w:r>
                                </w:p>
                              </w:tc>
                            </w:tr>
                            <w:tr w:rsidR="0014207C" w:rsidRPr="0014207C" w14:paraId="2CB8EE66" w14:textId="77777777" w:rsidTr="0014207C">
                              <w:trPr>
                                <w:trHeight w:val="204"/>
                              </w:trPr>
                              <w:tc>
                                <w:tcPr>
                                  <w:tcW w:w="2900" w:type="dxa"/>
                                  <w:tcBorders>
                                    <w:top w:val="nil"/>
                                    <w:left w:val="nil"/>
                                    <w:bottom w:val="nil"/>
                                    <w:right w:val="nil"/>
                                  </w:tcBorders>
                                  <w:noWrap/>
                                  <w:hideMark/>
                                </w:tcPr>
                                <w:p w14:paraId="57985F5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Impairment of Goodwill</w:t>
                                  </w:r>
                                </w:p>
                              </w:tc>
                              <w:tc>
                                <w:tcPr>
                                  <w:tcW w:w="980" w:type="dxa"/>
                                  <w:tcBorders>
                                    <w:top w:val="nil"/>
                                    <w:left w:val="nil"/>
                                    <w:bottom w:val="nil"/>
                                    <w:right w:val="nil"/>
                                  </w:tcBorders>
                                  <w:hideMark/>
                                </w:tcPr>
                                <w:p w14:paraId="0B8D8F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50C8E7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678D7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501C64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02101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1D42F4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77719290" w14:textId="77777777" w:rsidTr="0014207C">
                              <w:trPr>
                                <w:trHeight w:val="204"/>
                              </w:trPr>
                              <w:tc>
                                <w:tcPr>
                                  <w:tcW w:w="2900" w:type="dxa"/>
                                  <w:tcBorders>
                                    <w:top w:val="nil"/>
                                    <w:left w:val="nil"/>
                                    <w:bottom w:val="nil"/>
                                    <w:right w:val="nil"/>
                                  </w:tcBorders>
                                  <w:noWrap/>
                                  <w:hideMark/>
                                </w:tcPr>
                                <w:p w14:paraId="4D9E7B4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Gain (Loss) On Sale Of Invest.</w:t>
                                  </w:r>
                                </w:p>
                              </w:tc>
                              <w:tc>
                                <w:tcPr>
                                  <w:tcW w:w="980" w:type="dxa"/>
                                  <w:tcBorders>
                                    <w:top w:val="nil"/>
                                    <w:left w:val="nil"/>
                                    <w:bottom w:val="nil"/>
                                    <w:right w:val="nil"/>
                                  </w:tcBorders>
                                  <w:hideMark/>
                                </w:tcPr>
                                <w:p w14:paraId="53ECEDF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1,886.0 </w:t>
                                  </w:r>
                                </w:p>
                              </w:tc>
                              <w:tc>
                                <w:tcPr>
                                  <w:tcW w:w="1097" w:type="dxa"/>
                                  <w:tcBorders>
                                    <w:top w:val="nil"/>
                                    <w:left w:val="nil"/>
                                    <w:bottom w:val="nil"/>
                                    <w:right w:val="nil"/>
                                  </w:tcBorders>
                                  <w:hideMark/>
                                </w:tcPr>
                                <w:p w14:paraId="437146D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8,589.0 </w:t>
                                  </w:r>
                                </w:p>
                              </w:tc>
                              <w:tc>
                                <w:tcPr>
                                  <w:tcW w:w="980" w:type="dxa"/>
                                  <w:tcBorders>
                                    <w:top w:val="nil"/>
                                    <w:left w:val="nil"/>
                                    <w:bottom w:val="nil"/>
                                    <w:right w:val="nil"/>
                                  </w:tcBorders>
                                  <w:hideMark/>
                                </w:tcPr>
                                <w:p w14:paraId="6BB85FF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(2,440.0)  </w:t>
                                  </w:r>
                                </w:p>
                              </w:tc>
                              <w:tc>
                                <w:tcPr>
                                  <w:tcW w:w="980" w:type="dxa"/>
                                  <w:tcBorders>
                                    <w:top w:val="nil"/>
                                    <w:left w:val="nil"/>
                                    <w:bottom w:val="nil"/>
                                    <w:right w:val="nil"/>
                                  </w:tcBorders>
                                  <w:hideMark/>
                                </w:tcPr>
                                <w:p w14:paraId="1B46F5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(1,283.0)  </w:t>
                                  </w:r>
                                </w:p>
                              </w:tc>
                              <w:tc>
                                <w:tcPr>
                                  <w:tcW w:w="980" w:type="dxa"/>
                                  <w:tcBorders>
                                    <w:top w:val="nil"/>
                                    <w:left w:val="nil"/>
                                    <w:bottom w:val="nil"/>
                                    <w:right w:val="nil"/>
                                  </w:tcBorders>
                                  <w:hideMark/>
                                </w:tcPr>
                                <w:p w14:paraId="0C5470F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(3,193.0)  </w:t>
                                  </w:r>
                                </w:p>
                              </w:tc>
                              <w:tc>
                                <w:tcPr>
                                  <w:tcW w:w="1080" w:type="dxa"/>
                                  <w:tcBorders>
                                    <w:top w:val="nil"/>
                                    <w:left w:val="nil"/>
                                    <w:bottom w:val="nil"/>
                                    <w:right w:val="nil"/>
                                  </w:tcBorders>
                                  <w:hideMark/>
                                </w:tcPr>
                                <w:p w14:paraId="1E7E89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E3CCFC5" w14:textId="77777777" w:rsidTr="0014207C">
                              <w:trPr>
                                <w:trHeight w:val="204"/>
                              </w:trPr>
                              <w:tc>
                                <w:tcPr>
                                  <w:tcW w:w="2900" w:type="dxa"/>
                                  <w:tcBorders>
                                    <w:top w:val="nil"/>
                                    <w:left w:val="nil"/>
                                    <w:bottom w:val="nil"/>
                                    <w:right w:val="nil"/>
                                  </w:tcBorders>
                                  <w:noWrap/>
                                  <w:hideMark/>
                                </w:tcPr>
                                <w:p w14:paraId="5B10924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Gain (Loss) On Sale Of Assets</w:t>
                                  </w:r>
                                </w:p>
                              </w:tc>
                              <w:tc>
                                <w:tcPr>
                                  <w:tcW w:w="980" w:type="dxa"/>
                                  <w:tcBorders>
                                    <w:top w:val="nil"/>
                                    <w:left w:val="nil"/>
                                    <w:bottom w:val="nil"/>
                                    <w:right w:val="nil"/>
                                  </w:tcBorders>
                                  <w:hideMark/>
                                </w:tcPr>
                                <w:p w14:paraId="25C974B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(15.0)  </w:t>
                                  </w:r>
                                </w:p>
                              </w:tc>
                              <w:tc>
                                <w:tcPr>
                                  <w:tcW w:w="1097" w:type="dxa"/>
                                  <w:tcBorders>
                                    <w:top w:val="nil"/>
                                    <w:left w:val="nil"/>
                                    <w:bottom w:val="nil"/>
                                    <w:right w:val="nil"/>
                                  </w:tcBorders>
                                  <w:hideMark/>
                                </w:tcPr>
                                <w:p w14:paraId="3C8F0A5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(8,401.0)  </w:t>
                                  </w:r>
                                </w:p>
                              </w:tc>
                              <w:tc>
                                <w:tcPr>
                                  <w:tcW w:w="980" w:type="dxa"/>
                                  <w:tcBorders>
                                    <w:top w:val="nil"/>
                                    <w:left w:val="nil"/>
                                    <w:bottom w:val="nil"/>
                                    <w:right w:val="nil"/>
                                  </w:tcBorders>
                                  <w:hideMark/>
                                </w:tcPr>
                                <w:p w14:paraId="568C63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(433.0)  </w:t>
                                  </w:r>
                                </w:p>
                              </w:tc>
                              <w:tc>
                                <w:tcPr>
                                  <w:tcW w:w="980" w:type="dxa"/>
                                  <w:tcBorders>
                                    <w:top w:val="nil"/>
                                    <w:left w:val="nil"/>
                                    <w:bottom w:val="nil"/>
                                    <w:right w:val="nil"/>
                                  </w:tcBorders>
                                  <w:hideMark/>
                                </w:tcPr>
                                <w:p w14:paraId="62C3B3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8C30B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D9B69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88AC558" w14:textId="77777777" w:rsidTr="0014207C">
                              <w:trPr>
                                <w:trHeight w:val="204"/>
                              </w:trPr>
                              <w:tc>
                                <w:tcPr>
                                  <w:tcW w:w="2900" w:type="dxa"/>
                                  <w:tcBorders>
                                    <w:top w:val="nil"/>
                                    <w:left w:val="nil"/>
                                    <w:bottom w:val="nil"/>
                                    <w:right w:val="nil"/>
                                  </w:tcBorders>
                                  <w:noWrap/>
                                  <w:hideMark/>
                                </w:tcPr>
                                <w:p w14:paraId="4DFB846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Legal Settlements</w:t>
                                  </w:r>
                                </w:p>
                              </w:tc>
                              <w:tc>
                                <w:tcPr>
                                  <w:tcW w:w="980" w:type="dxa"/>
                                  <w:tcBorders>
                                    <w:top w:val="nil"/>
                                    <w:left w:val="nil"/>
                                    <w:bottom w:val="nil"/>
                                    <w:right w:val="nil"/>
                                  </w:tcBorders>
                                  <w:hideMark/>
                                </w:tcPr>
                                <w:p w14:paraId="4512E9A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0199EEF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971C1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C215B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(3,300.0)  </w:t>
                                  </w:r>
                                </w:p>
                              </w:tc>
                              <w:tc>
                                <w:tcPr>
                                  <w:tcW w:w="980" w:type="dxa"/>
                                  <w:tcBorders>
                                    <w:top w:val="nil"/>
                                    <w:left w:val="nil"/>
                                    <w:bottom w:val="nil"/>
                                    <w:right w:val="nil"/>
                                  </w:tcBorders>
                                  <w:hideMark/>
                                </w:tcPr>
                                <w:p w14:paraId="56C40B4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9F1B3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99.0 </w:t>
                                  </w:r>
                                </w:p>
                              </w:tc>
                            </w:tr>
                            <w:tr w:rsidR="0014207C" w:rsidRPr="0014207C" w14:paraId="600B150C" w14:textId="77777777" w:rsidTr="0014207C">
                              <w:trPr>
                                <w:trHeight w:val="204"/>
                              </w:trPr>
                              <w:tc>
                                <w:tcPr>
                                  <w:tcW w:w="2900" w:type="dxa"/>
                                  <w:tcBorders>
                                    <w:top w:val="nil"/>
                                    <w:left w:val="nil"/>
                                    <w:bottom w:val="nil"/>
                                    <w:right w:val="nil"/>
                                  </w:tcBorders>
                                  <w:noWrap/>
                                  <w:hideMark/>
                                </w:tcPr>
                                <w:p w14:paraId="4EC1719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Unusual Items</w:t>
                                  </w:r>
                                </w:p>
                              </w:tc>
                              <w:tc>
                                <w:tcPr>
                                  <w:tcW w:w="980" w:type="dxa"/>
                                  <w:tcBorders>
                                    <w:top w:val="nil"/>
                                    <w:left w:val="nil"/>
                                    <w:bottom w:val="nil"/>
                                    <w:right w:val="nil"/>
                                  </w:tcBorders>
                                  <w:hideMark/>
                                </w:tcPr>
                                <w:p w14:paraId="6E2FCFF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3B4B6C8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8FAA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(2,410.0)  </w:t>
                                  </w:r>
                                </w:p>
                              </w:tc>
                              <w:tc>
                                <w:tcPr>
                                  <w:tcW w:w="980" w:type="dxa"/>
                                  <w:tcBorders>
                                    <w:top w:val="nil"/>
                                    <w:left w:val="nil"/>
                                    <w:bottom w:val="nil"/>
                                    <w:right w:val="nil"/>
                                  </w:tcBorders>
                                  <w:hideMark/>
                                </w:tcPr>
                                <w:p w14:paraId="3D81259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E8CF5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20C5D1B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1B4D749F" w14:textId="77777777" w:rsidTr="0014207C">
                              <w:trPr>
                                <w:trHeight w:val="204"/>
                              </w:trPr>
                              <w:tc>
                                <w:tcPr>
                                  <w:tcW w:w="2900" w:type="dxa"/>
                                  <w:tcBorders>
                                    <w:top w:val="nil"/>
                                    <w:left w:val="nil"/>
                                    <w:bottom w:val="nil"/>
                                    <w:right w:val="nil"/>
                                  </w:tcBorders>
                                  <w:noWrap/>
                                  <w:hideMark/>
                                </w:tcPr>
                                <w:p w14:paraId="243356B6"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EBT Incl. Unusual Items</w:t>
                                  </w:r>
                                </w:p>
                              </w:tc>
                              <w:tc>
                                <w:tcPr>
                                  <w:tcW w:w="980" w:type="dxa"/>
                                  <w:tcBorders>
                                    <w:top w:val="single" w:sz="4" w:space="0" w:color="000000"/>
                                    <w:left w:val="nil"/>
                                    <w:bottom w:val="nil"/>
                                    <w:right w:val="nil"/>
                                  </w:tcBorders>
                                  <w:hideMark/>
                                </w:tcPr>
                                <w:p w14:paraId="6092466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20,116.0 </w:t>
                                  </w:r>
                                </w:p>
                              </w:tc>
                              <w:tc>
                                <w:tcPr>
                                  <w:tcW w:w="1097" w:type="dxa"/>
                                  <w:tcBorders>
                                    <w:top w:val="single" w:sz="4" w:space="0" w:color="000000"/>
                                    <w:left w:val="nil"/>
                                    <w:bottom w:val="nil"/>
                                    <w:right w:val="nil"/>
                                  </w:tcBorders>
                                  <w:hideMark/>
                                </w:tcPr>
                                <w:p w14:paraId="66A4BA4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20,564.0 </w:t>
                                  </w:r>
                                </w:p>
                              </w:tc>
                              <w:tc>
                                <w:tcPr>
                                  <w:tcW w:w="980" w:type="dxa"/>
                                  <w:tcBorders>
                                    <w:top w:val="single" w:sz="4" w:space="0" w:color="000000"/>
                                    <w:left w:val="nil"/>
                                    <w:bottom w:val="nil"/>
                                    <w:right w:val="nil"/>
                                  </w:tcBorders>
                                  <w:hideMark/>
                                </w:tcPr>
                                <w:p w14:paraId="588B519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18,696.0 </w:t>
                                  </w:r>
                                </w:p>
                              </w:tc>
                              <w:tc>
                                <w:tcPr>
                                  <w:tcW w:w="980" w:type="dxa"/>
                                  <w:tcBorders>
                                    <w:top w:val="single" w:sz="4" w:space="0" w:color="000000"/>
                                    <w:left w:val="nil"/>
                                    <w:bottom w:val="nil"/>
                                    <w:right w:val="nil"/>
                                  </w:tcBorders>
                                  <w:hideMark/>
                                </w:tcPr>
                                <w:p w14:paraId="73C519B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17,016.0 </w:t>
                                  </w:r>
                                </w:p>
                              </w:tc>
                              <w:tc>
                                <w:tcPr>
                                  <w:tcW w:w="980" w:type="dxa"/>
                                  <w:tcBorders>
                                    <w:top w:val="single" w:sz="4" w:space="0" w:color="000000"/>
                                    <w:left w:val="nil"/>
                                    <w:bottom w:val="nil"/>
                                    <w:right w:val="nil"/>
                                  </w:tcBorders>
                                  <w:hideMark/>
                                </w:tcPr>
                                <w:p w14:paraId="6B786CD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21,848.0 </w:t>
                                  </w:r>
                                </w:p>
                              </w:tc>
                              <w:tc>
                                <w:tcPr>
                                  <w:tcW w:w="1080" w:type="dxa"/>
                                  <w:tcBorders>
                                    <w:top w:val="single" w:sz="4" w:space="0" w:color="000000"/>
                                    <w:left w:val="nil"/>
                                    <w:bottom w:val="nil"/>
                                    <w:right w:val="nil"/>
                                  </w:tcBorders>
                                  <w:hideMark/>
                                </w:tcPr>
                                <w:p w14:paraId="05F4CC4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26,309.0 </w:t>
                                  </w:r>
                                </w:p>
                              </w:tc>
                            </w:tr>
                            <w:tr w:rsidR="0014207C" w:rsidRPr="0014207C" w14:paraId="178A830E" w14:textId="77777777" w:rsidTr="0014207C">
                              <w:trPr>
                                <w:trHeight w:val="204"/>
                              </w:trPr>
                              <w:tc>
                                <w:tcPr>
                                  <w:tcW w:w="2900" w:type="dxa"/>
                                  <w:tcBorders>
                                    <w:top w:val="nil"/>
                                    <w:left w:val="nil"/>
                                    <w:bottom w:val="nil"/>
                                    <w:right w:val="nil"/>
                                  </w:tcBorders>
                                  <w:noWrap/>
                                  <w:hideMark/>
                                </w:tcPr>
                                <w:p w14:paraId="057FAD6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Income Tax Expense</w:t>
                                  </w:r>
                                </w:p>
                              </w:tc>
                              <w:tc>
                                <w:tcPr>
                                  <w:tcW w:w="980" w:type="dxa"/>
                                  <w:tcBorders>
                                    <w:top w:val="nil"/>
                                    <w:left w:val="nil"/>
                                    <w:bottom w:val="nil"/>
                                    <w:right w:val="nil"/>
                                  </w:tcBorders>
                                  <w:hideMark/>
                                </w:tcPr>
                                <w:p w14:paraId="0E2C71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4,915.0 </w:t>
                                  </w:r>
                                </w:p>
                              </w:tc>
                              <w:tc>
                                <w:tcPr>
                                  <w:tcW w:w="1097" w:type="dxa"/>
                                  <w:tcBorders>
                                    <w:top w:val="nil"/>
                                    <w:left w:val="nil"/>
                                    <w:bottom w:val="nil"/>
                                    <w:right w:val="nil"/>
                                  </w:tcBorders>
                                  <w:hideMark/>
                                </w:tcPr>
                                <w:p w14:paraId="59FB079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6,858.0 </w:t>
                                  </w:r>
                                </w:p>
                              </w:tc>
                              <w:tc>
                                <w:tcPr>
                                  <w:tcW w:w="980" w:type="dxa"/>
                                  <w:tcBorders>
                                    <w:top w:val="nil"/>
                                    <w:left w:val="nil"/>
                                    <w:bottom w:val="nil"/>
                                    <w:right w:val="nil"/>
                                  </w:tcBorders>
                                  <w:hideMark/>
                                </w:tcPr>
                                <w:p w14:paraId="0E5F51A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4,756.0 </w:t>
                                  </w:r>
                                </w:p>
                              </w:tc>
                              <w:tc>
                                <w:tcPr>
                                  <w:tcW w:w="980" w:type="dxa"/>
                                  <w:tcBorders>
                                    <w:top w:val="nil"/>
                                    <w:left w:val="nil"/>
                                    <w:bottom w:val="nil"/>
                                    <w:right w:val="nil"/>
                                  </w:tcBorders>
                                  <w:hideMark/>
                                </w:tcPr>
                                <w:p w14:paraId="79CD0C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5,724.0 </w:t>
                                  </w:r>
                                </w:p>
                              </w:tc>
                              <w:tc>
                                <w:tcPr>
                                  <w:tcW w:w="980" w:type="dxa"/>
                                  <w:tcBorders>
                                    <w:top w:val="nil"/>
                                    <w:left w:val="nil"/>
                                    <w:bottom w:val="nil"/>
                                    <w:right w:val="nil"/>
                                  </w:tcBorders>
                                  <w:hideMark/>
                                </w:tcPr>
                                <w:p w14:paraId="4A59DC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5,578.0 </w:t>
                                  </w:r>
                                </w:p>
                              </w:tc>
                              <w:tc>
                                <w:tcPr>
                                  <w:tcW w:w="1080" w:type="dxa"/>
                                  <w:tcBorders>
                                    <w:top w:val="nil"/>
                                    <w:left w:val="nil"/>
                                    <w:bottom w:val="nil"/>
                                    <w:right w:val="nil"/>
                                  </w:tcBorders>
                                  <w:hideMark/>
                                </w:tcPr>
                                <w:p w14:paraId="747715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6,152.0 </w:t>
                                  </w:r>
                                </w:p>
                              </w:tc>
                            </w:tr>
                            <w:tr w:rsidR="0014207C" w:rsidRPr="0014207C" w14:paraId="0E41C5CE" w14:textId="77777777" w:rsidTr="0014207C">
                              <w:trPr>
                                <w:trHeight w:val="204"/>
                              </w:trPr>
                              <w:tc>
                                <w:tcPr>
                                  <w:tcW w:w="2900" w:type="dxa"/>
                                  <w:tcBorders>
                                    <w:top w:val="nil"/>
                                    <w:left w:val="nil"/>
                                    <w:bottom w:val="nil"/>
                                    <w:right w:val="nil"/>
                                  </w:tcBorders>
                                  <w:noWrap/>
                                  <w:hideMark/>
                                </w:tcPr>
                                <w:p w14:paraId="37D25FF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Earnings from Cont. Ops.</w:t>
                                  </w:r>
                                </w:p>
                              </w:tc>
                              <w:tc>
                                <w:tcPr>
                                  <w:tcW w:w="980" w:type="dxa"/>
                                  <w:tcBorders>
                                    <w:top w:val="single" w:sz="4" w:space="0" w:color="000000"/>
                                    <w:left w:val="nil"/>
                                    <w:bottom w:val="nil"/>
                                    <w:right w:val="nil"/>
                                  </w:tcBorders>
                                  <w:hideMark/>
                                </w:tcPr>
                                <w:p w14:paraId="1CB8633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15,201.0 </w:t>
                                  </w:r>
                                </w:p>
                              </w:tc>
                              <w:tc>
                                <w:tcPr>
                                  <w:tcW w:w="1097" w:type="dxa"/>
                                  <w:tcBorders>
                                    <w:top w:val="single" w:sz="4" w:space="0" w:color="000000"/>
                                    <w:left w:val="nil"/>
                                    <w:bottom w:val="nil"/>
                                    <w:right w:val="nil"/>
                                  </w:tcBorders>
                                  <w:hideMark/>
                                </w:tcPr>
                                <w:p w14:paraId="68C22E2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13,706.0 </w:t>
                                  </w:r>
                                </w:p>
                              </w:tc>
                              <w:tc>
                                <w:tcPr>
                                  <w:tcW w:w="980" w:type="dxa"/>
                                  <w:tcBorders>
                                    <w:top w:val="single" w:sz="4" w:space="0" w:color="000000"/>
                                    <w:left w:val="nil"/>
                                    <w:bottom w:val="nil"/>
                                    <w:right w:val="nil"/>
                                  </w:tcBorders>
                                  <w:hideMark/>
                                </w:tcPr>
                                <w:p w14:paraId="7C72A3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13,940.0 </w:t>
                                  </w:r>
                                </w:p>
                              </w:tc>
                              <w:tc>
                                <w:tcPr>
                                  <w:tcW w:w="980" w:type="dxa"/>
                                  <w:tcBorders>
                                    <w:top w:val="single" w:sz="4" w:space="0" w:color="000000"/>
                                    <w:left w:val="nil"/>
                                    <w:bottom w:val="nil"/>
                                    <w:right w:val="nil"/>
                                  </w:tcBorders>
                                  <w:hideMark/>
                                </w:tcPr>
                                <w:p w14:paraId="54FE258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11,292.0 </w:t>
                                  </w:r>
                                </w:p>
                              </w:tc>
                              <w:tc>
                                <w:tcPr>
                                  <w:tcW w:w="980" w:type="dxa"/>
                                  <w:tcBorders>
                                    <w:top w:val="single" w:sz="4" w:space="0" w:color="000000"/>
                                    <w:left w:val="nil"/>
                                    <w:bottom w:val="nil"/>
                                    <w:right w:val="nil"/>
                                  </w:tcBorders>
                                  <w:hideMark/>
                                </w:tcPr>
                                <w:p w14:paraId="34F355E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16,270.0 </w:t>
                                  </w:r>
                                </w:p>
                              </w:tc>
                              <w:tc>
                                <w:tcPr>
                                  <w:tcW w:w="1080" w:type="dxa"/>
                                  <w:tcBorders>
                                    <w:top w:val="single" w:sz="4" w:space="0" w:color="000000"/>
                                    <w:left w:val="nil"/>
                                    <w:bottom w:val="nil"/>
                                    <w:right w:val="nil"/>
                                  </w:tcBorders>
                                  <w:hideMark/>
                                </w:tcPr>
                                <w:p w14:paraId="763299C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20,157.0 </w:t>
                                  </w:r>
                                </w:p>
                              </w:tc>
                            </w:tr>
                            <w:tr w:rsidR="0014207C" w:rsidRPr="0014207C" w14:paraId="353E9081" w14:textId="77777777" w:rsidTr="0014207C">
                              <w:trPr>
                                <w:trHeight w:val="204"/>
                              </w:trPr>
                              <w:tc>
                                <w:tcPr>
                                  <w:tcW w:w="2900" w:type="dxa"/>
                                  <w:tcBorders>
                                    <w:top w:val="nil"/>
                                    <w:left w:val="nil"/>
                                    <w:bottom w:val="nil"/>
                                    <w:right w:val="nil"/>
                                  </w:tcBorders>
                                  <w:noWrap/>
                                  <w:hideMark/>
                                </w:tcPr>
                                <w:p w14:paraId="0C4E1BF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Earnings of Discontinued Ops.</w:t>
                                  </w:r>
                                </w:p>
                              </w:tc>
                              <w:tc>
                                <w:tcPr>
                                  <w:tcW w:w="980" w:type="dxa"/>
                                  <w:tcBorders>
                                    <w:top w:val="nil"/>
                                    <w:left w:val="nil"/>
                                    <w:bottom w:val="nil"/>
                                    <w:right w:val="nil"/>
                                  </w:tcBorders>
                                  <w:hideMark/>
                                </w:tcPr>
                                <w:p w14:paraId="2B93D26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60FBCD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703B84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4C1E0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CDBC9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56C3EB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A29C940" w14:textId="77777777" w:rsidTr="0014207C">
                              <w:trPr>
                                <w:trHeight w:val="204"/>
                              </w:trPr>
                              <w:tc>
                                <w:tcPr>
                                  <w:tcW w:w="2900" w:type="dxa"/>
                                  <w:tcBorders>
                                    <w:top w:val="nil"/>
                                    <w:left w:val="nil"/>
                                    <w:bottom w:val="nil"/>
                                    <w:right w:val="nil"/>
                                  </w:tcBorders>
                                  <w:noWrap/>
                                  <w:hideMark/>
                                </w:tcPr>
                                <w:p w14:paraId="3C3A818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Extraord. Item &amp; Account. Change</w:t>
                                  </w:r>
                                </w:p>
                              </w:tc>
                              <w:tc>
                                <w:tcPr>
                                  <w:tcW w:w="980" w:type="dxa"/>
                                  <w:tcBorders>
                                    <w:top w:val="nil"/>
                                    <w:left w:val="nil"/>
                                    <w:bottom w:val="nil"/>
                                    <w:right w:val="nil"/>
                                  </w:tcBorders>
                                  <w:hideMark/>
                                </w:tcPr>
                                <w:p w14:paraId="2B88CC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3A0CA4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1FE3CD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17023A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61560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1D142D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44DFC7D" w14:textId="77777777" w:rsidTr="0014207C">
                              <w:trPr>
                                <w:trHeight w:val="204"/>
                              </w:trPr>
                              <w:tc>
                                <w:tcPr>
                                  <w:tcW w:w="2900" w:type="dxa"/>
                                  <w:tcBorders>
                                    <w:top w:val="nil"/>
                                    <w:left w:val="nil"/>
                                    <w:bottom w:val="nil"/>
                                    <w:right w:val="nil"/>
                                  </w:tcBorders>
                                  <w:noWrap/>
                                  <w:hideMark/>
                                </w:tcPr>
                                <w:p w14:paraId="201A6FF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Income to Company</w:t>
                                  </w:r>
                                </w:p>
                              </w:tc>
                              <w:tc>
                                <w:tcPr>
                                  <w:tcW w:w="980" w:type="dxa"/>
                                  <w:tcBorders>
                                    <w:top w:val="single" w:sz="4" w:space="0" w:color="000000"/>
                                    <w:left w:val="nil"/>
                                    <w:bottom w:val="nil"/>
                                    <w:right w:val="nil"/>
                                  </w:tcBorders>
                                  <w:hideMark/>
                                </w:tcPr>
                                <w:p w14:paraId="31456CA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15,201.0 </w:t>
                                  </w:r>
                                </w:p>
                              </w:tc>
                              <w:tc>
                                <w:tcPr>
                                  <w:tcW w:w="1097" w:type="dxa"/>
                                  <w:tcBorders>
                                    <w:top w:val="single" w:sz="4" w:space="0" w:color="000000"/>
                                    <w:left w:val="nil"/>
                                    <w:bottom w:val="nil"/>
                                    <w:right w:val="nil"/>
                                  </w:tcBorders>
                                  <w:hideMark/>
                                </w:tcPr>
                                <w:p w14:paraId="4F6554E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13,706.0 </w:t>
                                  </w:r>
                                </w:p>
                              </w:tc>
                              <w:tc>
                                <w:tcPr>
                                  <w:tcW w:w="980" w:type="dxa"/>
                                  <w:tcBorders>
                                    <w:top w:val="single" w:sz="4" w:space="0" w:color="000000"/>
                                    <w:left w:val="nil"/>
                                    <w:bottom w:val="nil"/>
                                    <w:right w:val="nil"/>
                                  </w:tcBorders>
                                  <w:hideMark/>
                                </w:tcPr>
                                <w:p w14:paraId="7D76D16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13,940.0 </w:t>
                                  </w:r>
                                </w:p>
                              </w:tc>
                              <w:tc>
                                <w:tcPr>
                                  <w:tcW w:w="980" w:type="dxa"/>
                                  <w:tcBorders>
                                    <w:top w:val="single" w:sz="4" w:space="0" w:color="000000"/>
                                    <w:left w:val="nil"/>
                                    <w:bottom w:val="nil"/>
                                    <w:right w:val="nil"/>
                                  </w:tcBorders>
                                  <w:hideMark/>
                                </w:tcPr>
                                <w:p w14:paraId="524CFC3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11,292.0 </w:t>
                                  </w:r>
                                </w:p>
                              </w:tc>
                              <w:tc>
                                <w:tcPr>
                                  <w:tcW w:w="980" w:type="dxa"/>
                                  <w:tcBorders>
                                    <w:top w:val="single" w:sz="4" w:space="0" w:color="000000"/>
                                    <w:left w:val="nil"/>
                                    <w:bottom w:val="nil"/>
                                    <w:right w:val="nil"/>
                                  </w:tcBorders>
                                  <w:hideMark/>
                                </w:tcPr>
                                <w:p w14:paraId="6E74BE0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16,270.0 </w:t>
                                  </w:r>
                                </w:p>
                              </w:tc>
                              <w:tc>
                                <w:tcPr>
                                  <w:tcW w:w="1080" w:type="dxa"/>
                                  <w:tcBorders>
                                    <w:top w:val="single" w:sz="4" w:space="0" w:color="000000"/>
                                    <w:left w:val="nil"/>
                                    <w:bottom w:val="nil"/>
                                    <w:right w:val="nil"/>
                                  </w:tcBorders>
                                  <w:hideMark/>
                                </w:tcPr>
                                <w:p w14:paraId="0FAB93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20,157.0 </w:t>
                                  </w:r>
                                </w:p>
                              </w:tc>
                            </w:tr>
                            <w:tr w:rsidR="0014207C" w:rsidRPr="0014207C" w14:paraId="138B3A6A" w14:textId="77777777" w:rsidTr="0014207C">
                              <w:trPr>
                                <w:trHeight w:val="204"/>
                              </w:trPr>
                              <w:tc>
                                <w:tcPr>
                                  <w:tcW w:w="2900" w:type="dxa"/>
                                  <w:tcBorders>
                                    <w:top w:val="nil"/>
                                    <w:left w:val="nil"/>
                                    <w:bottom w:val="nil"/>
                                    <w:right w:val="nil"/>
                                  </w:tcBorders>
                                  <w:noWrap/>
                                  <w:hideMark/>
                                </w:tcPr>
                                <w:p w14:paraId="7EDC25A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Minority Int. in Earnings</w:t>
                                  </w:r>
                                </w:p>
                              </w:tc>
                              <w:tc>
                                <w:tcPr>
                                  <w:tcW w:w="980" w:type="dxa"/>
                                  <w:tcBorders>
                                    <w:top w:val="nil"/>
                                    <w:left w:val="nil"/>
                                    <w:bottom w:val="nil"/>
                                    <w:right w:val="nil"/>
                                  </w:tcBorders>
                                  <w:hideMark/>
                                </w:tcPr>
                                <w:p w14:paraId="5E9DFE4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(320.0)  </w:t>
                                  </w:r>
                                </w:p>
                              </w:tc>
                              <w:tc>
                                <w:tcPr>
                                  <w:tcW w:w="1097" w:type="dxa"/>
                                  <w:tcBorders>
                                    <w:top w:val="nil"/>
                                    <w:left w:val="nil"/>
                                    <w:bottom w:val="nil"/>
                                    <w:right w:val="nil"/>
                                  </w:tcBorders>
                                  <w:hideMark/>
                                </w:tcPr>
                                <w:p w14:paraId="6E314F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(196.0)  </w:t>
                                  </w:r>
                                </w:p>
                              </w:tc>
                              <w:tc>
                                <w:tcPr>
                                  <w:tcW w:w="980" w:type="dxa"/>
                                  <w:tcBorders>
                                    <w:top w:val="nil"/>
                                    <w:left w:val="nil"/>
                                    <w:bottom w:val="nil"/>
                                    <w:right w:val="nil"/>
                                  </w:tcBorders>
                                  <w:hideMark/>
                                </w:tcPr>
                                <w:p w14:paraId="74CD3DA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(267.0)  </w:t>
                                  </w:r>
                                </w:p>
                              </w:tc>
                              <w:tc>
                                <w:tcPr>
                                  <w:tcW w:w="980" w:type="dxa"/>
                                  <w:tcBorders>
                                    <w:top w:val="nil"/>
                                    <w:left w:val="nil"/>
                                    <w:bottom w:val="nil"/>
                                    <w:right w:val="nil"/>
                                  </w:tcBorders>
                                  <w:hideMark/>
                                </w:tcPr>
                                <w:p w14:paraId="00C440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388.0 </w:t>
                                  </w:r>
                                </w:p>
                              </w:tc>
                              <w:tc>
                                <w:tcPr>
                                  <w:tcW w:w="980" w:type="dxa"/>
                                  <w:tcBorders>
                                    <w:top w:val="nil"/>
                                    <w:left w:val="nil"/>
                                    <w:bottom w:val="nil"/>
                                    <w:right w:val="nil"/>
                                  </w:tcBorders>
                                  <w:hideMark/>
                                </w:tcPr>
                                <w:p w14:paraId="03EF790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(759.0)  </w:t>
                                  </w:r>
                                </w:p>
                              </w:tc>
                              <w:tc>
                                <w:tcPr>
                                  <w:tcW w:w="1080" w:type="dxa"/>
                                  <w:tcBorders>
                                    <w:top w:val="nil"/>
                                    <w:left w:val="nil"/>
                                    <w:bottom w:val="nil"/>
                                    <w:right w:val="nil"/>
                                  </w:tcBorders>
                                  <w:hideMark/>
                                </w:tcPr>
                                <w:p w14:paraId="150247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(721.0)  </w:t>
                                  </w:r>
                                </w:p>
                              </w:tc>
                            </w:tr>
                            <w:tr w:rsidR="0014207C" w:rsidRPr="0014207C" w14:paraId="76E47694" w14:textId="77777777" w:rsidTr="0014207C">
                              <w:trPr>
                                <w:trHeight w:val="204"/>
                              </w:trPr>
                              <w:tc>
                                <w:tcPr>
                                  <w:tcW w:w="2900" w:type="dxa"/>
                                  <w:tcBorders>
                                    <w:top w:val="nil"/>
                                    <w:left w:val="nil"/>
                                    <w:bottom w:val="nil"/>
                                    <w:right w:val="nil"/>
                                  </w:tcBorders>
                                  <w:noWrap/>
                                  <w:hideMark/>
                                </w:tcPr>
                                <w:p w14:paraId="5F4CC243"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Income</w:t>
                                  </w:r>
                                </w:p>
                              </w:tc>
                              <w:tc>
                                <w:tcPr>
                                  <w:tcW w:w="980" w:type="dxa"/>
                                  <w:tcBorders>
                                    <w:top w:val="single" w:sz="4" w:space="0" w:color="000000"/>
                                    <w:left w:val="nil"/>
                                    <w:bottom w:val="nil"/>
                                    <w:right w:val="nil"/>
                                  </w:tcBorders>
                                  <w:hideMark/>
                                </w:tcPr>
                                <w:p w14:paraId="1EC57AD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14,881.0 </w:t>
                                  </w:r>
                                </w:p>
                              </w:tc>
                              <w:tc>
                                <w:tcPr>
                                  <w:tcW w:w="1097" w:type="dxa"/>
                                  <w:tcBorders>
                                    <w:top w:val="single" w:sz="4" w:space="0" w:color="000000"/>
                                    <w:left w:val="nil"/>
                                    <w:bottom w:val="nil"/>
                                    <w:right w:val="nil"/>
                                  </w:tcBorders>
                                  <w:hideMark/>
                                </w:tcPr>
                                <w:p w14:paraId="190712E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13,510.0 </w:t>
                                  </w:r>
                                </w:p>
                              </w:tc>
                              <w:tc>
                                <w:tcPr>
                                  <w:tcW w:w="980" w:type="dxa"/>
                                  <w:tcBorders>
                                    <w:top w:val="single" w:sz="4" w:space="0" w:color="000000"/>
                                    <w:left w:val="nil"/>
                                    <w:bottom w:val="nil"/>
                                    <w:right w:val="nil"/>
                                  </w:tcBorders>
                                  <w:hideMark/>
                                </w:tcPr>
                                <w:p w14:paraId="3F6CFE9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13,673.0 </w:t>
                                  </w:r>
                                </w:p>
                              </w:tc>
                              <w:tc>
                                <w:tcPr>
                                  <w:tcW w:w="980" w:type="dxa"/>
                                  <w:tcBorders>
                                    <w:top w:val="single" w:sz="4" w:space="0" w:color="000000"/>
                                    <w:left w:val="nil"/>
                                    <w:bottom w:val="nil"/>
                                    <w:right w:val="nil"/>
                                  </w:tcBorders>
                                  <w:hideMark/>
                                </w:tcPr>
                                <w:p w14:paraId="5370869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11,680.0 </w:t>
                                  </w:r>
                                </w:p>
                              </w:tc>
                              <w:tc>
                                <w:tcPr>
                                  <w:tcW w:w="980" w:type="dxa"/>
                                  <w:tcBorders>
                                    <w:top w:val="single" w:sz="4" w:space="0" w:color="000000"/>
                                    <w:left w:val="nil"/>
                                    <w:bottom w:val="nil"/>
                                    <w:right w:val="nil"/>
                                  </w:tcBorders>
                                  <w:hideMark/>
                                </w:tcPr>
                                <w:p w14:paraId="1EE7C8C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15,511.0 </w:t>
                                  </w:r>
                                </w:p>
                              </w:tc>
                              <w:tc>
                                <w:tcPr>
                                  <w:tcW w:w="1080" w:type="dxa"/>
                                  <w:tcBorders>
                                    <w:top w:val="single" w:sz="4" w:space="0" w:color="000000"/>
                                    <w:left w:val="nil"/>
                                    <w:bottom w:val="nil"/>
                                    <w:right w:val="nil"/>
                                  </w:tcBorders>
                                  <w:hideMark/>
                                </w:tcPr>
                                <w:p w14:paraId="3D0EABE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19,436.0 </w:t>
                                  </w:r>
                                </w:p>
                              </w:tc>
                            </w:tr>
                            <w:tr w:rsidR="0014207C" w:rsidRPr="0014207C" w14:paraId="4F6FE9FB" w14:textId="77777777" w:rsidTr="0014207C">
                              <w:trPr>
                                <w:trHeight w:val="204"/>
                              </w:trPr>
                              <w:tc>
                                <w:tcPr>
                                  <w:tcW w:w="2900" w:type="dxa"/>
                                  <w:tcBorders>
                                    <w:top w:val="nil"/>
                                    <w:left w:val="nil"/>
                                    <w:bottom w:val="nil"/>
                                    <w:right w:val="nil"/>
                                  </w:tcBorders>
                                  <w:noWrap/>
                                  <w:hideMark/>
                                </w:tcPr>
                                <w:p w14:paraId="35A6138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Pref. Dividends and Other Adj.</w:t>
                                  </w:r>
                                </w:p>
                              </w:tc>
                              <w:tc>
                                <w:tcPr>
                                  <w:tcW w:w="980" w:type="dxa"/>
                                  <w:tcBorders>
                                    <w:top w:val="nil"/>
                                    <w:left w:val="nil"/>
                                    <w:bottom w:val="nil"/>
                                    <w:right w:val="nil"/>
                                  </w:tcBorders>
                                  <w:hideMark/>
                                </w:tcPr>
                                <w:p w14:paraId="3F484DB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53D9D18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648DB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429D47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3C78F2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9CB83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72C4371" w14:textId="77777777" w:rsidTr="0014207C">
                              <w:trPr>
                                <w:trHeight w:val="204"/>
                              </w:trPr>
                              <w:tc>
                                <w:tcPr>
                                  <w:tcW w:w="2900" w:type="dxa"/>
                                  <w:tcBorders>
                                    <w:top w:val="nil"/>
                                    <w:left w:val="nil"/>
                                    <w:bottom w:val="nil"/>
                                    <w:right w:val="nil"/>
                                  </w:tcBorders>
                                  <w:noWrap/>
                                  <w:hideMark/>
                                </w:tcPr>
                                <w:p w14:paraId="137034F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NI to Common Incl Extra Items</w:t>
                                  </w:r>
                                </w:p>
                              </w:tc>
                              <w:tc>
                                <w:tcPr>
                                  <w:tcW w:w="980" w:type="dxa"/>
                                  <w:tcBorders>
                                    <w:top w:val="nil"/>
                                    <w:left w:val="nil"/>
                                    <w:bottom w:val="nil"/>
                                    <w:right w:val="nil"/>
                                  </w:tcBorders>
                                  <w:hideMark/>
                                </w:tcPr>
                                <w:p w14:paraId="52AD18C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14,881.0 </w:t>
                                  </w:r>
                                </w:p>
                              </w:tc>
                              <w:tc>
                                <w:tcPr>
                                  <w:tcW w:w="1097" w:type="dxa"/>
                                  <w:tcBorders>
                                    <w:top w:val="nil"/>
                                    <w:left w:val="nil"/>
                                    <w:bottom w:val="nil"/>
                                    <w:right w:val="nil"/>
                                  </w:tcBorders>
                                  <w:hideMark/>
                                </w:tcPr>
                                <w:p w14:paraId="559CB92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13,510.0 </w:t>
                                  </w:r>
                                </w:p>
                              </w:tc>
                              <w:tc>
                                <w:tcPr>
                                  <w:tcW w:w="980" w:type="dxa"/>
                                  <w:tcBorders>
                                    <w:top w:val="nil"/>
                                    <w:left w:val="nil"/>
                                    <w:bottom w:val="nil"/>
                                    <w:right w:val="nil"/>
                                  </w:tcBorders>
                                  <w:hideMark/>
                                </w:tcPr>
                                <w:p w14:paraId="7878CB3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13,673.0 </w:t>
                                  </w:r>
                                </w:p>
                              </w:tc>
                              <w:tc>
                                <w:tcPr>
                                  <w:tcW w:w="980" w:type="dxa"/>
                                  <w:tcBorders>
                                    <w:top w:val="nil"/>
                                    <w:left w:val="nil"/>
                                    <w:bottom w:val="nil"/>
                                    <w:right w:val="nil"/>
                                  </w:tcBorders>
                                  <w:hideMark/>
                                </w:tcPr>
                                <w:p w14:paraId="4D19BF7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11,680.0 </w:t>
                                  </w:r>
                                </w:p>
                              </w:tc>
                              <w:tc>
                                <w:tcPr>
                                  <w:tcW w:w="980" w:type="dxa"/>
                                  <w:tcBorders>
                                    <w:top w:val="nil"/>
                                    <w:left w:val="nil"/>
                                    <w:bottom w:val="nil"/>
                                    <w:right w:val="nil"/>
                                  </w:tcBorders>
                                  <w:hideMark/>
                                </w:tcPr>
                                <w:p w14:paraId="6FD3566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15,511.0 </w:t>
                                  </w:r>
                                </w:p>
                              </w:tc>
                              <w:tc>
                                <w:tcPr>
                                  <w:tcW w:w="1080" w:type="dxa"/>
                                  <w:tcBorders>
                                    <w:top w:val="nil"/>
                                    <w:left w:val="nil"/>
                                    <w:bottom w:val="nil"/>
                                    <w:right w:val="nil"/>
                                  </w:tcBorders>
                                  <w:hideMark/>
                                </w:tcPr>
                                <w:p w14:paraId="19A6984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19,436.0 </w:t>
                                  </w:r>
                                </w:p>
                              </w:tc>
                            </w:tr>
                            <w:tr w:rsidR="0014207C" w:rsidRPr="0014207C" w14:paraId="04B3AB6C" w14:textId="77777777" w:rsidTr="0014207C">
                              <w:trPr>
                                <w:trHeight w:val="204"/>
                              </w:trPr>
                              <w:tc>
                                <w:tcPr>
                                  <w:tcW w:w="2900" w:type="dxa"/>
                                  <w:tcBorders>
                                    <w:top w:val="nil"/>
                                    <w:left w:val="nil"/>
                                    <w:bottom w:val="nil"/>
                                    <w:right w:val="nil"/>
                                  </w:tcBorders>
                                  <w:noWrap/>
                                  <w:hideMark/>
                                </w:tcPr>
                                <w:p w14:paraId="68241E9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NI to Common Excl. Extra Items</w:t>
                                  </w:r>
                                </w:p>
                              </w:tc>
                              <w:tc>
                                <w:tcPr>
                                  <w:tcW w:w="980" w:type="dxa"/>
                                  <w:tcBorders>
                                    <w:top w:val="nil"/>
                                    <w:left w:val="nil"/>
                                    <w:bottom w:val="nil"/>
                                    <w:right w:val="nil"/>
                                  </w:tcBorders>
                                  <w:hideMark/>
                                </w:tcPr>
                                <w:p w14:paraId="4CB761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14,881.0 </w:t>
                                  </w:r>
                                </w:p>
                              </w:tc>
                              <w:tc>
                                <w:tcPr>
                                  <w:tcW w:w="1097" w:type="dxa"/>
                                  <w:tcBorders>
                                    <w:top w:val="nil"/>
                                    <w:left w:val="nil"/>
                                    <w:bottom w:val="nil"/>
                                    <w:right w:val="nil"/>
                                  </w:tcBorders>
                                  <w:hideMark/>
                                </w:tcPr>
                                <w:p w14:paraId="322BE2C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13,510.0 </w:t>
                                  </w:r>
                                </w:p>
                              </w:tc>
                              <w:tc>
                                <w:tcPr>
                                  <w:tcW w:w="980" w:type="dxa"/>
                                  <w:tcBorders>
                                    <w:top w:val="nil"/>
                                    <w:left w:val="nil"/>
                                    <w:bottom w:val="nil"/>
                                    <w:right w:val="nil"/>
                                  </w:tcBorders>
                                  <w:hideMark/>
                                </w:tcPr>
                                <w:p w14:paraId="58A6A79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13,673.0 </w:t>
                                  </w:r>
                                </w:p>
                              </w:tc>
                              <w:tc>
                                <w:tcPr>
                                  <w:tcW w:w="980" w:type="dxa"/>
                                  <w:tcBorders>
                                    <w:top w:val="nil"/>
                                    <w:left w:val="nil"/>
                                    <w:bottom w:val="nil"/>
                                    <w:right w:val="nil"/>
                                  </w:tcBorders>
                                  <w:hideMark/>
                                </w:tcPr>
                                <w:p w14:paraId="0C78C69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11,680.0 </w:t>
                                  </w:r>
                                </w:p>
                              </w:tc>
                              <w:tc>
                                <w:tcPr>
                                  <w:tcW w:w="980" w:type="dxa"/>
                                  <w:tcBorders>
                                    <w:top w:val="nil"/>
                                    <w:left w:val="nil"/>
                                    <w:bottom w:val="nil"/>
                                    <w:right w:val="nil"/>
                                  </w:tcBorders>
                                  <w:hideMark/>
                                </w:tcPr>
                                <w:p w14:paraId="106679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15,511.0 </w:t>
                                  </w:r>
                                </w:p>
                              </w:tc>
                              <w:tc>
                                <w:tcPr>
                                  <w:tcW w:w="1080" w:type="dxa"/>
                                  <w:tcBorders>
                                    <w:top w:val="nil"/>
                                    <w:left w:val="nil"/>
                                    <w:bottom w:val="nil"/>
                                    <w:right w:val="nil"/>
                                  </w:tcBorders>
                                  <w:hideMark/>
                                </w:tcPr>
                                <w:p w14:paraId="4656A2E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19,436.0 </w:t>
                                  </w:r>
                                </w:p>
                              </w:tc>
                            </w:tr>
                            <w:tr w:rsidR="0014207C" w:rsidRPr="0014207C" w14:paraId="75AD5B28" w14:textId="77777777" w:rsidTr="0014207C">
                              <w:trPr>
                                <w:trHeight w:val="204"/>
                              </w:trPr>
                              <w:tc>
                                <w:tcPr>
                                  <w:tcW w:w="2900" w:type="dxa"/>
                                  <w:tcBorders>
                                    <w:top w:val="nil"/>
                                    <w:left w:val="nil"/>
                                    <w:bottom w:val="nil"/>
                                    <w:right w:val="nil"/>
                                  </w:tcBorders>
                                  <w:noWrap/>
                                  <w:hideMark/>
                                </w:tcPr>
                                <w:p w14:paraId="7BC3F040"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Per Share Items</w:t>
                                  </w:r>
                                </w:p>
                              </w:tc>
                              <w:tc>
                                <w:tcPr>
                                  <w:tcW w:w="980" w:type="dxa"/>
                                  <w:tcBorders>
                                    <w:top w:val="nil"/>
                                    <w:left w:val="nil"/>
                                    <w:bottom w:val="nil"/>
                                    <w:right w:val="nil"/>
                                  </w:tcBorders>
                                  <w:noWrap/>
                                  <w:hideMark/>
                                </w:tcPr>
                                <w:p w14:paraId="26E4B2EC"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1097" w:type="dxa"/>
                                  <w:tcBorders>
                                    <w:top w:val="nil"/>
                                    <w:left w:val="nil"/>
                                    <w:bottom w:val="nil"/>
                                    <w:right w:val="nil"/>
                                  </w:tcBorders>
                                  <w:noWrap/>
                                  <w:hideMark/>
                                </w:tcPr>
                                <w:p w14:paraId="2EB0E25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52E754C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0FAC533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61009D7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hideMark/>
                                </w:tcPr>
                                <w:p w14:paraId="6FA7066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0BB776C6" w14:textId="77777777" w:rsidTr="0014207C">
                              <w:trPr>
                                <w:trHeight w:val="204"/>
                              </w:trPr>
                              <w:tc>
                                <w:tcPr>
                                  <w:tcW w:w="2900" w:type="dxa"/>
                                  <w:tcBorders>
                                    <w:top w:val="nil"/>
                                    <w:left w:val="nil"/>
                                    <w:bottom w:val="nil"/>
                                    <w:right w:val="nil"/>
                                  </w:tcBorders>
                                  <w:noWrap/>
                                  <w:hideMark/>
                                </w:tcPr>
                                <w:p w14:paraId="168F012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Basic EPS</w:t>
                                  </w:r>
                                </w:p>
                              </w:tc>
                              <w:tc>
                                <w:tcPr>
                                  <w:tcW w:w="980" w:type="dxa"/>
                                  <w:tcBorders>
                                    <w:top w:val="nil"/>
                                    <w:left w:val="nil"/>
                                    <w:bottom w:val="nil"/>
                                    <w:right w:val="nil"/>
                                  </w:tcBorders>
                                  <w:hideMark/>
                                </w:tcPr>
                                <w:p w14:paraId="072BCC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$1.74 </w:t>
                                  </w:r>
                                </w:p>
                              </w:tc>
                              <w:tc>
                                <w:tcPr>
                                  <w:tcW w:w="1097" w:type="dxa"/>
                                  <w:tcBorders>
                                    <w:top w:val="nil"/>
                                    <w:left w:val="nil"/>
                                    <w:bottom w:val="nil"/>
                                    <w:right w:val="nil"/>
                                  </w:tcBorders>
                                  <w:hideMark/>
                                </w:tcPr>
                                <w:p w14:paraId="365B83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$1.59 </w:t>
                                  </w:r>
                                </w:p>
                              </w:tc>
                              <w:tc>
                                <w:tcPr>
                                  <w:tcW w:w="980" w:type="dxa"/>
                                  <w:tcBorders>
                                    <w:top w:val="nil"/>
                                    <w:left w:val="nil"/>
                                    <w:bottom w:val="nil"/>
                                    <w:right w:val="nil"/>
                                  </w:tcBorders>
                                  <w:hideMark/>
                                </w:tcPr>
                                <w:p w14:paraId="6FD928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$1.63 </w:t>
                                  </w:r>
                                </w:p>
                              </w:tc>
                              <w:tc>
                                <w:tcPr>
                                  <w:tcW w:w="980" w:type="dxa"/>
                                  <w:tcBorders>
                                    <w:top w:val="nil"/>
                                    <w:left w:val="nil"/>
                                    <w:bottom w:val="nil"/>
                                    <w:right w:val="nil"/>
                                  </w:tcBorders>
                                  <w:hideMark/>
                                </w:tcPr>
                                <w:p w14:paraId="78E4236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 </w:t>
                                  </w:r>
                                </w:p>
                              </w:tc>
                              <w:tc>
                                <w:tcPr>
                                  <w:tcW w:w="980" w:type="dxa"/>
                                  <w:tcBorders>
                                    <w:top w:val="nil"/>
                                    <w:left w:val="nil"/>
                                    <w:bottom w:val="nil"/>
                                    <w:right w:val="nil"/>
                                  </w:tcBorders>
                                  <w:hideMark/>
                                </w:tcPr>
                                <w:p w14:paraId="632EAB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 </w:t>
                                  </w:r>
                                </w:p>
                              </w:tc>
                              <w:tc>
                                <w:tcPr>
                                  <w:tcW w:w="1080" w:type="dxa"/>
                                  <w:tcBorders>
                                    <w:top w:val="nil"/>
                                    <w:left w:val="nil"/>
                                    <w:bottom w:val="nil"/>
                                    <w:right w:val="nil"/>
                                  </w:tcBorders>
                                  <w:hideMark/>
                                </w:tcPr>
                                <w:p w14:paraId="106848A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 </w:t>
                                  </w:r>
                                </w:p>
                              </w:tc>
                            </w:tr>
                            <w:tr w:rsidR="0014207C" w:rsidRPr="0014207C" w14:paraId="33FAB8C6" w14:textId="77777777" w:rsidTr="0014207C">
                              <w:trPr>
                                <w:trHeight w:val="204"/>
                              </w:trPr>
                              <w:tc>
                                <w:tcPr>
                                  <w:tcW w:w="2900" w:type="dxa"/>
                                  <w:tcBorders>
                                    <w:top w:val="nil"/>
                                    <w:left w:val="nil"/>
                                    <w:bottom w:val="nil"/>
                                    <w:right w:val="nil"/>
                                  </w:tcBorders>
                                  <w:noWrap/>
                                  <w:hideMark/>
                                </w:tcPr>
                                <w:p w14:paraId="1854507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Basic EPS Excl. Extra Items</w:t>
                                  </w:r>
                                </w:p>
                              </w:tc>
                              <w:tc>
                                <w:tcPr>
                                  <w:tcW w:w="980" w:type="dxa"/>
                                  <w:tcBorders>
                                    <w:top w:val="nil"/>
                                    <w:left w:val="nil"/>
                                    <w:bottom w:val="nil"/>
                                    <w:right w:val="nil"/>
                                  </w:tcBorders>
                                  <w:hideMark/>
                                </w:tcPr>
                                <w:p w14:paraId="759EAF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1.74 </w:t>
                                  </w:r>
                                </w:p>
                              </w:tc>
                              <w:tc>
                                <w:tcPr>
                                  <w:tcW w:w="1097" w:type="dxa"/>
                                  <w:tcBorders>
                                    <w:top w:val="nil"/>
                                    <w:left w:val="nil"/>
                                    <w:bottom w:val="nil"/>
                                    <w:right w:val="nil"/>
                                  </w:tcBorders>
                                  <w:hideMark/>
                                </w:tcPr>
                                <w:p w14:paraId="63C39BC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1.59 </w:t>
                                  </w:r>
                                </w:p>
                              </w:tc>
                              <w:tc>
                                <w:tcPr>
                                  <w:tcW w:w="980" w:type="dxa"/>
                                  <w:tcBorders>
                                    <w:top w:val="nil"/>
                                    <w:left w:val="nil"/>
                                    <w:bottom w:val="nil"/>
                                    <w:right w:val="nil"/>
                                  </w:tcBorders>
                                  <w:hideMark/>
                                </w:tcPr>
                                <w:p w14:paraId="623B423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1.63 </w:t>
                                  </w:r>
                                </w:p>
                              </w:tc>
                              <w:tc>
                                <w:tcPr>
                                  <w:tcW w:w="980" w:type="dxa"/>
                                  <w:tcBorders>
                                    <w:top w:val="nil"/>
                                    <w:left w:val="nil"/>
                                    <w:bottom w:val="nil"/>
                                    <w:right w:val="nil"/>
                                  </w:tcBorders>
                                  <w:hideMark/>
                                </w:tcPr>
                                <w:p w14:paraId="1667D83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 </w:t>
                                  </w:r>
                                </w:p>
                              </w:tc>
                              <w:tc>
                                <w:tcPr>
                                  <w:tcW w:w="980" w:type="dxa"/>
                                  <w:tcBorders>
                                    <w:top w:val="nil"/>
                                    <w:left w:val="nil"/>
                                    <w:bottom w:val="nil"/>
                                    <w:right w:val="nil"/>
                                  </w:tcBorders>
                                  <w:hideMark/>
                                </w:tcPr>
                                <w:p w14:paraId="28DDFA6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 </w:t>
                                  </w:r>
                                </w:p>
                              </w:tc>
                              <w:tc>
                                <w:tcPr>
                                  <w:tcW w:w="1080" w:type="dxa"/>
                                  <w:tcBorders>
                                    <w:top w:val="nil"/>
                                    <w:left w:val="nil"/>
                                    <w:bottom w:val="nil"/>
                                    <w:right w:val="nil"/>
                                  </w:tcBorders>
                                  <w:hideMark/>
                                </w:tcPr>
                                <w:p w14:paraId="66DC7ED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 </w:t>
                                  </w:r>
                                </w:p>
                              </w:tc>
                            </w:tr>
                            <w:tr w:rsidR="0014207C" w:rsidRPr="0014207C" w14:paraId="0F2D57BA" w14:textId="77777777" w:rsidTr="0014207C">
                              <w:trPr>
                                <w:trHeight w:val="204"/>
                              </w:trPr>
                              <w:tc>
                                <w:tcPr>
                                  <w:tcW w:w="2900" w:type="dxa"/>
                                  <w:tcBorders>
                                    <w:top w:val="nil"/>
                                    <w:left w:val="nil"/>
                                    <w:bottom w:val="nil"/>
                                    <w:right w:val="nil"/>
                                  </w:tcBorders>
                                  <w:noWrap/>
                                  <w:hideMark/>
                                </w:tcPr>
                                <w:p w14:paraId="348F666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Weighted Avg. Basic Shares Out.</w:t>
                                  </w:r>
                                </w:p>
                              </w:tc>
                              <w:tc>
                                <w:tcPr>
                                  <w:tcW w:w="980" w:type="dxa"/>
                                  <w:tcBorders>
                                    <w:top w:val="nil"/>
                                    <w:left w:val="nil"/>
                                    <w:bottom w:val="nil"/>
                                    <w:right w:val="nil"/>
                                  </w:tcBorders>
                                  <w:hideMark/>
                                </w:tcPr>
                                <w:p w14:paraId="7C57B15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8,550.0 </w:t>
                                  </w:r>
                                </w:p>
                              </w:tc>
                              <w:tc>
                                <w:tcPr>
                                  <w:tcW w:w="1097" w:type="dxa"/>
                                  <w:tcBorders>
                                    <w:top w:val="nil"/>
                                    <w:left w:val="nil"/>
                                    <w:bottom w:val="nil"/>
                                    <w:right w:val="nil"/>
                                  </w:tcBorders>
                                  <w:hideMark/>
                                </w:tcPr>
                                <w:p w14:paraId="4B3C2EF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8,493.0 </w:t>
                                  </w:r>
                                </w:p>
                              </w:tc>
                              <w:tc>
                                <w:tcPr>
                                  <w:tcW w:w="980" w:type="dxa"/>
                                  <w:tcBorders>
                                    <w:top w:val="nil"/>
                                    <w:left w:val="nil"/>
                                    <w:bottom w:val="nil"/>
                                    <w:right w:val="nil"/>
                                  </w:tcBorders>
                                  <w:hideMark/>
                                </w:tcPr>
                                <w:p w14:paraId="5EE2FF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8,376.0 </w:t>
                                  </w:r>
                                </w:p>
                              </w:tc>
                              <w:tc>
                                <w:tcPr>
                                  <w:tcW w:w="980" w:type="dxa"/>
                                  <w:tcBorders>
                                    <w:top w:val="nil"/>
                                    <w:left w:val="nil"/>
                                    <w:bottom w:val="nil"/>
                                    <w:right w:val="nil"/>
                                  </w:tcBorders>
                                  <w:hideMark/>
                                </w:tcPr>
                                <w:p w14:paraId="457ADEF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8,171.0 </w:t>
                                  </w:r>
                                </w:p>
                              </w:tc>
                              <w:tc>
                                <w:tcPr>
                                  <w:tcW w:w="980" w:type="dxa"/>
                                  <w:tcBorders>
                                    <w:top w:val="nil"/>
                                    <w:left w:val="nil"/>
                                    <w:bottom w:val="nil"/>
                                    <w:right w:val="nil"/>
                                  </w:tcBorders>
                                  <w:hideMark/>
                                </w:tcPr>
                                <w:p w14:paraId="15C87E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8,077.0 </w:t>
                                  </w:r>
                                </w:p>
                              </w:tc>
                              <w:tc>
                                <w:tcPr>
                                  <w:tcW w:w="1080" w:type="dxa"/>
                                  <w:tcBorders>
                                    <w:top w:val="nil"/>
                                    <w:left w:val="nil"/>
                                    <w:bottom w:val="nil"/>
                                    <w:right w:val="nil"/>
                                  </w:tcBorders>
                                  <w:hideMark/>
                                </w:tcPr>
                                <w:p w14:paraId="47AE923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8,041.0 </w:t>
                                  </w:r>
                                </w:p>
                              </w:tc>
                            </w:tr>
                            <w:tr w:rsidR="0014207C" w:rsidRPr="0014207C" w14:paraId="0237E551" w14:textId="77777777" w:rsidTr="0014207C">
                              <w:trPr>
                                <w:trHeight w:val="204"/>
                              </w:trPr>
                              <w:tc>
                                <w:tcPr>
                                  <w:tcW w:w="2900" w:type="dxa"/>
                                  <w:tcBorders>
                                    <w:top w:val="nil"/>
                                    <w:left w:val="nil"/>
                                    <w:bottom w:val="nil"/>
                                    <w:right w:val="nil"/>
                                  </w:tcBorders>
                                  <w:noWrap/>
                                  <w:hideMark/>
                                </w:tcPr>
                                <w:p w14:paraId="598B301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Diluted EPS</w:t>
                                  </w:r>
                                </w:p>
                              </w:tc>
                              <w:tc>
                                <w:tcPr>
                                  <w:tcW w:w="980" w:type="dxa"/>
                                  <w:tcBorders>
                                    <w:top w:val="nil"/>
                                    <w:left w:val="nil"/>
                                    <w:bottom w:val="nil"/>
                                    <w:right w:val="nil"/>
                                  </w:tcBorders>
                                  <w:hideMark/>
                                </w:tcPr>
                                <w:p w14:paraId="4BBFF08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$1.73 </w:t>
                                  </w:r>
                                </w:p>
                              </w:tc>
                              <w:tc>
                                <w:tcPr>
                                  <w:tcW w:w="1097" w:type="dxa"/>
                                  <w:tcBorders>
                                    <w:top w:val="nil"/>
                                    <w:left w:val="nil"/>
                                    <w:bottom w:val="nil"/>
                                    <w:right w:val="nil"/>
                                  </w:tcBorders>
                                  <w:hideMark/>
                                </w:tcPr>
                                <w:p w14:paraId="1D7BB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 </w:t>
                                  </w:r>
                                </w:p>
                              </w:tc>
                              <w:tc>
                                <w:tcPr>
                                  <w:tcW w:w="980" w:type="dxa"/>
                                  <w:tcBorders>
                                    <w:top w:val="nil"/>
                                    <w:left w:val="nil"/>
                                    <w:bottom w:val="nil"/>
                                    <w:right w:val="nil"/>
                                  </w:tcBorders>
                                  <w:hideMark/>
                                </w:tcPr>
                                <w:p w14:paraId="2ECEF7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 </w:t>
                                  </w:r>
                                </w:p>
                              </w:tc>
                              <w:tc>
                                <w:tcPr>
                                  <w:tcW w:w="980" w:type="dxa"/>
                                  <w:tcBorders>
                                    <w:top w:val="nil"/>
                                    <w:left w:val="nil"/>
                                    <w:bottom w:val="nil"/>
                                    <w:right w:val="nil"/>
                                  </w:tcBorders>
                                  <w:hideMark/>
                                </w:tcPr>
                                <w:p w14:paraId="54F2717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$1.42 </w:t>
                                  </w:r>
                                </w:p>
                              </w:tc>
                              <w:tc>
                                <w:tcPr>
                                  <w:tcW w:w="980" w:type="dxa"/>
                                  <w:tcBorders>
                                    <w:top w:val="nil"/>
                                    <w:left w:val="nil"/>
                                    <w:bottom w:val="nil"/>
                                    <w:right w:val="nil"/>
                                  </w:tcBorders>
                                  <w:hideMark/>
                                </w:tcPr>
                                <w:p w14:paraId="73F7749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 </w:t>
                                  </w:r>
                                </w:p>
                              </w:tc>
                              <w:tc>
                                <w:tcPr>
                                  <w:tcW w:w="1080" w:type="dxa"/>
                                  <w:tcBorders>
                                    <w:top w:val="nil"/>
                                    <w:left w:val="nil"/>
                                    <w:bottom w:val="nil"/>
                                    <w:right w:val="nil"/>
                                  </w:tcBorders>
                                  <w:hideMark/>
                                </w:tcPr>
                                <w:p w14:paraId="77408B9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 </w:t>
                                  </w:r>
                                </w:p>
                              </w:tc>
                            </w:tr>
                            <w:tr w:rsidR="0014207C" w:rsidRPr="0014207C" w14:paraId="1A50EBD0" w14:textId="77777777" w:rsidTr="0014207C">
                              <w:trPr>
                                <w:trHeight w:val="204"/>
                              </w:trPr>
                              <w:tc>
                                <w:tcPr>
                                  <w:tcW w:w="2900" w:type="dxa"/>
                                  <w:tcBorders>
                                    <w:top w:val="nil"/>
                                    <w:left w:val="nil"/>
                                    <w:bottom w:val="nil"/>
                                    <w:right w:val="nil"/>
                                  </w:tcBorders>
                                  <w:noWrap/>
                                  <w:hideMark/>
                                </w:tcPr>
                                <w:p w14:paraId="3565169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Diluted EPS Excl. Extra Items</w:t>
                                  </w:r>
                                </w:p>
                              </w:tc>
                              <w:tc>
                                <w:tcPr>
                                  <w:tcW w:w="980" w:type="dxa"/>
                                  <w:tcBorders>
                                    <w:top w:val="nil"/>
                                    <w:left w:val="nil"/>
                                    <w:bottom w:val="nil"/>
                                    <w:right w:val="nil"/>
                                  </w:tcBorders>
                                  <w:hideMark/>
                                </w:tcPr>
                                <w:p w14:paraId="0220614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1.73 </w:t>
                                  </w:r>
                                </w:p>
                              </w:tc>
                              <w:tc>
                                <w:tcPr>
                                  <w:tcW w:w="1097" w:type="dxa"/>
                                  <w:tcBorders>
                                    <w:top w:val="nil"/>
                                    <w:left w:val="nil"/>
                                    <w:bottom w:val="nil"/>
                                    <w:right w:val="nil"/>
                                  </w:tcBorders>
                                  <w:hideMark/>
                                </w:tcPr>
                                <w:p w14:paraId="2F3F75D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 </w:t>
                                  </w:r>
                                </w:p>
                              </w:tc>
                              <w:tc>
                                <w:tcPr>
                                  <w:tcW w:w="980" w:type="dxa"/>
                                  <w:tcBorders>
                                    <w:top w:val="nil"/>
                                    <w:left w:val="nil"/>
                                    <w:bottom w:val="nil"/>
                                    <w:right w:val="nil"/>
                                  </w:tcBorders>
                                  <w:hideMark/>
                                </w:tcPr>
                                <w:p w14:paraId="3097BB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 </w:t>
                                  </w:r>
                                </w:p>
                              </w:tc>
                              <w:tc>
                                <w:tcPr>
                                  <w:tcW w:w="980" w:type="dxa"/>
                                  <w:tcBorders>
                                    <w:top w:val="nil"/>
                                    <w:left w:val="nil"/>
                                    <w:bottom w:val="nil"/>
                                    <w:right w:val="nil"/>
                                  </w:tcBorders>
                                  <w:hideMark/>
                                </w:tcPr>
                                <w:p w14:paraId="47F3AB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1.42 </w:t>
                                  </w:r>
                                </w:p>
                              </w:tc>
                              <w:tc>
                                <w:tcPr>
                                  <w:tcW w:w="980" w:type="dxa"/>
                                  <w:tcBorders>
                                    <w:top w:val="nil"/>
                                    <w:left w:val="nil"/>
                                    <w:bottom w:val="nil"/>
                                    <w:right w:val="nil"/>
                                  </w:tcBorders>
                                  <w:hideMark/>
                                </w:tcPr>
                                <w:p w14:paraId="69F5CA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 </w:t>
                                  </w:r>
                                </w:p>
                              </w:tc>
                              <w:tc>
                                <w:tcPr>
                                  <w:tcW w:w="1080" w:type="dxa"/>
                                  <w:tcBorders>
                                    <w:top w:val="nil"/>
                                    <w:left w:val="nil"/>
                                    <w:bottom w:val="nil"/>
                                    <w:right w:val="nil"/>
                                  </w:tcBorders>
                                  <w:hideMark/>
                                </w:tcPr>
                                <w:p w14:paraId="1555DEC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 </w:t>
                                  </w:r>
                                </w:p>
                              </w:tc>
                            </w:tr>
                            <w:tr w:rsidR="0014207C" w:rsidRPr="0014207C" w14:paraId="1BF22F28" w14:textId="77777777" w:rsidTr="0014207C">
                              <w:trPr>
                                <w:trHeight w:val="204"/>
                              </w:trPr>
                              <w:tc>
                                <w:tcPr>
                                  <w:tcW w:w="2900" w:type="dxa"/>
                                  <w:tcBorders>
                                    <w:top w:val="nil"/>
                                    <w:left w:val="nil"/>
                                    <w:bottom w:val="nil"/>
                                    <w:right w:val="nil"/>
                                  </w:tcBorders>
                                  <w:noWrap/>
                                  <w:hideMark/>
                                </w:tcPr>
                                <w:p w14:paraId="2D734AC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Weighted Avg. Diluted Shares Out.</w:t>
                                  </w:r>
                                </w:p>
                              </w:tc>
                              <w:tc>
                                <w:tcPr>
                                  <w:tcW w:w="980" w:type="dxa"/>
                                  <w:tcBorders>
                                    <w:top w:val="nil"/>
                                    <w:left w:val="nil"/>
                                    <w:bottom w:val="nil"/>
                                    <w:right w:val="nil"/>
                                  </w:tcBorders>
                                  <w:hideMark/>
                                </w:tcPr>
                                <w:p w14:paraId="3B08815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8,604.0 </w:t>
                                  </w:r>
                                </w:p>
                              </w:tc>
                              <w:tc>
                                <w:tcPr>
                                  <w:tcW w:w="1097" w:type="dxa"/>
                                  <w:tcBorders>
                                    <w:top w:val="nil"/>
                                    <w:left w:val="nil"/>
                                    <w:bottom w:val="nil"/>
                                    <w:right w:val="nil"/>
                                  </w:tcBorders>
                                  <w:hideMark/>
                                </w:tcPr>
                                <w:p w14:paraId="5055F6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8,541.0 </w:t>
                                  </w:r>
                                </w:p>
                              </w:tc>
                              <w:tc>
                                <w:tcPr>
                                  <w:tcW w:w="980" w:type="dxa"/>
                                  <w:tcBorders>
                                    <w:top w:val="nil"/>
                                    <w:left w:val="nil"/>
                                    <w:bottom w:val="nil"/>
                                    <w:right w:val="nil"/>
                                  </w:tcBorders>
                                  <w:hideMark/>
                                </w:tcPr>
                                <w:p w14:paraId="0CD0844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8,415.0 </w:t>
                                  </w:r>
                                </w:p>
                              </w:tc>
                              <w:tc>
                                <w:tcPr>
                                  <w:tcW w:w="980" w:type="dxa"/>
                                  <w:tcBorders>
                                    <w:top w:val="nil"/>
                                    <w:left w:val="nil"/>
                                    <w:bottom w:val="nil"/>
                                    <w:right w:val="nil"/>
                                  </w:tcBorders>
                                  <w:hideMark/>
                                </w:tcPr>
                                <w:p w14:paraId="366EFF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8,202.0 </w:t>
                                  </w:r>
                                </w:p>
                              </w:tc>
                              <w:tc>
                                <w:tcPr>
                                  <w:tcW w:w="980" w:type="dxa"/>
                                  <w:tcBorders>
                                    <w:top w:val="nil"/>
                                    <w:left w:val="nil"/>
                                    <w:bottom w:val="nil"/>
                                    <w:right w:val="nil"/>
                                  </w:tcBorders>
                                  <w:hideMark/>
                                </w:tcPr>
                                <w:p w14:paraId="5B502A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8,108.0 </w:t>
                                  </w:r>
                                </w:p>
                              </w:tc>
                              <w:tc>
                                <w:tcPr>
                                  <w:tcW w:w="1080" w:type="dxa"/>
                                  <w:tcBorders>
                                    <w:top w:val="nil"/>
                                    <w:left w:val="nil"/>
                                    <w:bottom w:val="nil"/>
                                    <w:right w:val="nil"/>
                                  </w:tcBorders>
                                  <w:hideMark/>
                                </w:tcPr>
                                <w:p w14:paraId="2D75D17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8,081.0 </w:t>
                                  </w:r>
                                </w:p>
                              </w:tc>
                            </w:tr>
                            <w:tr w:rsidR="0014207C" w:rsidRPr="0014207C" w14:paraId="1D4530E2" w14:textId="77777777" w:rsidTr="0014207C">
                              <w:trPr>
                                <w:trHeight w:val="204"/>
                              </w:trPr>
                              <w:tc>
                                <w:tcPr>
                                  <w:tcW w:w="2900" w:type="dxa"/>
                                  <w:tcBorders>
                                    <w:top w:val="nil"/>
                                    <w:left w:val="nil"/>
                                    <w:bottom w:val="nil"/>
                                    <w:right w:val="nil"/>
                                  </w:tcBorders>
                                  <w:noWrap/>
                                  <w:hideMark/>
                                </w:tcPr>
                                <w:p w14:paraId="3507D2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Normalized Basic EPS</w:t>
                                  </w:r>
                                </w:p>
                              </w:tc>
                              <w:tc>
                                <w:tcPr>
                                  <w:tcW w:w="980" w:type="dxa"/>
                                  <w:tcBorders>
                                    <w:top w:val="nil"/>
                                    <w:left w:val="nil"/>
                                    <w:bottom w:val="nil"/>
                                    <w:right w:val="nil"/>
                                  </w:tcBorders>
                                  <w:hideMark/>
                                </w:tcPr>
                                <w:p w14:paraId="081D586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 </w:t>
                                  </w:r>
                                </w:p>
                              </w:tc>
                              <w:tc>
                                <w:tcPr>
                                  <w:tcW w:w="1097" w:type="dxa"/>
                                  <w:tcBorders>
                                    <w:top w:val="nil"/>
                                    <w:left w:val="nil"/>
                                    <w:bottom w:val="nil"/>
                                    <w:right w:val="nil"/>
                                  </w:tcBorders>
                                  <w:hideMark/>
                                </w:tcPr>
                                <w:p w14:paraId="68D455F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$1.48 </w:t>
                                  </w:r>
                                </w:p>
                              </w:tc>
                              <w:tc>
                                <w:tcPr>
                                  <w:tcW w:w="980" w:type="dxa"/>
                                  <w:tcBorders>
                                    <w:top w:val="nil"/>
                                    <w:left w:val="nil"/>
                                    <w:bottom w:val="nil"/>
                                    <w:right w:val="nil"/>
                                  </w:tcBorders>
                                  <w:hideMark/>
                                </w:tcPr>
                                <w:p w14:paraId="34F368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 </w:t>
                                  </w:r>
                                </w:p>
                              </w:tc>
                              <w:tc>
                                <w:tcPr>
                                  <w:tcW w:w="980" w:type="dxa"/>
                                  <w:tcBorders>
                                    <w:top w:val="nil"/>
                                    <w:left w:val="nil"/>
                                    <w:bottom w:val="nil"/>
                                    <w:right w:val="nil"/>
                                  </w:tcBorders>
                                  <w:hideMark/>
                                </w:tcPr>
                                <w:p w14:paraId="7905B30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 </w:t>
                                  </w:r>
                                </w:p>
                              </w:tc>
                              <w:tc>
                                <w:tcPr>
                                  <w:tcW w:w="980" w:type="dxa"/>
                                  <w:tcBorders>
                                    <w:top w:val="nil"/>
                                    <w:left w:val="nil"/>
                                    <w:bottom w:val="nil"/>
                                    <w:right w:val="nil"/>
                                  </w:tcBorders>
                                  <w:hideMark/>
                                </w:tcPr>
                                <w:p w14:paraId="6AB1553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$1.84 </w:t>
                                  </w:r>
                                </w:p>
                              </w:tc>
                              <w:tc>
                                <w:tcPr>
                                  <w:tcW w:w="1080" w:type="dxa"/>
                                  <w:tcBorders>
                                    <w:top w:val="nil"/>
                                    <w:left w:val="nil"/>
                                    <w:bottom w:val="nil"/>
                                    <w:right w:val="nil"/>
                                  </w:tcBorders>
                                  <w:hideMark/>
                                </w:tcPr>
                                <w:p w14:paraId="301E80E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$1.97 </w:t>
                                  </w:r>
                                </w:p>
                              </w:tc>
                            </w:tr>
                            <w:tr w:rsidR="0014207C" w:rsidRPr="0014207C" w14:paraId="76A4D0D7" w14:textId="77777777" w:rsidTr="0014207C">
                              <w:trPr>
                                <w:trHeight w:val="204"/>
                              </w:trPr>
                              <w:tc>
                                <w:tcPr>
                                  <w:tcW w:w="2900" w:type="dxa"/>
                                  <w:tcBorders>
                                    <w:top w:val="nil"/>
                                    <w:left w:val="nil"/>
                                    <w:bottom w:val="nil"/>
                                    <w:right w:val="nil"/>
                                  </w:tcBorders>
                                  <w:noWrap/>
                                  <w:hideMark/>
                                </w:tcPr>
                                <w:p w14:paraId="027122B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Normalized Diluted EPS</w:t>
                                  </w:r>
                                </w:p>
                              </w:tc>
                              <w:tc>
                                <w:tcPr>
                                  <w:tcW w:w="980" w:type="dxa"/>
                                  <w:tcBorders>
                                    <w:top w:val="nil"/>
                                    <w:left w:val="nil"/>
                                    <w:bottom w:val="nil"/>
                                    <w:right w:val="nil"/>
                                  </w:tcBorders>
                                  <w:hideMark/>
                                </w:tcPr>
                                <w:p w14:paraId="494CE34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1.35 </w:t>
                                  </w:r>
                                </w:p>
                              </w:tc>
                              <w:tc>
                                <w:tcPr>
                                  <w:tcW w:w="1097" w:type="dxa"/>
                                  <w:tcBorders>
                                    <w:top w:val="nil"/>
                                    <w:left w:val="nil"/>
                                    <w:bottom w:val="nil"/>
                                    <w:right w:val="nil"/>
                                  </w:tcBorders>
                                  <w:hideMark/>
                                </w:tcPr>
                                <w:p w14:paraId="25B7E1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 </w:t>
                                  </w:r>
                                </w:p>
                              </w:tc>
                              <w:tc>
                                <w:tcPr>
                                  <w:tcW w:w="980" w:type="dxa"/>
                                  <w:tcBorders>
                                    <w:top w:val="nil"/>
                                    <w:left w:val="nil"/>
                                    <w:bottom w:val="nil"/>
                                    <w:right w:val="nil"/>
                                  </w:tcBorders>
                                  <w:hideMark/>
                                </w:tcPr>
                                <w:p w14:paraId="1A5C74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1.75 </w:t>
                                  </w:r>
                                </w:p>
                              </w:tc>
                              <w:tc>
                                <w:tcPr>
                                  <w:tcW w:w="980" w:type="dxa"/>
                                  <w:tcBorders>
                                    <w:top w:val="nil"/>
                                    <w:left w:val="nil"/>
                                    <w:bottom w:val="nil"/>
                                    <w:right w:val="nil"/>
                                  </w:tcBorders>
                                  <w:hideMark/>
                                </w:tcPr>
                                <w:p w14:paraId="67DF75E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1.75 </w:t>
                                  </w:r>
                                </w:p>
                              </w:tc>
                              <w:tc>
                                <w:tcPr>
                                  <w:tcW w:w="980" w:type="dxa"/>
                                  <w:tcBorders>
                                    <w:top w:val="nil"/>
                                    <w:left w:val="nil"/>
                                    <w:bottom w:val="nil"/>
                                    <w:right w:val="nil"/>
                                  </w:tcBorders>
                                  <w:hideMark/>
                                </w:tcPr>
                                <w:p w14:paraId="02BB9C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1.84 </w:t>
                                  </w:r>
                                </w:p>
                              </w:tc>
                              <w:tc>
                                <w:tcPr>
                                  <w:tcW w:w="1080" w:type="dxa"/>
                                  <w:tcBorders>
                                    <w:top w:val="nil"/>
                                    <w:left w:val="nil"/>
                                    <w:bottom w:val="nil"/>
                                    <w:right w:val="nil"/>
                                  </w:tcBorders>
                                  <w:hideMark/>
                                </w:tcPr>
                                <w:p w14:paraId="726062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 </w:t>
                                  </w:r>
                                </w:p>
                              </w:tc>
                            </w:tr>
                            <w:tr w:rsidR="0014207C" w:rsidRPr="0014207C" w14:paraId="26C68958" w14:textId="77777777" w:rsidTr="0014207C">
                              <w:trPr>
                                <w:trHeight w:val="204"/>
                              </w:trPr>
                              <w:tc>
                                <w:tcPr>
                                  <w:tcW w:w="2900" w:type="dxa"/>
                                  <w:tcBorders>
                                    <w:top w:val="nil"/>
                                    <w:left w:val="nil"/>
                                    <w:bottom w:val="nil"/>
                                    <w:right w:val="nil"/>
                                  </w:tcBorders>
                                  <w:noWrap/>
                                  <w:hideMark/>
                                </w:tcPr>
                                <w:p w14:paraId="2BECB86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Dividends per Share</w:t>
                                  </w:r>
                                </w:p>
                              </w:tc>
                              <w:tc>
                                <w:tcPr>
                                  <w:tcW w:w="980" w:type="dxa"/>
                                  <w:tcBorders>
                                    <w:top w:val="nil"/>
                                    <w:left w:val="nil"/>
                                    <w:bottom w:val="nil"/>
                                    <w:right w:val="nil"/>
                                  </w:tcBorders>
                                  <w:hideMark/>
                                </w:tcPr>
                                <w:p w14:paraId="336BEBD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$0.71 </w:t>
                                  </w:r>
                                </w:p>
                              </w:tc>
                              <w:tc>
                                <w:tcPr>
                                  <w:tcW w:w="1097" w:type="dxa"/>
                                  <w:tcBorders>
                                    <w:top w:val="nil"/>
                                    <w:left w:val="nil"/>
                                    <w:bottom w:val="nil"/>
                                    <w:right w:val="nil"/>
                                  </w:tcBorders>
                                  <w:hideMark/>
                                </w:tcPr>
                                <w:p w14:paraId="4E4454F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$0.72 </w:t>
                                  </w:r>
                                </w:p>
                              </w:tc>
                              <w:tc>
                                <w:tcPr>
                                  <w:tcW w:w="980" w:type="dxa"/>
                                  <w:tcBorders>
                                    <w:top w:val="nil"/>
                                    <w:left w:val="nil"/>
                                    <w:bottom w:val="nil"/>
                                    <w:right w:val="nil"/>
                                  </w:tcBorders>
                                  <w:hideMark/>
                                </w:tcPr>
                                <w:p w14:paraId="2E7BDC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$0.73 </w:t>
                                  </w:r>
                                </w:p>
                              </w:tc>
                              <w:tc>
                                <w:tcPr>
                                  <w:tcW w:w="980" w:type="dxa"/>
                                  <w:tcBorders>
                                    <w:top w:val="nil"/>
                                    <w:left w:val="nil"/>
                                    <w:bottom w:val="nil"/>
                                    <w:right w:val="nil"/>
                                  </w:tcBorders>
                                  <w:hideMark/>
                                </w:tcPr>
                                <w:p w14:paraId="60B5962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$0.75 </w:t>
                                  </w:r>
                                </w:p>
                              </w:tc>
                              <w:tc>
                                <w:tcPr>
                                  <w:tcW w:w="980" w:type="dxa"/>
                                  <w:tcBorders>
                                    <w:top w:val="nil"/>
                                    <w:left w:val="nil"/>
                                    <w:bottom w:val="nil"/>
                                    <w:right w:val="nil"/>
                                  </w:tcBorders>
                                  <w:hideMark/>
                                </w:tcPr>
                                <w:p w14:paraId="314ED9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$0.76 </w:t>
                                  </w:r>
                                </w:p>
                              </w:tc>
                              <w:tc>
                                <w:tcPr>
                                  <w:tcW w:w="1080" w:type="dxa"/>
                                  <w:tcBorders>
                                    <w:top w:val="nil"/>
                                    <w:left w:val="nil"/>
                                    <w:bottom w:val="nil"/>
                                    <w:right w:val="nil"/>
                                  </w:tcBorders>
                                  <w:hideMark/>
                                </w:tcPr>
                                <w:p w14:paraId="38F4EA1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$0.83 </w:t>
                                  </w:r>
                                </w:p>
                              </w:tc>
                            </w:tr>
                            <w:tr w:rsidR="0014207C" w:rsidRPr="0014207C" w14:paraId="4DC7837B" w14:textId="77777777" w:rsidTr="0014207C">
                              <w:trPr>
                                <w:trHeight w:val="204"/>
                              </w:trPr>
                              <w:tc>
                                <w:tcPr>
                                  <w:tcW w:w="2900" w:type="dxa"/>
                                  <w:tcBorders>
                                    <w:top w:val="nil"/>
                                    <w:left w:val="nil"/>
                                    <w:bottom w:val="nil"/>
                                    <w:right w:val="nil"/>
                                  </w:tcBorders>
                                  <w:noWrap/>
                                  <w:hideMark/>
                                </w:tcPr>
                                <w:p w14:paraId="298FC5E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Payout Ratio %</w:t>
                                  </w:r>
                                </w:p>
                              </w:tc>
                              <w:tc>
                                <w:tcPr>
                                  <w:tcW w:w="980" w:type="dxa"/>
                                  <w:tcBorders>
                                    <w:top w:val="nil"/>
                                    <w:left w:val="nil"/>
                                    <w:bottom w:val="nil"/>
                                    <w:right w:val="nil"/>
                                  </w:tcBorders>
                                  <w:hideMark/>
                                </w:tcPr>
                                <w:p w14:paraId="0BA79C4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40.6% </w:t>
                                  </w:r>
                                </w:p>
                              </w:tc>
                              <w:tc>
                                <w:tcPr>
                                  <w:tcW w:w="1097" w:type="dxa"/>
                                  <w:tcBorders>
                                    <w:top w:val="nil"/>
                                    <w:left w:val="nil"/>
                                    <w:bottom w:val="nil"/>
                                    <w:right w:val="nil"/>
                                  </w:tcBorders>
                                  <w:hideMark/>
                                </w:tcPr>
                                <w:p w14:paraId="3822876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45.3% </w:t>
                                  </w:r>
                                </w:p>
                              </w:tc>
                              <w:tc>
                                <w:tcPr>
                                  <w:tcW w:w="980" w:type="dxa"/>
                                  <w:tcBorders>
                                    <w:top w:val="nil"/>
                                    <w:left w:val="nil"/>
                                    <w:bottom w:val="nil"/>
                                    <w:right w:val="nil"/>
                                  </w:tcBorders>
                                  <w:hideMark/>
                                </w:tcPr>
                                <w:p w14:paraId="1FB1B58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45.0% </w:t>
                                  </w:r>
                                </w:p>
                              </w:tc>
                              <w:tc>
                                <w:tcPr>
                                  <w:tcW w:w="980" w:type="dxa"/>
                                  <w:tcBorders>
                                    <w:top w:val="nil"/>
                                    <w:left w:val="nil"/>
                                    <w:bottom w:val="nil"/>
                                    <w:right w:val="nil"/>
                                  </w:tcBorders>
                                  <w:hideMark/>
                                </w:tcPr>
                                <w:p w14:paraId="7F8D51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52.3% </w:t>
                                  </w:r>
                                </w:p>
                              </w:tc>
                              <w:tc>
                                <w:tcPr>
                                  <w:tcW w:w="980" w:type="dxa"/>
                                  <w:tcBorders>
                                    <w:top w:val="nil"/>
                                    <w:left w:val="nil"/>
                                    <w:bottom w:val="nil"/>
                                    <w:right w:val="nil"/>
                                  </w:tcBorders>
                                  <w:hideMark/>
                                </w:tcPr>
                                <w:p w14:paraId="6B8754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39.6% </w:t>
                                  </w:r>
                                </w:p>
                              </w:tc>
                              <w:tc>
                                <w:tcPr>
                                  <w:tcW w:w="1080" w:type="dxa"/>
                                  <w:tcBorders>
                                    <w:top w:val="nil"/>
                                    <w:left w:val="nil"/>
                                    <w:bottom w:val="nil"/>
                                    <w:right w:val="nil"/>
                                  </w:tcBorders>
                                  <w:hideMark/>
                                </w:tcPr>
                                <w:p w14:paraId="41CC18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34.4% </w:t>
                                  </w:r>
                                </w:p>
                              </w:tc>
                            </w:tr>
                            <w:tr w:rsidR="0014207C" w:rsidRPr="0014207C" w14:paraId="566555AA" w14:textId="77777777" w:rsidTr="0014207C">
                              <w:trPr>
                                <w:trHeight w:val="204"/>
                              </w:trPr>
                              <w:tc>
                                <w:tcPr>
                                  <w:tcW w:w="2900" w:type="dxa"/>
                                  <w:tcBorders>
                                    <w:top w:val="nil"/>
                                    <w:left w:val="nil"/>
                                    <w:bottom w:val="nil"/>
                                    <w:right w:val="nil"/>
                                  </w:tcBorders>
                                  <w:noWrap/>
                                  <w:hideMark/>
                                </w:tcPr>
                                <w:p w14:paraId="7A0BF46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Shares per Depository Receipt</w:t>
                                  </w:r>
                                </w:p>
                              </w:tc>
                              <w:tc>
                                <w:tcPr>
                                  <w:tcW w:w="980" w:type="dxa"/>
                                  <w:tcBorders>
                                    <w:top w:val="nil"/>
                                    <w:left w:val="nil"/>
                                    <w:bottom w:val="nil"/>
                                    <w:right w:val="nil"/>
                                  </w:tcBorders>
                                  <w:hideMark/>
                                </w:tcPr>
                                <w:p w14:paraId="37ACE54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1097" w:type="dxa"/>
                                  <w:tcBorders>
                                    <w:top w:val="nil"/>
                                    <w:left w:val="nil"/>
                                    <w:bottom w:val="nil"/>
                                    <w:right w:val="nil"/>
                                  </w:tcBorders>
                                  <w:hideMark/>
                                </w:tcPr>
                                <w:p w14:paraId="7EE462A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1AA991A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7645D6E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705387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1080" w:type="dxa"/>
                                  <w:tcBorders>
                                    <w:top w:val="nil"/>
                                    <w:left w:val="nil"/>
                                    <w:bottom w:val="nil"/>
                                    <w:right w:val="nil"/>
                                  </w:tcBorders>
                                  <w:hideMark/>
                                </w:tcPr>
                                <w:p w14:paraId="4F74FEF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r>
                            <w:tr w:rsidR="0014207C" w:rsidRPr="0014207C" w14:paraId="78DC76AE" w14:textId="77777777" w:rsidTr="0014207C">
                              <w:trPr>
                                <w:trHeight w:val="204"/>
                              </w:trPr>
                              <w:tc>
                                <w:tcPr>
                                  <w:tcW w:w="2900" w:type="dxa"/>
                                  <w:tcBorders>
                                    <w:top w:val="nil"/>
                                    <w:left w:val="nil"/>
                                    <w:bottom w:val="nil"/>
                                    <w:right w:val="nil"/>
                                  </w:tcBorders>
                                  <w:noWrap/>
                                  <w:hideMark/>
                                </w:tcPr>
                                <w:p w14:paraId="08944D1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Supplemental Items</w:t>
                                  </w:r>
                                </w:p>
                              </w:tc>
                              <w:tc>
                                <w:tcPr>
                                  <w:tcW w:w="980" w:type="dxa"/>
                                  <w:tcBorders>
                                    <w:top w:val="nil"/>
                                    <w:left w:val="nil"/>
                                    <w:bottom w:val="nil"/>
                                    <w:right w:val="nil"/>
                                  </w:tcBorders>
                                  <w:noWrap/>
                                  <w:hideMark/>
                                </w:tcPr>
                                <w:p w14:paraId="3C5E98F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1097" w:type="dxa"/>
                                  <w:tcBorders>
                                    <w:top w:val="nil"/>
                                    <w:left w:val="nil"/>
                                    <w:bottom w:val="nil"/>
                                    <w:right w:val="nil"/>
                                  </w:tcBorders>
                                  <w:noWrap/>
                                  <w:hideMark/>
                                </w:tcPr>
                                <w:p w14:paraId="141F104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06BF3CE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718FE84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38CE790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hideMark/>
                                </w:tcPr>
                                <w:p w14:paraId="6406EDC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2700760" w14:textId="77777777" w:rsidTr="0014207C">
                              <w:trPr>
                                <w:trHeight w:val="204"/>
                              </w:trPr>
                              <w:tc>
                                <w:tcPr>
                                  <w:tcW w:w="2900" w:type="dxa"/>
                                  <w:tcBorders>
                                    <w:top w:val="nil"/>
                                    <w:left w:val="nil"/>
                                    <w:bottom w:val="nil"/>
                                    <w:right w:val="nil"/>
                                  </w:tcBorders>
                                  <w:noWrap/>
                                  <w:hideMark/>
                                </w:tcPr>
                                <w:p w14:paraId="3CC1E26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EBITDA</w:t>
                                  </w:r>
                                </w:p>
                              </w:tc>
                              <w:tc>
                                <w:tcPr>
                                  <w:tcW w:w="980" w:type="dxa"/>
                                  <w:tcBorders>
                                    <w:top w:val="nil"/>
                                    <w:left w:val="nil"/>
                                    <w:bottom w:val="nil"/>
                                    <w:right w:val="nil"/>
                                  </w:tcBorders>
                                  <w:hideMark/>
                                </w:tcPr>
                                <w:p w14:paraId="75185B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32,455.0 </w:t>
                                  </w:r>
                                </w:p>
                              </w:tc>
                              <w:tc>
                                <w:tcPr>
                                  <w:tcW w:w="1097" w:type="dxa"/>
                                  <w:tcBorders>
                                    <w:top w:val="nil"/>
                                    <w:left w:val="nil"/>
                                    <w:bottom w:val="nil"/>
                                    <w:right w:val="nil"/>
                                  </w:tcBorders>
                                  <w:hideMark/>
                                </w:tcPr>
                                <w:p w14:paraId="426C80D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33,700.0 </w:t>
                                  </w:r>
                                </w:p>
                              </w:tc>
                              <w:tc>
                                <w:tcPr>
                                  <w:tcW w:w="980" w:type="dxa"/>
                                  <w:tcBorders>
                                    <w:top w:val="nil"/>
                                    <w:left w:val="nil"/>
                                    <w:bottom w:val="nil"/>
                                    <w:right w:val="nil"/>
                                  </w:tcBorders>
                                  <w:hideMark/>
                                </w:tcPr>
                                <w:p w14:paraId="579784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36,600.0 </w:t>
                                  </w:r>
                                </w:p>
                              </w:tc>
                              <w:tc>
                                <w:tcPr>
                                  <w:tcW w:w="980" w:type="dxa"/>
                                  <w:tcBorders>
                                    <w:top w:val="nil"/>
                                    <w:left w:val="nil"/>
                                    <w:bottom w:val="nil"/>
                                    <w:right w:val="nil"/>
                                  </w:tcBorders>
                                  <w:hideMark/>
                                </w:tcPr>
                                <w:p w14:paraId="6AB5DA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35,473.0 </w:t>
                                  </w:r>
                                </w:p>
                              </w:tc>
                              <w:tc>
                                <w:tcPr>
                                  <w:tcW w:w="980" w:type="dxa"/>
                                  <w:tcBorders>
                                    <w:top w:val="nil"/>
                                    <w:left w:val="nil"/>
                                    <w:bottom w:val="nil"/>
                                    <w:right w:val="nil"/>
                                  </w:tcBorders>
                                  <w:hideMark/>
                                </w:tcPr>
                                <w:p w14:paraId="5D87B20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38,865.0 </w:t>
                                  </w:r>
                                </w:p>
                              </w:tc>
                              <w:tc>
                                <w:tcPr>
                                  <w:tcW w:w="1080" w:type="dxa"/>
                                  <w:tcBorders>
                                    <w:top w:val="nil"/>
                                    <w:left w:val="nil"/>
                                    <w:bottom w:val="nil"/>
                                    <w:right w:val="nil"/>
                                  </w:tcBorders>
                                  <w:hideMark/>
                                </w:tcPr>
                                <w:p w14:paraId="39C480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42,477.0 </w:t>
                                  </w:r>
                                </w:p>
                              </w:tc>
                            </w:tr>
                            <w:tr w:rsidR="0014207C" w:rsidRPr="0014207C" w14:paraId="339A7431" w14:textId="77777777" w:rsidTr="0014207C">
                              <w:trPr>
                                <w:trHeight w:val="204"/>
                              </w:trPr>
                              <w:tc>
                                <w:tcPr>
                                  <w:tcW w:w="2900" w:type="dxa"/>
                                  <w:tcBorders>
                                    <w:top w:val="nil"/>
                                    <w:left w:val="nil"/>
                                    <w:bottom w:val="nil"/>
                                    <w:right w:val="nil"/>
                                  </w:tcBorders>
                                  <w:noWrap/>
                                  <w:hideMark/>
                                </w:tcPr>
                                <w:p w14:paraId="5ED7B342"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EBITA</w:t>
                                  </w:r>
                                </w:p>
                              </w:tc>
                              <w:tc>
                                <w:tcPr>
                                  <w:tcW w:w="980" w:type="dxa"/>
                                  <w:tcBorders>
                                    <w:top w:val="nil"/>
                                    <w:left w:val="nil"/>
                                    <w:bottom w:val="nil"/>
                                    <w:right w:val="nil"/>
                                  </w:tcBorders>
                                  <w:hideMark/>
                                </w:tcPr>
                                <w:p w14:paraId="1404CC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17248A6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6FDE92D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48B3505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221EE4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16220E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29,504.0 </w:t>
                                  </w:r>
                                </w:p>
                              </w:tc>
                            </w:tr>
                            <w:tr w:rsidR="0014207C" w:rsidRPr="0014207C" w14:paraId="2AF21A53" w14:textId="77777777" w:rsidTr="0014207C">
                              <w:trPr>
                                <w:trHeight w:val="204"/>
                              </w:trPr>
                              <w:tc>
                                <w:tcPr>
                                  <w:tcW w:w="2900" w:type="dxa"/>
                                  <w:tcBorders>
                                    <w:top w:val="nil"/>
                                    <w:left w:val="nil"/>
                                    <w:bottom w:val="nil"/>
                                    <w:right w:val="nil"/>
                                  </w:tcBorders>
                                  <w:noWrap/>
                                  <w:hideMark/>
                                </w:tcPr>
                                <w:p w14:paraId="4768581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w:t>
                                  </w:r>
                                </w:p>
                              </w:tc>
                              <w:tc>
                                <w:tcPr>
                                  <w:tcW w:w="980" w:type="dxa"/>
                                  <w:tcBorders>
                                    <w:top w:val="nil"/>
                                    <w:left w:val="nil"/>
                                    <w:bottom w:val="nil"/>
                                    <w:right w:val="nil"/>
                                  </w:tcBorders>
                                  <w:hideMark/>
                                </w:tcPr>
                                <w:p w14:paraId="090921F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3E69850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71215E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2832F8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467E4D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76796A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29,504.0 </w:t>
                                  </w:r>
                                </w:p>
                              </w:tc>
                            </w:tr>
                            <w:tr w:rsidR="0014207C" w:rsidRPr="0014207C" w14:paraId="37245A14" w14:textId="77777777" w:rsidTr="0014207C">
                              <w:trPr>
                                <w:trHeight w:val="204"/>
                              </w:trPr>
                              <w:tc>
                                <w:tcPr>
                                  <w:tcW w:w="2900" w:type="dxa"/>
                                  <w:tcBorders>
                                    <w:top w:val="nil"/>
                                    <w:left w:val="nil"/>
                                    <w:bottom w:val="nil"/>
                                    <w:right w:val="nil"/>
                                  </w:tcBorders>
                                  <w:noWrap/>
                                  <w:hideMark/>
                                </w:tcPr>
                                <w:p w14:paraId="24E89FF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EBITDAR</w:t>
                                  </w:r>
                                </w:p>
                              </w:tc>
                              <w:tc>
                                <w:tcPr>
                                  <w:tcW w:w="980" w:type="dxa"/>
                                  <w:tcBorders>
                                    <w:top w:val="nil"/>
                                    <w:left w:val="nil"/>
                                    <w:bottom w:val="nil"/>
                                    <w:right w:val="nil"/>
                                  </w:tcBorders>
                                  <w:hideMark/>
                                </w:tcPr>
                                <w:p w14:paraId="0B4DC1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35,816.0 </w:t>
                                  </w:r>
                                </w:p>
                              </w:tc>
                              <w:tc>
                                <w:tcPr>
                                  <w:tcW w:w="1097" w:type="dxa"/>
                                  <w:tcBorders>
                                    <w:top w:val="nil"/>
                                    <w:left w:val="nil"/>
                                    <w:bottom w:val="nil"/>
                                    <w:right w:val="nil"/>
                                  </w:tcBorders>
                                  <w:hideMark/>
                                </w:tcPr>
                                <w:p w14:paraId="40FDFA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37,103.0 </w:t>
                                  </w:r>
                                </w:p>
                              </w:tc>
                              <w:tc>
                                <w:tcPr>
                                  <w:tcW w:w="980" w:type="dxa"/>
                                  <w:tcBorders>
                                    <w:top w:val="nil"/>
                                    <w:left w:val="nil"/>
                                    <w:bottom w:val="nil"/>
                                    <w:right w:val="nil"/>
                                  </w:tcBorders>
                                  <w:hideMark/>
                                </w:tcPr>
                                <w:p w14:paraId="6A742B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39,697.0 </w:t>
                                  </w:r>
                                </w:p>
                              </w:tc>
                              <w:tc>
                                <w:tcPr>
                                  <w:tcW w:w="980" w:type="dxa"/>
                                  <w:tcBorders>
                                    <w:top w:val="nil"/>
                                    <w:left w:val="nil"/>
                                    <w:bottom w:val="nil"/>
                                    <w:right w:val="nil"/>
                                  </w:tcBorders>
                                  <w:hideMark/>
                                </w:tcPr>
                                <w:p w14:paraId="05BE57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38,678.0 </w:t>
                                  </w:r>
                                </w:p>
                              </w:tc>
                              <w:tc>
                                <w:tcPr>
                                  <w:tcW w:w="980" w:type="dxa"/>
                                  <w:tcBorders>
                                    <w:top w:val="nil"/>
                                    <w:left w:val="nil"/>
                                    <w:bottom w:val="nil"/>
                                    <w:right w:val="nil"/>
                                  </w:tcBorders>
                                  <w:hideMark/>
                                </w:tcPr>
                                <w:p w14:paraId="721EC82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42,224.0 </w:t>
                                  </w:r>
                                </w:p>
                              </w:tc>
                              <w:tc>
                                <w:tcPr>
                                  <w:tcW w:w="1080" w:type="dxa"/>
                                  <w:tcBorders>
                                    <w:top w:val="nil"/>
                                    <w:left w:val="nil"/>
                                    <w:bottom w:val="nil"/>
                                    <w:right w:val="nil"/>
                                  </w:tcBorders>
                                  <w:hideMark/>
                                </w:tcPr>
                                <w:p w14:paraId="21F10A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NA</w:t>
                                  </w:r>
                                </w:p>
                              </w:tc>
                            </w:tr>
                          </w:tbl>
                          <w:p w14:paraId="7F727C19" w14:textId="12CE9B67" w:rsidR="0014207C" w:rsidRDefault="001420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9B83C" id="_x0000_s1048" type="#_x0000_t202" style="position:absolute;left:0;text-align:left;margin-left:434.8pt;margin-top:0;width:486pt;height:702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" filled="f" stroked="f">
                <v:textbox>
                  <w:txbxContent>
                    <w:tbl>
                      <w:tblPr>
                        <w:tblW w:w="8997" w:type="dxa"/>
                        <w:tblLook w:val="04A0" w:firstRow="1" w:lastRow="0" w:firstColumn="1" w:lastColumn="0" w:noHBand="0" w:noVBand="1"/>
                      </w:tblPr>
                      <w:tblGrid>
                        <w:gridCol w:w="2900"/>
                        <w:gridCol w:w="980"/>
                        <w:gridCol w:w="1097"/>
                        <w:gridCol w:w="980"/>
                        <w:gridCol w:w="980"/>
                        <w:gridCol w:w="980"/>
                        <w:gridCol w:w="1080"/>
                      </w:tblGrid>
                      <w:tr w:rsidR="0014207C" w:rsidRPr="0014207C" w14:paraId="1A4BA3BE" w14:textId="77777777" w:rsidTr="0014207C">
                        <w:trPr>
                          <w:trHeight w:val="204"/>
                        </w:trPr>
                        <w:tc>
                          <w:tcPr>
                            <w:tcW w:w="4977" w:type="dxa"/>
                            <w:gridSpan w:val="3"/>
                            <w:tcBorders>
                              <w:top w:val="nil"/>
                              <w:left w:val="nil"/>
                              <w:bottom w:val="nil"/>
                              <w:right w:val="nil"/>
                            </w:tcBorders>
                            <w:noWrap/>
                            <w:vAlign w:val="bottom"/>
                            <w:hideMark/>
                          </w:tcPr>
                          <w:p w14:paraId="47A8C7B1"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Walmart Inc. (</w:t>
                            </w:r>
                            <w:r w:rsidRPr="0014207C">
                              <w:rPr>
                                <w:rFonts w:ascii="Cambria" w:eastAsia="Times New Roman" w:hAnsi="Cambria" w:cs="Arial"/>
                                <w:b/>
                                <w:bCs/>
                                <w:color w:val="000000"/>
                                <w:kern w:val="0"/>
                                <w:sz w:val="14"/>
                                <w:szCs w:val="14"/>
                                <w:lang w:eastAsia="en-IN"/>
                                <w14:ligatures w14:val="none"/>
                              </w:rPr>
                              <w:t>NYSE:WMT) &gt; Financials &gt; Income Statement</w:t>
                            </w:r>
                          </w:p>
                        </w:tc>
                        <w:tc>
                          <w:tcPr>
                            <w:tcW w:w="980" w:type="dxa"/>
                            <w:tcBorders>
                              <w:top w:val="nil"/>
                              <w:left w:val="nil"/>
                              <w:bottom w:val="nil"/>
                              <w:right w:val="nil"/>
                            </w:tcBorders>
                            <w:noWrap/>
                            <w:vAlign w:val="bottom"/>
                            <w:hideMark/>
                          </w:tcPr>
                          <w:p w14:paraId="3101ADE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980" w:type="dxa"/>
                            <w:tcBorders>
                              <w:top w:val="nil"/>
                              <w:left w:val="nil"/>
                              <w:bottom w:val="nil"/>
                              <w:right w:val="nil"/>
                            </w:tcBorders>
                            <w:noWrap/>
                            <w:vAlign w:val="bottom"/>
                            <w:hideMark/>
                          </w:tcPr>
                          <w:p w14:paraId="2879B0F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vAlign w:val="bottom"/>
                            <w:hideMark/>
                          </w:tcPr>
                          <w:p w14:paraId="5F86CE1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vAlign w:val="bottom"/>
                            <w:hideMark/>
                          </w:tcPr>
                          <w:p w14:paraId="519D4AC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7F26B7C3" w14:textId="77777777" w:rsidTr="0014207C">
                        <w:trPr>
                          <w:trHeight w:val="204"/>
                        </w:trPr>
                        <w:tc>
                          <w:tcPr>
                            <w:tcW w:w="2900" w:type="dxa"/>
                            <w:tcBorders>
                              <w:top w:val="nil"/>
                              <w:left w:val="nil"/>
                              <w:bottom w:val="nil"/>
                              <w:right w:val="nil"/>
                            </w:tcBorders>
                            <w:shd w:val="clear" w:color="000000" w:fill="003366"/>
                            <w:noWrap/>
                            <w:vAlign w:val="bottom"/>
                            <w:hideMark/>
                          </w:tcPr>
                          <w:p w14:paraId="62D580DF"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Income Statement</w:t>
                            </w:r>
                          </w:p>
                        </w:tc>
                        <w:tc>
                          <w:tcPr>
                            <w:tcW w:w="980" w:type="dxa"/>
                            <w:tcBorders>
                              <w:top w:val="nil"/>
                              <w:left w:val="nil"/>
                              <w:bottom w:val="nil"/>
                              <w:right w:val="nil"/>
                            </w:tcBorders>
                            <w:shd w:val="clear" w:color="000000" w:fill="003366"/>
                            <w:noWrap/>
                            <w:vAlign w:val="bottom"/>
                            <w:hideMark/>
                          </w:tcPr>
                          <w:p w14:paraId="33BDC47A"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1097" w:type="dxa"/>
                            <w:tcBorders>
                              <w:top w:val="nil"/>
                              <w:left w:val="nil"/>
                              <w:bottom w:val="nil"/>
                              <w:right w:val="nil"/>
                            </w:tcBorders>
                            <w:shd w:val="clear" w:color="000000" w:fill="003366"/>
                            <w:noWrap/>
                            <w:vAlign w:val="bottom"/>
                            <w:hideMark/>
                          </w:tcPr>
                          <w:p w14:paraId="12275184"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96EFC97"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1DCD2D9"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980" w:type="dxa"/>
                            <w:tcBorders>
                              <w:top w:val="nil"/>
                              <w:left w:val="nil"/>
                              <w:bottom w:val="nil"/>
                              <w:right w:val="nil"/>
                            </w:tcBorders>
                            <w:shd w:val="clear" w:color="000000" w:fill="003366"/>
                            <w:noWrap/>
                            <w:vAlign w:val="bottom"/>
                            <w:hideMark/>
                          </w:tcPr>
                          <w:p w14:paraId="0F9185D5"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1080" w:type="dxa"/>
                            <w:tcBorders>
                              <w:top w:val="nil"/>
                              <w:left w:val="nil"/>
                              <w:bottom w:val="nil"/>
                              <w:right w:val="nil"/>
                            </w:tcBorders>
                            <w:shd w:val="clear" w:color="000000" w:fill="003366"/>
                            <w:noWrap/>
                            <w:vAlign w:val="bottom"/>
                            <w:hideMark/>
                          </w:tcPr>
                          <w:p w14:paraId="5CC7FC4B"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r>
                      <w:tr w:rsidR="0014207C" w:rsidRPr="0014207C" w14:paraId="42A36C0A" w14:textId="77777777" w:rsidTr="0014207C">
                        <w:trPr>
                          <w:trHeight w:val="612"/>
                        </w:trPr>
                        <w:tc>
                          <w:tcPr>
                            <w:tcW w:w="2900" w:type="dxa"/>
                            <w:tcBorders>
                              <w:top w:val="nil"/>
                              <w:left w:val="nil"/>
                              <w:bottom w:val="nil"/>
                              <w:right w:val="nil"/>
                            </w:tcBorders>
                            <w:shd w:val="clear" w:color="000000" w:fill="F0F0DC"/>
                            <w:vAlign w:val="bottom"/>
                            <w:hideMark/>
                          </w:tcPr>
                          <w:p w14:paraId="0B64B0F9"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For the Fiscal Period Ending</w:t>
                            </w:r>
                          </w:p>
                        </w:tc>
                        <w:tc>
                          <w:tcPr>
                            <w:tcW w:w="980" w:type="dxa"/>
                            <w:tcBorders>
                              <w:top w:val="nil"/>
                              <w:left w:val="nil"/>
                              <w:bottom w:val="nil"/>
                              <w:right w:val="nil"/>
                            </w:tcBorders>
                            <w:shd w:val="clear" w:color="000000" w:fill="F0F0DC"/>
                            <w:vAlign w:val="bottom"/>
                            <w:hideMark/>
                          </w:tcPr>
                          <w:p w14:paraId="30E6011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Jan-31-2020</w:t>
                            </w:r>
                          </w:p>
                        </w:tc>
                        <w:tc>
                          <w:tcPr>
                            <w:tcW w:w="1097" w:type="dxa"/>
                            <w:tcBorders>
                              <w:top w:val="nil"/>
                              <w:left w:val="nil"/>
                              <w:bottom w:val="nil"/>
                              <w:right w:val="nil"/>
                            </w:tcBorders>
                            <w:shd w:val="clear" w:color="000000" w:fill="F0F0DC"/>
                            <w:vAlign w:val="bottom"/>
                            <w:hideMark/>
                          </w:tcPr>
                          <w:p w14:paraId="02C5D2B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Reclassified</w:t>
                            </w:r>
                            <w:r w:rsidRPr="0014207C">
                              <w:rPr>
                                <w:rFonts w:ascii="Cambria" w:eastAsia="Times New Roman" w:hAnsi="Cambria" w:cs="Arial"/>
                                <w:b/>
                                <w:bCs/>
                                <w:color w:val="000000"/>
                                <w:kern w:val="0"/>
                                <w:sz w:val="14"/>
                                <w:szCs w:val="14"/>
                                <w:lang w:eastAsia="en-IN"/>
                                <w14:ligatures w14:val="none"/>
                              </w:rPr>
                              <w:br/>
                              <w:t>12 months</w:t>
                            </w:r>
                            <w:r w:rsidRPr="0014207C">
                              <w:rPr>
                                <w:rFonts w:ascii="Cambria" w:eastAsia="Times New Roman" w:hAnsi="Cambria" w:cs="Arial"/>
                                <w:b/>
                                <w:bCs/>
                                <w:color w:val="000000"/>
                                <w:kern w:val="0"/>
                                <w:sz w:val="14"/>
                                <w:szCs w:val="14"/>
                                <w:lang w:eastAsia="en-IN"/>
                                <w14:ligatures w14:val="none"/>
                              </w:rPr>
                              <w:br/>
                              <w:t>Jan-31-2021</w:t>
                            </w:r>
                          </w:p>
                        </w:tc>
                        <w:tc>
                          <w:tcPr>
                            <w:tcW w:w="980" w:type="dxa"/>
                            <w:tcBorders>
                              <w:top w:val="nil"/>
                              <w:left w:val="nil"/>
                              <w:bottom w:val="nil"/>
                              <w:right w:val="nil"/>
                            </w:tcBorders>
                            <w:shd w:val="clear" w:color="000000" w:fill="F0F0DC"/>
                            <w:vAlign w:val="bottom"/>
                            <w:hideMark/>
                          </w:tcPr>
                          <w:p w14:paraId="7A32534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Jan-31-2022</w:t>
                            </w:r>
                          </w:p>
                        </w:tc>
                        <w:tc>
                          <w:tcPr>
                            <w:tcW w:w="980" w:type="dxa"/>
                            <w:tcBorders>
                              <w:top w:val="nil"/>
                              <w:left w:val="nil"/>
                              <w:bottom w:val="nil"/>
                              <w:right w:val="nil"/>
                            </w:tcBorders>
                            <w:shd w:val="clear" w:color="000000" w:fill="F0F0DC"/>
                            <w:vAlign w:val="bottom"/>
                            <w:hideMark/>
                          </w:tcPr>
                          <w:p w14:paraId="77B1DAF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Jan-31-2023</w:t>
                            </w:r>
                          </w:p>
                        </w:tc>
                        <w:tc>
                          <w:tcPr>
                            <w:tcW w:w="980" w:type="dxa"/>
                            <w:tcBorders>
                              <w:top w:val="nil"/>
                              <w:left w:val="nil"/>
                              <w:bottom w:val="nil"/>
                              <w:right w:val="nil"/>
                            </w:tcBorders>
                            <w:shd w:val="clear" w:color="000000" w:fill="F0F0DC"/>
                            <w:vAlign w:val="bottom"/>
                            <w:hideMark/>
                          </w:tcPr>
                          <w:p w14:paraId="7D29C5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12 months</w:t>
                            </w:r>
                            <w:r w:rsidRPr="0014207C">
                              <w:rPr>
                                <w:rFonts w:ascii="Cambria" w:eastAsia="Times New Roman" w:hAnsi="Cambria" w:cs="Arial"/>
                                <w:b/>
                                <w:bCs/>
                                <w:color w:val="000000"/>
                                <w:kern w:val="0"/>
                                <w:sz w:val="14"/>
                                <w:szCs w:val="14"/>
                                <w:lang w:eastAsia="en-IN"/>
                                <w14:ligatures w14:val="none"/>
                              </w:rPr>
                              <w:br/>
                              <w:t>Jan-31-2024</w:t>
                            </w:r>
                          </w:p>
                        </w:tc>
                        <w:tc>
                          <w:tcPr>
                            <w:tcW w:w="1080" w:type="dxa"/>
                            <w:tcBorders>
                              <w:top w:val="nil"/>
                              <w:left w:val="nil"/>
                              <w:bottom w:val="nil"/>
                              <w:right w:val="nil"/>
                            </w:tcBorders>
                            <w:shd w:val="clear" w:color="000000" w:fill="F0F0DC"/>
                            <w:vAlign w:val="bottom"/>
                            <w:hideMark/>
                          </w:tcPr>
                          <w:p w14:paraId="4697A50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Press Release</w:t>
                            </w:r>
                            <w:r w:rsidRPr="0014207C">
                              <w:rPr>
                                <w:rFonts w:ascii="Cambria" w:eastAsia="Times New Roman" w:hAnsi="Cambria" w:cs="Arial"/>
                                <w:b/>
                                <w:bCs/>
                                <w:color w:val="000000"/>
                                <w:kern w:val="0"/>
                                <w:sz w:val="14"/>
                                <w:szCs w:val="14"/>
                                <w:lang w:eastAsia="en-IN"/>
                                <w14:ligatures w14:val="none"/>
                              </w:rPr>
                              <w:br/>
                              <w:t>12 months</w:t>
                            </w:r>
                            <w:r w:rsidRPr="0014207C">
                              <w:rPr>
                                <w:rFonts w:ascii="Cambria" w:eastAsia="Times New Roman" w:hAnsi="Cambria" w:cs="Arial"/>
                                <w:b/>
                                <w:bCs/>
                                <w:color w:val="000000"/>
                                <w:kern w:val="0"/>
                                <w:sz w:val="14"/>
                                <w:szCs w:val="14"/>
                                <w:lang w:eastAsia="en-IN"/>
                                <w14:ligatures w14:val="none"/>
                              </w:rPr>
                              <w:br/>
                              <w:t>Jan-31-2025</w:t>
                            </w:r>
                          </w:p>
                        </w:tc>
                      </w:tr>
                      <w:tr w:rsidR="0014207C" w:rsidRPr="0014207C" w14:paraId="4B35D7F3" w14:textId="77777777" w:rsidTr="0014207C">
                        <w:trPr>
                          <w:trHeight w:val="204"/>
                        </w:trPr>
                        <w:tc>
                          <w:tcPr>
                            <w:tcW w:w="2900" w:type="dxa"/>
                            <w:tcBorders>
                              <w:top w:val="nil"/>
                              <w:left w:val="nil"/>
                              <w:bottom w:val="nil"/>
                              <w:right w:val="nil"/>
                            </w:tcBorders>
                            <w:shd w:val="clear" w:color="000000" w:fill="F0F0DC"/>
                            <w:vAlign w:val="bottom"/>
                            <w:hideMark/>
                          </w:tcPr>
                          <w:p w14:paraId="12749BB2" w14:textId="77777777" w:rsidR="0014207C" w:rsidRPr="0014207C" w:rsidRDefault="0014207C" w:rsidP="0014207C">
                            <w:pPr>
                              <w:spacing w:after="0" w:line="240" w:lineRule="auto"/>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Currency</w:t>
                            </w:r>
                          </w:p>
                        </w:tc>
                        <w:tc>
                          <w:tcPr>
                            <w:tcW w:w="980" w:type="dxa"/>
                            <w:tcBorders>
                              <w:top w:val="nil"/>
                              <w:left w:val="nil"/>
                              <w:bottom w:val="nil"/>
                              <w:right w:val="nil"/>
                            </w:tcBorders>
                            <w:shd w:val="clear" w:color="000000" w:fill="F0F0DC"/>
                            <w:vAlign w:val="bottom"/>
                            <w:hideMark/>
                          </w:tcPr>
                          <w:p w14:paraId="1E85A9E6"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1097" w:type="dxa"/>
                            <w:tcBorders>
                              <w:top w:val="nil"/>
                              <w:left w:val="nil"/>
                              <w:bottom w:val="nil"/>
                              <w:right w:val="nil"/>
                            </w:tcBorders>
                            <w:shd w:val="clear" w:color="000000" w:fill="F0F0DC"/>
                            <w:vAlign w:val="bottom"/>
                            <w:hideMark/>
                          </w:tcPr>
                          <w:p w14:paraId="08D392CE"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37B3AFCB"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036BD91D"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980" w:type="dxa"/>
                            <w:tcBorders>
                              <w:top w:val="nil"/>
                              <w:left w:val="nil"/>
                              <w:bottom w:val="nil"/>
                              <w:right w:val="nil"/>
                            </w:tcBorders>
                            <w:shd w:val="clear" w:color="000000" w:fill="F0F0DC"/>
                            <w:vAlign w:val="bottom"/>
                            <w:hideMark/>
                          </w:tcPr>
                          <w:p w14:paraId="5B74E342"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1080" w:type="dxa"/>
                            <w:tcBorders>
                              <w:top w:val="nil"/>
                              <w:left w:val="nil"/>
                              <w:bottom w:val="nil"/>
                              <w:right w:val="nil"/>
                            </w:tcBorders>
                            <w:shd w:val="clear" w:color="000000" w:fill="F0F0DC"/>
                            <w:vAlign w:val="bottom"/>
                            <w:hideMark/>
                          </w:tcPr>
                          <w:p w14:paraId="2E3F3DE2"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r>
                      <w:tr w:rsidR="0014207C" w:rsidRPr="0014207C" w14:paraId="6B1C5BAC" w14:textId="77777777" w:rsidTr="0014207C">
                        <w:trPr>
                          <w:trHeight w:val="204"/>
                        </w:trPr>
                        <w:tc>
                          <w:tcPr>
                            <w:tcW w:w="2900" w:type="dxa"/>
                            <w:tcBorders>
                              <w:top w:val="nil"/>
                              <w:left w:val="nil"/>
                              <w:bottom w:val="nil"/>
                              <w:right w:val="nil"/>
                            </w:tcBorders>
                            <w:noWrap/>
                            <w:hideMark/>
                          </w:tcPr>
                          <w:p w14:paraId="6BAA5EB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Revenue</w:t>
                            </w:r>
                          </w:p>
                        </w:tc>
                        <w:tc>
                          <w:tcPr>
                            <w:tcW w:w="980" w:type="dxa"/>
                            <w:tcBorders>
                              <w:top w:val="nil"/>
                              <w:left w:val="nil"/>
                              <w:bottom w:val="nil"/>
                              <w:right w:val="nil"/>
                            </w:tcBorders>
                            <w:hideMark/>
                          </w:tcPr>
                          <w:p w14:paraId="020174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523,964.0 </w:t>
                            </w:r>
                          </w:p>
                        </w:tc>
                        <w:tc>
                          <w:tcPr>
                            <w:tcW w:w="1097" w:type="dxa"/>
                            <w:tcBorders>
                              <w:top w:val="nil"/>
                              <w:left w:val="nil"/>
                              <w:bottom w:val="nil"/>
                              <w:right w:val="nil"/>
                            </w:tcBorders>
                            <w:hideMark/>
                          </w:tcPr>
                          <w:p w14:paraId="0CD4500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559,151.0 </w:t>
                            </w:r>
                          </w:p>
                        </w:tc>
                        <w:tc>
                          <w:tcPr>
                            <w:tcW w:w="980" w:type="dxa"/>
                            <w:tcBorders>
                              <w:top w:val="nil"/>
                              <w:left w:val="nil"/>
                              <w:bottom w:val="nil"/>
                              <w:right w:val="nil"/>
                            </w:tcBorders>
                            <w:hideMark/>
                          </w:tcPr>
                          <w:p w14:paraId="480FD6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572,754.0 </w:t>
                            </w:r>
                          </w:p>
                        </w:tc>
                        <w:tc>
                          <w:tcPr>
                            <w:tcW w:w="980" w:type="dxa"/>
                            <w:tcBorders>
                              <w:top w:val="nil"/>
                              <w:left w:val="nil"/>
                              <w:bottom w:val="nil"/>
                              <w:right w:val="nil"/>
                            </w:tcBorders>
                            <w:hideMark/>
                          </w:tcPr>
                          <w:p w14:paraId="2293543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611,289.0 </w:t>
                            </w:r>
                          </w:p>
                        </w:tc>
                        <w:tc>
                          <w:tcPr>
                            <w:tcW w:w="980" w:type="dxa"/>
                            <w:tcBorders>
                              <w:top w:val="nil"/>
                              <w:left w:val="nil"/>
                              <w:bottom w:val="nil"/>
                              <w:right w:val="nil"/>
                            </w:tcBorders>
                            <w:hideMark/>
                          </w:tcPr>
                          <w:p w14:paraId="091329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648,125.0 </w:t>
                            </w:r>
                          </w:p>
                        </w:tc>
                        <w:tc>
                          <w:tcPr>
                            <w:tcW w:w="1080" w:type="dxa"/>
                            <w:tcBorders>
                              <w:top w:val="nil"/>
                              <w:left w:val="nil"/>
                              <w:bottom w:val="nil"/>
                              <w:right w:val="nil"/>
                            </w:tcBorders>
                            <w:hideMark/>
                          </w:tcPr>
                          <w:p w14:paraId="3F34E4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680,985.0 </w:t>
                            </w:r>
                          </w:p>
                        </w:tc>
                      </w:tr>
                      <w:tr w:rsidR="0014207C" w:rsidRPr="0014207C" w14:paraId="5DEB8BE9" w14:textId="77777777" w:rsidTr="0014207C">
                        <w:trPr>
                          <w:trHeight w:val="204"/>
                        </w:trPr>
                        <w:tc>
                          <w:tcPr>
                            <w:tcW w:w="2900" w:type="dxa"/>
                            <w:tcBorders>
                              <w:top w:val="nil"/>
                              <w:left w:val="nil"/>
                              <w:bottom w:val="nil"/>
                              <w:right w:val="nil"/>
                            </w:tcBorders>
                            <w:noWrap/>
                            <w:hideMark/>
                          </w:tcPr>
                          <w:p w14:paraId="39F5B6B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Revenue</w:t>
                            </w:r>
                          </w:p>
                        </w:tc>
                        <w:tc>
                          <w:tcPr>
                            <w:tcW w:w="980" w:type="dxa"/>
                            <w:tcBorders>
                              <w:top w:val="nil"/>
                              <w:left w:val="nil"/>
                              <w:bottom w:val="nil"/>
                              <w:right w:val="nil"/>
                            </w:tcBorders>
                            <w:hideMark/>
                          </w:tcPr>
                          <w:p w14:paraId="2270682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4D592EF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716B581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E1EC0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CC7C75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57366C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1F54A07" w14:textId="77777777" w:rsidTr="0014207C">
                        <w:trPr>
                          <w:trHeight w:val="204"/>
                        </w:trPr>
                        <w:tc>
                          <w:tcPr>
                            <w:tcW w:w="2900" w:type="dxa"/>
                            <w:tcBorders>
                              <w:top w:val="nil"/>
                              <w:left w:val="nil"/>
                              <w:bottom w:val="nil"/>
                              <w:right w:val="nil"/>
                            </w:tcBorders>
                            <w:noWrap/>
                            <w:hideMark/>
                          </w:tcPr>
                          <w:p w14:paraId="30634775"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Revenue</w:t>
                            </w:r>
                          </w:p>
                        </w:tc>
                        <w:tc>
                          <w:tcPr>
                            <w:tcW w:w="980" w:type="dxa"/>
                            <w:tcBorders>
                              <w:top w:val="single" w:sz="4" w:space="0" w:color="000000"/>
                              <w:left w:val="nil"/>
                              <w:bottom w:val="nil"/>
                              <w:right w:val="nil"/>
                            </w:tcBorders>
                            <w:hideMark/>
                          </w:tcPr>
                          <w:p w14:paraId="6BB916D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523,964.0 </w:t>
                            </w:r>
                          </w:p>
                        </w:tc>
                        <w:tc>
                          <w:tcPr>
                            <w:tcW w:w="1097" w:type="dxa"/>
                            <w:tcBorders>
                              <w:top w:val="single" w:sz="4" w:space="0" w:color="000000"/>
                              <w:left w:val="nil"/>
                              <w:bottom w:val="nil"/>
                              <w:right w:val="nil"/>
                            </w:tcBorders>
                            <w:hideMark/>
                          </w:tcPr>
                          <w:p w14:paraId="36AF017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559,151.0 </w:t>
                            </w:r>
                          </w:p>
                        </w:tc>
                        <w:tc>
                          <w:tcPr>
                            <w:tcW w:w="980" w:type="dxa"/>
                            <w:tcBorders>
                              <w:top w:val="single" w:sz="4" w:space="0" w:color="000000"/>
                              <w:left w:val="nil"/>
                              <w:bottom w:val="nil"/>
                              <w:right w:val="nil"/>
                            </w:tcBorders>
                            <w:hideMark/>
                          </w:tcPr>
                          <w:p w14:paraId="72D707E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572,754.0 </w:t>
                            </w:r>
                          </w:p>
                        </w:tc>
                        <w:tc>
                          <w:tcPr>
                            <w:tcW w:w="980" w:type="dxa"/>
                            <w:tcBorders>
                              <w:top w:val="single" w:sz="4" w:space="0" w:color="000000"/>
                              <w:left w:val="nil"/>
                              <w:bottom w:val="nil"/>
                              <w:right w:val="nil"/>
                            </w:tcBorders>
                            <w:hideMark/>
                          </w:tcPr>
                          <w:p w14:paraId="3E57A13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611,289.0 </w:t>
                            </w:r>
                          </w:p>
                        </w:tc>
                        <w:tc>
                          <w:tcPr>
                            <w:tcW w:w="980" w:type="dxa"/>
                            <w:tcBorders>
                              <w:top w:val="single" w:sz="4" w:space="0" w:color="000000"/>
                              <w:left w:val="nil"/>
                              <w:bottom w:val="nil"/>
                              <w:right w:val="nil"/>
                            </w:tcBorders>
                            <w:hideMark/>
                          </w:tcPr>
                          <w:p w14:paraId="42D12CC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648,125.0 </w:t>
                            </w:r>
                          </w:p>
                        </w:tc>
                        <w:tc>
                          <w:tcPr>
                            <w:tcW w:w="1080" w:type="dxa"/>
                            <w:tcBorders>
                              <w:top w:val="single" w:sz="4" w:space="0" w:color="000000"/>
                              <w:left w:val="nil"/>
                              <w:bottom w:val="nil"/>
                              <w:right w:val="nil"/>
                            </w:tcBorders>
                            <w:hideMark/>
                          </w:tcPr>
                          <w:p w14:paraId="6DAF87B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680,985.0 </w:t>
                            </w:r>
                          </w:p>
                        </w:tc>
                      </w:tr>
                      <w:tr w:rsidR="0014207C" w:rsidRPr="0014207C" w14:paraId="649AACA0" w14:textId="77777777" w:rsidTr="0014207C">
                        <w:trPr>
                          <w:trHeight w:val="204"/>
                        </w:trPr>
                        <w:tc>
                          <w:tcPr>
                            <w:tcW w:w="2900" w:type="dxa"/>
                            <w:tcBorders>
                              <w:top w:val="nil"/>
                              <w:left w:val="nil"/>
                              <w:bottom w:val="nil"/>
                              <w:right w:val="nil"/>
                            </w:tcBorders>
                            <w:noWrap/>
                            <w:hideMark/>
                          </w:tcPr>
                          <w:p w14:paraId="3A258EF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Cost Of Goods Sold</w:t>
                            </w:r>
                          </w:p>
                        </w:tc>
                        <w:tc>
                          <w:tcPr>
                            <w:tcW w:w="980" w:type="dxa"/>
                            <w:tcBorders>
                              <w:top w:val="nil"/>
                              <w:left w:val="nil"/>
                              <w:bottom w:val="nil"/>
                              <w:right w:val="nil"/>
                            </w:tcBorders>
                            <w:hideMark/>
                          </w:tcPr>
                          <w:p w14:paraId="4DEB4C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394,605.0 </w:t>
                            </w:r>
                          </w:p>
                        </w:tc>
                        <w:tc>
                          <w:tcPr>
                            <w:tcW w:w="1097" w:type="dxa"/>
                            <w:tcBorders>
                              <w:top w:val="nil"/>
                              <w:left w:val="nil"/>
                              <w:bottom w:val="nil"/>
                              <w:right w:val="nil"/>
                            </w:tcBorders>
                            <w:hideMark/>
                          </w:tcPr>
                          <w:p w14:paraId="56DC7A9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420,315.0 </w:t>
                            </w:r>
                          </w:p>
                        </w:tc>
                        <w:tc>
                          <w:tcPr>
                            <w:tcW w:w="980" w:type="dxa"/>
                            <w:tcBorders>
                              <w:top w:val="nil"/>
                              <w:left w:val="nil"/>
                              <w:bottom w:val="nil"/>
                              <w:right w:val="nil"/>
                            </w:tcBorders>
                            <w:hideMark/>
                          </w:tcPr>
                          <w:p w14:paraId="635732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429,000.0 </w:t>
                            </w:r>
                          </w:p>
                        </w:tc>
                        <w:tc>
                          <w:tcPr>
                            <w:tcW w:w="980" w:type="dxa"/>
                            <w:tcBorders>
                              <w:top w:val="nil"/>
                              <w:left w:val="nil"/>
                              <w:bottom w:val="nil"/>
                              <w:right w:val="nil"/>
                            </w:tcBorders>
                            <w:hideMark/>
                          </w:tcPr>
                          <w:p w14:paraId="2338E4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463,721.0 </w:t>
                            </w:r>
                          </w:p>
                        </w:tc>
                        <w:tc>
                          <w:tcPr>
                            <w:tcW w:w="980" w:type="dxa"/>
                            <w:tcBorders>
                              <w:top w:val="nil"/>
                              <w:left w:val="nil"/>
                              <w:bottom w:val="nil"/>
                              <w:right w:val="nil"/>
                            </w:tcBorders>
                            <w:hideMark/>
                          </w:tcPr>
                          <w:p w14:paraId="58A26BA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490,142.0 </w:t>
                            </w:r>
                          </w:p>
                        </w:tc>
                        <w:tc>
                          <w:tcPr>
                            <w:tcW w:w="1080" w:type="dxa"/>
                            <w:tcBorders>
                              <w:top w:val="nil"/>
                              <w:left w:val="nil"/>
                              <w:bottom w:val="nil"/>
                              <w:right w:val="nil"/>
                            </w:tcBorders>
                            <w:hideMark/>
                          </w:tcPr>
                          <w:p w14:paraId="6A0889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511,753.0 </w:t>
                            </w:r>
                          </w:p>
                        </w:tc>
                      </w:tr>
                      <w:tr w:rsidR="0014207C" w:rsidRPr="0014207C" w14:paraId="12D7E4F8" w14:textId="77777777" w:rsidTr="0014207C">
                        <w:trPr>
                          <w:trHeight w:val="204"/>
                        </w:trPr>
                        <w:tc>
                          <w:tcPr>
                            <w:tcW w:w="2900" w:type="dxa"/>
                            <w:tcBorders>
                              <w:top w:val="nil"/>
                              <w:left w:val="nil"/>
                              <w:bottom w:val="nil"/>
                              <w:right w:val="nil"/>
                            </w:tcBorders>
                            <w:noWrap/>
                            <w:hideMark/>
                          </w:tcPr>
                          <w:p w14:paraId="1CDD505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Gross Profit</w:t>
                            </w:r>
                          </w:p>
                        </w:tc>
                        <w:tc>
                          <w:tcPr>
                            <w:tcW w:w="980" w:type="dxa"/>
                            <w:tcBorders>
                              <w:top w:val="single" w:sz="4" w:space="0" w:color="000000"/>
                              <w:left w:val="nil"/>
                              <w:bottom w:val="nil"/>
                              <w:right w:val="nil"/>
                            </w:tcBorders>
                            <w:hideMark/>
                          </w:tcPr>
                          <w:p w14:paraId="715FE7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129,359.0 </w:t>
                            </w:r>
                          </w:p>
                        </w:tc>
                        <w:tc>
                          <w:tcPr>
                            <w:tcW w:w="1097" w:type="dxa"/>
                            <w:tcBorders>
                              <w:top w:val="single" w:sz="4" w:space="0" w:color="000000"/>
                              <w:left w:val="nil"/>
                              <w:bottom w:val="nil"/>
                              <w:right w:val="nil"/>
                            </w:tcBorders>
                            <w:hideMark/>
                          </w:tcPr>
                          <w:p w14:paraId="074AC24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138,836.0 </w:t>
                            </w:r>
                          </w:p>
                        </w:tc>
                        <w:tc>
                          <w:tcPr>
                            <w:tcW w:w="980" w:type="dxa"/>
                            <w:tcBorders>
                              <w:top w:val="single" w:sz="4" w:space="0" w:color="000000"/>
                              <w:left w:val="nil"/>
                              <w:bottom w:val="nil"/>
                              <w:right w:val="nil"/>
                            </w:tcBorders>
                            <w:hideMark/>
                          </w:tcPr>
                          <w:p w14:paraId="5A0B549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143,754.0 </w:t>
                            </w:r>
                          </w:p>
                        </w:tc>
                        <w:tc>
                          <w:tcPr>
                            <w:tcW w:w="980" w:type="dxa"/>
                            <w:tcBorders>
                              <w:top w:val="single" w:sz="4" w:space="0" w:color="000000"/>
                              <w:left w:val="nil"/>
                              <w:bottom w:val="nil"/>
                              <w:right w:val="nil"/>
                            </w:tcBorders>
                            <w:hideMark/>
                          </w:tcPr>
                          <w:p w14:paraId="7FB8ECE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147,568.0 </w:t>
                            </w:r>
                          </w:p>
                        </w:tc>
                        <w:tc>
                          <w:tcPr>
                            <w:tcW w:w="980" w:type="dxa"/>
                            <w:tcBorders>
                              <w:top w:val="single" w:sz="4" w:space="0" w:color="000000"/>
                              <w:left w:val="nil"/>
                              <w:bottom w:val="nil"/>
                              <w:right w:val="nil"/>
                            </w:tcBorders>
                            <w:hideMark/>
                          </w:tcPr>
                          <w:p w14:paraId="746682F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157,983.0 </w:t>
                            </w:r>
                          </w:p>
                        </w:tc>
                        <w:tc>
                          <w:tcPr>
                            <w:tcW w:w="1080" w:type="dxa"/>
                            <w:tcBorders>
                              <w:top w:val="single" w:sz="4" w:space="0" w:color="000000"/>
                              <w:left w:val="nil"/>
                              <w:bottom w:val="nil"/>
                              <w:right w:val="nil"/>
                            </w:tcBorders>
                            <w:hideMark/>
                          </w:tcPr>
                          <w:p w14:paraId="1BBBE89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169,232.0 </w:t>
                            </w:r>
                          </w:p>
                        </w:tc>
                      </w:tr>
                      <w:tr w:rsidR="0014207C" w:rsidRPr="0014207C" w14:paraId="2F772611" w14:textId="77777777" w:rsidTr="0014207C">
                        <w:trPr>
                          <w:trHeight w:val="204"/>
                        </w:trPr>
                        <w:tc>
                          <w:tcPr>
                            <w:tcW w:w="2900" w:type="dxa"/>
                            <w:tcBorders>
                              <w:top w:val="nil"/>
                              <w:left w:val="nil"/>
                              <w:bottom w:val="nil"/>
                              <w:right w:val="nil"/>
                            </w:tcBorders>
                            <w:noWrap/>
                            <w:hideMark/>
                          </w:tcPr>
                          <w:p w14:paraId="7F77C35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Selling General &amp; Admin Exp.</w:t>
                            </w:r>
                          </w:p>
                        </w:tc>
                        <w:tc>
                          <w:tcPr>
                            <w:tcW w:w="980" w:type="dxa"/>
                            <w:tcBorders>
                              <w:top w:val="nil"/>
                              <w:left w:val="nil"/>
                              <w:bottom w:val="nil"/>
                              <w:right w:val="nil"/>
                            </w:tcBorders>
                            <w:hideMark/>
                          </w:tcPr>
                          <w:p w14:paraId="308D411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107,891.0 </w:t>
                            </w:r>
                          </w:p>
                        </w:tc>
                        <w:tc>
                          <w:tcPr>
                            <w:tcW w:w="1097" w:type="dxa"/>
                            <w:tcBorders>
                              <w:top w:val="nil"/>
                              <w:left w:val="nil"/>
                              <w:bottom w:val="nil"/>
                              <w:right w:val="nil"/>
                            </w:tcBorders>
                            <w:hideMark/>
                          </w:tcPr>
                          <w:p w14:paraId="3605CAA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116,288.0 </w:t>
                            </w:r>
                          </w:p>
                        </w:tc>
                        <w:tc>
                          <w:tcPr>
                            <w:tcW w:w="980" w:type="dxa"/>
                            <w:tcBorders>
                              <w:top w:val="nil"/>
                              <w:left w:val="nil"/>
                              <w:bottom w:val="nil"/>
                              <w:right w:val="nil"/>
                            </w:tcBorders>
                            <w:hideMark/>
                          </w:tcPr>
                          <w:p w14:paraId="173CE3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117,812.0 </w:t>
                            </w:r>
                          </w:p>
                        </w:tc>
                        <w:tc>
                          <w:tcPr>
                            <w:tcW w:w="980" w:type="dxa"/>
                            <w:tcBorders>
                              <w:top w:val="nil"/>
                              <w:left w:val="nil"/>
                              <w:bottom w:val="nil"/>
                              <w:right w:val="nil"/>
                            </w:tcBorders>
                            <w:hideMark/>
                          </w:tcPr>
                          <w:p w14:paraId="15EBD1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123,040.0 </w:t>
                            </w:r>
                          </w:p>
                        </w:tc>
                        <w:tc>
                          <w:tcPr>
                            <w:tcW w:w="980" w:type="dxa"/>
                            <w:tcBorders>
                              <w:top w:val="nil"/>
                              <w:left w:val="nil"/>
                              <w:bottom w:val="nil"/>
                              <w:right w:val="nil"/>
                            </w:tcBorders>
                            <w:hideMark/>
                          </w:tcPr>
                          <w:p w14:paraId="12C6D23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130,971.0 </w:t>
                            </w:r>
                          </w:p>
                        </w:tc>
                        <w:tc>
                          <w:tcPr>
                            <w:tcW w:w="1080" w:type="dxa"/>
                            <w:tcBorders>
                              <w:top w:val="nil"/>
                              <w:left w:val="nil"/>
                              <w:bottom w:val="nil"/>
                              <w:right w:val="nil"/>
                            </w:tcBorders>
                            <w:hideMark/>
                          </w:tcPr>
                          <w:p w14:paraId="707ABB7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139,728.0 </w:t>
                            </w:r>
                          </w:p>
                        </w:tc>
                      </w:tr>
                      <w:tr w:rsidR="0014207C" w:rsidRPr="0014207C" w14:paraId="5005F2A6" w14:textId="77777777" w:rsidTr="0014207C">
                        <w:trPr>
                          <w:trHeight w:val="204"/>
                        </w:trPr>
                        <w:tc>
                          <w:tcPr>
                            <w:tcW w:w="2900" w:type="dxa"/>
                            <w:tcBorders>
                              <w:top w:val="nil"/>
                              <w:left w:val="nil"/>
                              <w:bottom w:val="nil"/>
                              <w:right w:val="nil"/>
                            </w:tcBorders>
                            <w:noWrap/>
                            <w:hideMark/>
                          </w:tcPr>
                          <w:p w14:paraId="08FC1FA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 &amp; D Exp.</w:t>
                            </w:r>
                          </w:p>
                        </w:tc>
                        <w:tc>
                          <w:tcPr>
                            <w:tcW w:w="980" w:type="dxa"/>
                            <w:tcBorders>
                              <w:top w:val="nil"/>
                              <w:left w:val="nil"/>
                              <w:bottom w:val="nil"/>
                              <w:right w:val="nil"/>
                            </w:tcBorders>
                            <w:hideMark/>
                          </w:tcPr>
                          <w:p w14:paraId="4B5672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4E6BD5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9F428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6C38D9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1BF6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66BF329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5311909" w14:textId="77777777" w:rsidTr="0014207C">
                        <w:trPr>
                          <w:trHeight w:val="204"/>
                        </w:trPr>
                        <w:tc>
                          <w:tcPr>
                            <w:tcW w:w="2900" w:type="dxa"/>
                            <w:tcBorders>
                              <w:top w:val="nil"/>
                              <w:left w:val="nil"/>
                              <w:bottom w:val="nil"/>
                              <w:right w:val="nil"/>
                            </w:tcBorders>
                            <w:noWrap/>
                            <w:hideMark/>
                          </w:tcPr>
                          <w:p w14:paraId="0F3AB1E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Depreciation &amp; Amort.</w:t>
                            </w:r>
                          </w:p>
                        </w:tc>
                        <w:tc>
                          <w:tcPr>
                            <w:tcW w:w="980" w:type="dxa"/>
                            <w:tcBorders>
                              <w:top w:val="nil"/>
                              <w:left w:val="nil"/>
                              <w:bottom w:val="nil"/>
                              <w:right w:val="nil"/>
                            </w:tcBorders>
                            <w:hideMark/>
                          </w:tcPr>
                          <w:p w14:paraId="59C8D9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0945DAC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E7FD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79F9FFC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6D72E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080E3C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3745F801" w14:textId="77777777" w:rsidTr="0014207C">
                        <w:trPr>
                          <w:trHeight w:val="204"/>
                        </w:trPr>
                        <w:tc>
                          <w:tcPr>
                            <w:tcW w:w="2900" w:type="dxa"/>
                            <w:tcBorders>
                              <w:top w:val="nil"/>
                              <w:left w:val="nil"/>
                              <w:bottom w:val="nil"/>
                              <w:right w:val="nil"/>
                            </w:tcBorders>
                            <w:noWrap/>
                            <w:hideMark/>
                          </w:tcPr>
                          <w:p w14:paraId="679A364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Operating Expense/(Income)</w:t>
                            </w:r>
                          </w:p>
                        </w:tc>
                        <w:tc>
                          <w:tcPr>
                            <w:tcW w:w="980" w:type="dxa"/>
                            <w:tcBorders>
                              <w:top w:val="nil"/>
                              <w:left w:val="nil"/>
                              <w:bottom w:val="nil"/>
                              <w:right w:val="nil"/>
                            </w:tcBorders>
                            <w:hideMark/>
                          </w:tcPr>
                          <w:p w14:paraId="22210AA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68A164E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2A7F3E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04437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41B13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7DBC2E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3A9F6E3" w14:textId="77777777" w:rsidTr="0014207C">
                        <w:trPr>
                          <w:trHeight w:val="204"/>
                        </w:trPr>
                        <w:tc>
                          <w:tcPr>
                            <w:tcW w:w="2900" w:type="dxa"/>
                            <w:tcBorders>
                              <w:top w:val="nil"/>
                              <w:left w:val="nil"/>
                              <w:bottom w:val="nil"/>
                              <w:right w:val="nil"/>
                            </w:tcBorders>
                            <w:noWrap/>
                            <w:hideMark/>
                          </w:tcPr>
                          <w:p w14:paraId="12481A4E"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Other Operating Exp., Total</w:t>
                            </w:r>
                          </w:p>
                        </w:tc>
                        <w:tc>
                          <w:tcPr>
                            <w:tcW w:w="980" w:type="dxa"/>
                            <w:tcBorders>
                              <w:top w:val="single" w:sz="4" w:space="0" w:color="000000"/>
                              <w:left w:val="nil"/>
                              <w:bottom w:val="nil"/>
                              <w:right w:val="nil"/>
                            </w:tcBorders>
                            <w:hideMark/>
                          </w:tcPr>
                          <w:p w14:paraId="7325D0F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107,891.0 </w:t>
                            </w:r>
                          </w:p>
                        </w:tc>
                        <w:tc>
                          <w:tcPr>
                            <w:tcW w:w="1097" w:type="dxa"/>
                            <w:tcBorders>
                              <w:top w:val="single" w:sz="4" w:space="0" w:color="000000"/>
                              <w:left w:val="nil"/>
                              <w:bottom w:val="nil"/>
                              <w:right w:val="nil"/>
                            </w:tcBorders>
                            <w:hideMark/>
                          </w:tcPr>
                          <w:p w14:paraId="0CCD86A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116,288.0 </w:t>
                            </w:r>
                          </w:p>
                        </w:tc>
                        <w:tc>
                          <w:tcPr>
                            <w:tcW w:w="980" w:type="dxa"/>
                            <w:tcBorders>
                              <w:top w:val="single" w:sz="4" w:space="0" w:color="000000"/>
                              <w:left w:val="nil"/>
                              <w:bottom w:val="nil"/>
                              <w:right w:val="nil"/>
                            </w:tcBorders>
                            <w:hideMark/>
                          </w:tcPr>
                          <w:p w14:paraId="43B31A5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117,812.0 </w:t>
                            </w:r>
                          </w:p>
                        </w:tc>
                        <w:tc>
                          <w:tcPr>
                            <w:tcW w:w="980" w:type="dxa"/>
                            <w:tcBorders>
                              <w:top w:val="single" w:sz="4" w:space="0" w:color="000000"/>
                              <w:left w:val="nil"/>
                              <w:bottom w:val="nil"/>
                              <w:right w:val="nil"/>
                            </w:tcBorders>
                            <w:hideMark/>
                          </w:tcPr>
                          <w:p w14:paraId="49076B5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123,040.0 </w:t>
                            </w:r>
                          </w:p>
                        </w:tc>
                        <w:tc>
                          <w:tcPr>
                            <w:tcW w:w="980" w:type="dxa"/>
                            <w:tcBorders>
                              <w:top w:val="single" w:sz="4" w:space="0" w:color="000000"/>
                              <w:left w:val="nil"/>
                              <w:bottom w:val="nil"/>
                              <w:right w:val="nil"/>
                            </w:tcBorders>
                            <w:hideMark/>
                          </w:tcPr>
                          <w:p w14:paraId="3CAE486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130,971.0 </w:t>
                            </w:r>
                          </w:p>
                        </w:tc>
                        <w:tc>
                          <w:tcPr>
                            <w:tcW w:w="1080" w:type="dxa"/>
                            <w:tcBorders>
                              <w:top w:val="single" w:sz="4" w:space="0" w:color="000000"/>
                              <w:left w:val="nil"/>
                              <w:bottom w:val="nil"/>
                              <w:right w:val="nil"/>
                            </w:tcBorders>
                            <w:hideMark/>
                          </w:tcPr>
                          <w:p w14:paraId="051CF9D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139,728.0 </w:t>
                            </w:r>
                          </w:p>
                        </w:tc>
                      </w:tr>
                      <w:tr w:rsidR="0014207C" w:rsidRPr="0014207C" w14:paraId="6BCBE893" w14:textId="77777777" w:rsidTr="0014207C">
                        <w:trPr>
                          <w:trHeight w:val="204"/>
                        </w:trPr>
                        <w:tc>
                          <w:tcPr>
                            <w:tcW w:w="2900" w:type="dxa"/>
                            <w:tcBorders>
                              <w:top w:val="nil"/>
                              <w:left w:val="nil"/>
                              <w:bottom w:val="nil"/>
                              <w:right w:val="nil"/>
                            </w:tcBorders>
                            <w:noWrap/>
                            <w:hideMark/>
                          </w:tcPr>
                          <w:p w14:paraId="6A71425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Operating Income</w:t>
                            </w:r>
                          </w:p>
                        </w:tc>
                        <w:tc>
                          <w:tcPr>
                            <w:tcW w:w="980" w:type="dxa"/>
                            <w:tcBorders>
                              <w:top w:val="nil"/>
                              <w:left w:val="nil"/>
                              <w:bottom w:val="nil"/>
                              <w:right w:val="nil"/>
                            </w:tcBorders>
                            <w:hideMark/>
                          </w:tcPr>
                          <w:p w14:paraId="160C238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6ABBFD4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48EFB98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2FAE114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43D93CA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7FF8185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29,504.0 </w:t>
                            </w:r>
                          </w:p>
                        </w:tc>
                      </w:tr>
                      <w:tr w:rsidR="0014207C" w:rsidRPr="0014207C" w14:paraId="67C6F536" w14:textId="77777777" w:rsidTr="0014207C">
                        <w:trPr>
                          <w:trHeight w:val="204"/>
                        </w:trPr>
                        <w:tc>
                          <w:tcPr>
                            <w:tcW w:w="2900" w:type="dxa"/>
                            <w:tcBorders>
                              <w:top w:val="nil"/>
                              <w:left w:val="nil"/>
                              <w:bottom w:val="nil"/>
                              <w:right w:val="nil"/>
                            </w:tcBorders>
                            <w:noWrap/>
                            <w:hideMark/>
                          </w:tcPr>
                          <w:p w14:paraId="08A6372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Interest Expense</w:t>
                            </w:r>
                          </w:p>
                        </w:tc>
                        <w:tc>
                          <w:tcPr>
                            <w:tcW w:w="980" w:type="dxa"/>
                            <w:tcBorders>
                              <w:top w:val="nil"/>
                              <w:left w:val="nil"/>
                              <w:bottom w:val="nil"/>
                              <w:right w:val="nil"/>
                            </w:tcBorders>
                            <w:hideMark/>
                          </w:tcPr>
                          <w:p w14:paraId="6B9FA9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(2,599.0)  </w:t>
                            </w:r>
                          </w:p>
                        </w:tc>
                        <w:tc>
                          <w:tcPr>
                            <w:tcW w:w="1097" w:type="dxa"/>
                            <w:tcBorders>
                              <w:top w:val="nil"/>
                              <w:left w:val="nil"/>
                              <w:bottom w:val="nil"/>
                              <w:right w:val="nil"/>
                            </w:tcBorders>
                            <w:hideMark/>
                          </w:tcPr>
                          <w:p w14:paraId="672B84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(2,315.0)  </w:t>
                            </w:r>
                          </w:p>
                        </w:tc>
                        <w:tc>
                          <w:tcPr>
                            <w:tcW w:w="980" w:type="dxa"/>
                            <w:tcBorders>
                              <w:top w:val="nil"/>
                              <w:left w:val="nil"/>
                              <w:bottom w:val="nil"/>
                              <w:right w:val="nil"/>
                            </w:tcBorders>
                            <w:hideMark/>
                          </w:tcPr>
                          <w:p w14:paraId="0B77296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(1,994.0)  </w:t>
                            </w:r>
                          </w:p>
                        </w:tc>
                        <w:tc>
                          <w:tcPr>
                            <w:tcW w:w="980" w:type="dxa"/>
                            <w:tcBorders>
                              <w:top w:val="nil"/>
                              <w:left w:val="nil"/>
                              <w:bottom w:val="nil"/>
                              <w:right w:val="nil"/>
                            </w:tcBorders>
                            <w:hideMark/>
                          </w:tcPr>
                          <w:p w14:paraId="757CB7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(2,128.0)  </w:t>
                            </w:r>
                          </w:p>
                        </w:tc>
                        <w:tc>
                          <w:tcPr>
                            <w:tcW w:w="980" w:type="dxa"/>
                            <w:tcBorders>
                              <w:top w:val="nil"/>
                              <w:left w:val="nil"/>
                              <w:bottom w:val="nil"/>
                              <w:right w:val="nil"/>
                            </w:tcBorders>
                            <w:hideMark/>
                          </w:tcPr>
                          <w:p w14:paraId="4C8B1F5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(2,683.0)  </w:t>
                            </w:r>
                          </w:p>
                        </w:tc>
                        <w:tc>
                          <w:tcPr>
                            <w:tcW w:w="1080" w:type="dxa"/>
                            <w:tcBorders>
                              <w:top w:val="nil"/>
                              <w:left w:val="nil"/>
                              <w:bottom w:val="nil"/>
                              <w:right w:val="nil"/>
                            </w:tcBorders>
                            <w:hideMark/>
                          </w:tcPr>
                          <w:p w14:paraId="103F4F0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(2,728.0)  </w:t>
                            </w:r>
                          </w:p>
                        </w:tc>
                      </w:tr>
                      <w:tr w:rsidR="0014207C" w:rsidRPr="0014207C" w14:paraId="384295E8" w14:textId="77777777" w:rsidTr="0014207C">
                        <w:trPr>
                          <w:trHeight w:val="204"/>
                        </w:trPr>
                        <w:tc>
                          <w:tcPr>
                            <w:tcW w:w="2900" w:type="dxa"/>
                            <w:tcBorders>
                              <w:top w:val="nil"/>
                              <w:left w:val="nil"/>
                              <w:bottom w:val="nil"/>
                              <w:right w:val="nil"/>
                            </w:tcBorders>
                            <w:noWrap/>
                            <w:hideMark/>
                          </w:tcPr>
                          <w:p w14:paraId="56BA11A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Interest and Invest. Income</w:t>
                            </w:r>
                          </w:p>
                        </w:tc>
                        <w:tc>
                          <w:tcPr>
                            <w:tcW w:w="980" w:type="dxa"/>
                            <w:tcBorders>
                              <w:top w:val="nil"/>
                              <w:left w:val="nil"/>
                              <w:bottom w:val="nil"/>
                              <w:right w:val="nil"/>
                            </w:tcBorders>
                            <w:hideMark/>
                          </w:tcPr>
                          <w:p w14:paraId="3B430E6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189.0 </w:t>
                            </w:r>
                          </w:p>
                        </w:tc>
                        <w:tc>
                          <w:tcPr>
                            <w:tcW w:w="1097" w:type="dxa"/>
                            <w:tcBorders>
                              <w:top w:val="nil"/>
                              <w:left w:val="nil"/>
                              <w:bottom w:val="nil"/>
                              <w:right w:val="nil"/>
                            </w:tcBorders>
                            <w:hideMark/>
                          </w:tcPr>
                          <w:p w14:paraId="168B5E4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121.0 </w:t>
                            </w:r>
                          </w:p>
                        </w:tc>
                        <w:tc>
                          <w:tcPr>
                            <w:tcW w:w="980" w:type="dxa"/>
                            <w:tcBorders>
                              <w:top w:val="nil"/>
                              <w:left w:val="nil"/>
                              <w:bottom w:val="nil"/>
                              <w:right w:val="nil"/>
                            </w:tcBorders>
                            <w:hideMark/>
                          </w:tcPr>
                          <w:p w14:paraId="7BABB4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158.0 </w:t>
                            </w:r>
                          </w:p>
                        </w:tc>
                        <w:tc>
                          <w:tcPr>
                            <w:tcW w:w="980" w:type="dxa"/>
                            <w:tcBorders>
                              <w:top w:val="nil"/>
                              <w:left w:val="nil"/>
                              <w:bottom w:val="nil"/>
                              <w:right w:val="nil"/>
                            </w:tcBorders>
                            <w:hideMark/>
                          </w:tcPr>
                          <w:p w14:paraId="052E4C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454.0 </w:t>
                            </w:r>
                          </w:p>
                        </w:tc>
                        <w:tc>
                          <w:tcPr>
                            <w:tcW w:w="980" w:type="dxa"/>
                            <w:tcBorders>
                              <w:top w:val="nil"/>
                              <w:left w:val="nil"/>
                              <w:bottom w:val="nil"/>
                              <w:right w:val="nil"/>
                            </w:tcBorders>
                            <w:hideMark/>
                          </w:tcPr>
                          <w:p w14:paraId="5C42107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546.0 </w:t>
                            </w:r>
                          </w:p>
                        </w:tc>
                        <w:tc>
                          <w:tcPr>
                            <w:tcW w:w="1080" w:type="dxa"/>
                            <w:tcBorders>
                              <w:top w:val="nil"/>
                              <w:left w:val="nil"/>
                              <w:bottom w:val="nil"/>
                              <w:right w:val="nil"/>
                            </w:tcBorders>
                            <w:hideMark/>
                          </w:tcPr>
                          <w:p w14:paraId="6D7EE5C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483.0 </w:t>
                            </w:r>
                          </w:p>
                        </w:tc>
                      </w:tr>
                      <w:tr w:rsidR="0014207C" w:rsidRPr="0014207C" w14:paraId="61636D94" w14:textId="77777777" w:rsidTr="0014207C">
                        <w:trPr>
                          <w:trHeight w:val="204"/>
                        </w:trPr>
                        <w:tc>
                          <w:tcPr>
                            <w:tcW w:w="2900" w:type="dxa"/>
                            <w:tcBorders>
                              <w:top w:val="nil"/>
                              <w:left w:val="nil"/>
                              <w:bottom w:val="nil"/>
                              <w:right w:val="nil"/>
                            </w:tcBorders>
                            <w:noWrap/>
                            <w:hideMark/>
                          </w:tcPr>
                          <w:p w14:paraId="6D7DB42E"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Interest Exp.</w:t>
                            </w:r>
                          </w:p>
                        </w:tc>
                        <w:tc>
                          <w:tcPr>
                            <w:tcW w:w="980" w:type="dxa"/>
                            <w:tcBorders>
                              <w:top w:val="single" w:sz="4" w:space="0" w:color="000000"/>
                              <w:left w:val="nil"/>
                              <w:bottom w:val="nil"/>
                              <w:right w:val="nil"/>
                            </w:tcBorders>
                            <w:hideMark/>
                          </w:tcPr>
                          <w:p w14:paraId="0A762CD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(2,410.0)  </w:t>
                            </w:r>
                          </w:p>
                        </w:tc>
                        <w:tc>
                          <w:tcPr>
                            <w:tcW w:w="1097" w:type="dxa"/>
                            <w:tcBorders>
                              <w:top w:val="single" w:sz="4" w:space="0" w:color="000000"/>
                              <w:left w:val="nil"/>
                              <w:bottom w:val="nil"/>
                              <w:right w:val="nil"/>
                            </w:tcBorders>
                            <w:hideMark/>
                          </w:tcPr>
                          <w:p w14:paraId="72A21B2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(2,194.0)  </w:t>
                            </w:r>
                          </w:p>
                        </w:tc>
                        <w:tc>
                          <w:tcPr>
                            <w:tcW w:w="980" w:type="dxa"/>
                            <w:tcBorders>
                              <w:top w:val="single" w:sz="4" w:space="0" w:color="000000"/>
                              <w:left w:val="nil"/>
                              <w:bottom w:val="nil"/>
                              <w:right w:val="nil"/>
                            </w:tcBorders>
                            <w:hideMark/>
                          </w:tcPr>
                          <w:p w14:paraId="4FF9719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(1,836.0)  </w:t>
                            </w:r>
                          </w:p>
                        </w:tc>
                        <w:tc>
                          <w:tcPr>
                            <w:tcW w:w="980" w:type="dxa"/>
                            <w:tcBorders>
                              <w:top w:val="single" w:sz="4" w:space="0" w:color="000000"/>
                              <w:left w:val="nil"/>
                              <w:bottom w:val="nil"/>
                              <w:right w:val="nil"/>
                            </w:tcBorders>
                            <w:hideMark/>
                          </w:tcPr>
                          <w:p w14:paraId="2F87FC4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(1,674.0)  </w:t>
                            </w:r>
                          </w:p>
                        </w:tc>
                        <w:tc>
                          <w:tcPr>
                            <w:tcW w:w="980" w:type="dxa"/>
                            <w:tcBorders>
                              <w:top w:val="single" w:sz="4" w:space="0" w:color="000000"/>
                              <w:left w:val="nil"/>
                              <w:bottom w:val="nil"/>
                              <w:right w:val="nil"/>
                            </w:tcBorders>
                            <w:hideMark/>
                          </w:tcPr>
                          <w:p w14:paraId="0EE6401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(2,137.0)  </w:t>
                            </w:r>
                          </w:p>
                        </w:tc>
                        <w:tc>
                          <w:tcPr>
                            <w:tcW w:w="1080" w:type="dxa"/>
                            <w:tcBorders>
                              <w:top w:val="single" w:sz="4" w:space="0" w:color="000000"/>
                              <w:left w:val="nil"/>
                              <w:bottom w:val="nil"/>
                              <w:right w:val="nil"/>
                            </w:tcBorders>
                            <w:hideMark/>
                          </w:tcPr>
                          <w:p w14:paraId="32361F8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(2,245.0)  </w:t>
                            </w:r>
                          </w:p>
                        </w:tc>
                      </w:tr>
                      <w:tr w:rsidR="0014207C" w:rsidRPr="0014207C" w14:paraId="2D29877D" w14:textId="77777777" w:rsidTr="0014207C">
                        <w:trPr>
                          <w:trHeight w:val="204"/>
                        </w:trPr>
                        <w:tc>
                          <w:tcPr>
                            <w:tcW w:w="2900" w:type="dxa"/>
                            <w:tcBorders>
                              <w:top w:val="nil"/>
                              <w:left w:val="nil"/>
                              <w:bottom w:val="nil"/>
                              <w:right w:val="nil"/>
                            </w:tcBorders>
                            <w:noWrap/>
                            <w:hideMark/>
                          </w:tcPr>
                          <w:p w14:paraId="3E6FBF2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Non-Operating Inc. (Exp.)</w:t>
                            </w:r>
                          </w:p>
                        </w:tc>
                        <w:tc>
                          <w:tcPr>
                            <w:tcW w:w="980" w:type="dxa"/>
                            <w:tcBorders>
                              <w:top w:val="nil"/>
                              <w:left w:val="nil"/>
                              <w:bottom w:val="nil"/>
                              <w:right w:val="nil"/>
                            </w:tcBorders>
                            <w:hideMark/>
                          </w:tcPr>
                          <w:p w14:paraId="6005F7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87.0 </w:t>
                            </w:r>
                          </w:p>
                        </w:tc>
                        <w:tc>
                          <w:tcPr>
                            <w:tcW w:w="1097" w:type="dxa"/>
                            <w:tcBorders>
                              <w:top w:val="nil"/>
                              <w:left w:val="nil"/>
                              <w:bottom w:val="nil"/>
                              <w:right w:val="nil"/>
                            </w:tcBorders>
                            <w:hideMark/>
                          </w:tcPr>
                          <w:p w14:paraId="5FE9D8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22.0 </w:t>
                            </w:r>
                          </w:p>
                        </w:tc>
                        <w:tc>
                          <w:tcPr>
                            <w:tcW w:w="980" w:type="dxa"/>
                            <w:tcBorders>
                              <w:top w:val="nil"/>
                              <w:left w:val="nil"/>
                              <w:bottom w:val="nil"/>
                              <w:right w:val="nil"/>
                            </w:tcBorders>
                            <w:hideMark/>
                          </w:tcPr>
                          <w:p w14:paraId="2935495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(127.0)  </w:t>
                            </w:r>
                          </w:p>
                        </w:tc>
                        <w:tc>
                          <w:tcPr>
                            <w:tcW w:w="980" w:type="dxa"/>
                            <w:tcBorders>
                              <w:top w:val="nil"/>
                              <w:left w:val="nil"/>
                              <w:bottom w:val="nil"/>
                              <w:right w:val="nil"/>
                            </w:tcBorders>
                            <w:hideMark/>
                          </w:tcPr>
                          <w:p w14:paraId="7C4C08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(455.0)  </w:t>
                            </w:r>
                          </w:p>
                        </w:tc>
                        <w:tc>
                          <w:tcPr>
                            <w:tcW w:w="980" w:type="dxa"/>
                            <w:tcBorders>
                              <w:top w:val="nil"/>
                              <w:left w:val="nil"/>
                              <w:bottom w:val="nil"/>
                              <w:right w:val="nil"/>
                            </w:tcBorders>
                            <w:hideMark/>
                          </w:tcPr>
                          <w:p w14:paraId="0BFA1A5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166.0 </w:t>
                            </w:r>
                          </w:p>
                        </w:tc>
                        <w:tc>
                          <w:tcPr>
                            <w:tcW w:w="1080" w:type="dxa"/>
                            <w:tcBorders>
                              <w:top w:val="nil"/>
                              <w:left w:val="nil"/>
                              <w:bottom w:val="nil"/>
                              <w:right w:val="nil"/>
                            </w:tcBorders>
                            <w:hideMark/>
                          </w:tcPr>
                          <w:p w14:paraId="14D0E6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(794.0)  </w:t>
                            </w:r>
                          </w:p>
                        </w:tc>
                      </w:tr>
                      <w:tr w:rsidR="0014207C" w:rsidRPr="0014207C" w14:paraId="7E6454F8" w14:textId="77777777" w:rsidTr="0014207C">
                        <w:trPr>
                          <w:trHeight w:val="204"/>
                        </w:trPr>
                        <w:tc>
                          <w:tcPr>
                            <w:tcW w:w="2900" w:type="dxa"/>
                            <w:tcBorders>
                              <w:top w:val="nil"/>
                              <w:left w:val="nil"/>
                              <w:bottom w:val="nil"/>
                              <w:right w:val="nil"/>
                            </w:tcBorders>
                            <w:noWrap/>
                            <w:hideMark/>
                          </w:tcPr>
                          <w:p w14:paraId="2D3F9F34"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EBT Excl. Unusual Items</w:t>
                            </w:r>
                          </w:p>
                        </w:tc>
                        <w:tc>
                          <w:tcPr>
                            <w:tcW w:w="980" w:type="dxa"/>
                            <w:tcBorders>
                              <w:top w:val="single" w:sz="4" w:space="0" w:color="000000"/>
                              <w:left w:val="nil"/>
                              <w:bottom w:val="nil"/>
                              <w:right w:val="nil"/>
                            </w:tcBorders>
                            <w:hideMark/>
                          </w:tcPr>
                          <w:p w14:paraId="7CCB4AB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19,145.0 </w:t>
                            </w:r>
                          </w:p>
                        </w:tc>
                        <w:tc>
                          <w:tcPr>
                            <w:tcW w:w="1097" w:type="dxa"/>
                            <w:tcBorders>
                              <w:top w:val="single" w:sz="4" w:space="0" w:color="000000"/>
                              <w:left w:val="nil"/>
                              <w:bottom w:val="nil"/>
                              <w:right w:val="nil"/>
                            </w:tcBorders>
                            <w:hideMark/>
                          </w:tcPr>
                          <w:p w14:paraId="1DFED4A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20,376.0 </w:t>
                            </w:r>
                          </w:p>
                        </w:tc>
                        <w:tc>
                          <w:tcPr>
                            <w:tcW w:w="980" w:type="dxa"/>
                            <w:tcBorders>
                              <w:top w:val="single" w:sz="4" w:space="0" w:color="000000"/>
                              <w:left w:val="nil"/>
                              <w:bottom w:val="nil"/>
                              <w:right w:val="nil"/>
                            </w:tcBorders>
                            <w:hideMark/>
                          </w:tcPr>
                          <w:p w14:paraId="5430FA1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23,979.0 </w:t>
                            </w:r>
                          </w:p>
                        </w:tc>
                        <w:tc>
                          <w:tcPr>
                            <w:tcW w:w="980" w:type="dxa"/>
                            <w:tcBorders>
                              <w:top w:val="single" w:sz="4" w:space="0" w:color="000000"/>
                              <w:left w:val="nil"/>
                              <w:bottom w:val="nil"/>
                              <w:right w:val="nil"/>
                            </w:tcBorders>
                            <w:hideMark/>
                          </w:tcPr>
                          <w:p w14:paraId="75F6FBA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22,399.0 </w:t>
                            </w:r>
                          </w:p>
                        </w:tc>
                        <w:tc>
                          <w:tcPr>
                            <w:tcW w:w="980" w:type="dxa"/>
                            <w:tcBorders>
                              <w:top w:val="single" w:sz="4" w:space="0" w:color="000000"/>
                              <w:left w:val="nil"/>
                              <w:bottom w:val="nil"/>
                              <w:right w:val="nil"/>
                            </w:tcBorders>
                            <w:hideMark/>
                          </w:tcPr>
                          <w:p w14:paraId="1F21117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25,041.0 </w:t>
                            </w:r>
                          </w:p>
                        </w:tc>
                        <w:tc>
                          <w:tcPr>
                            <w:tcW w:w="1080" w:type="dxa"/>
                            <w:tcBorders>
                              <w:top w:val="single" w:sz="4" w:space="0" w:color="000000"/>
                              <w:left w:val="nil"/>
                              <w:bottom w:val="nil"/>
                              <w:right w:val="nil"/>
                            </w:tcBorders>
                            <w:hideMark/>
                          </w:tcPr>
                          <w:p w14:paraId="52A77C9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26,465.0 </w:t>
                            </w:r>
                          </w:p>
                        </w:tc>
                      </w:tr>
                      <w:tr w:rsidR="0014207C" w:rsidRPr="0014207C" w14:paraId="4042A3F2" w14:textId="77777777" w:rsidTr="0014207C">
                        <w:trPr>
                          <w:trHeight w:val="204"/>
                        </w:trPr>
                        <w:tc>
                          <w:tcPr>
                            <w:tcW w:w="2900" w:type="dxa"/>
                            <w:tcBorders>
                              <w:top w:val="nil"/>
                              <w:left w:val="nil"/>
                              <w:bottom w:val="nil"/>
                              <w:right w:val="nil"/>
                            </w:tcBorders>
                            <w:noWrap/>
                            <w:hideMark/>
                          </w:tcPr>
                          <w:p w14:paraId="6A1CA84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Restructuring Charges</w:t>
                            </w:r>
                          </w:p>
                        </w:tc>
                        <w:tc>
                          <w:tcPr>
                            <w:tcW w:w="980" w:type="dxa"/>
                            <w:tcBorders>
                              <w:top w:val="nil"/>
                              <w:left w:val="nil"/>
                              <w:bottom w:val="nil"/>
                              <w:right w:val="nil"/>
                            </w:tcBorders>
                            <w:hideMark/>
                          </w:tcPr>
                          <w:p w14:paraId="687175B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(900.0)  </w:t>
                            </w:r>
                          </w:p>
                        </w:tc>
                        <w:tc>
                          <w:tcPr>
                            <w:tcW w:w="1097" w:type="dxa"/>
                            <w:tcBorders>
                              <w:top w:val="nil"/>
                              <w:left w:val="nil"/>
                              <w:bottom w:val="nil"/>
                              <w:right w:val="nil"/>
                            </w:tcBorders>
                            <w:hideMark/>
                          </w:tcPr>
                          <w:p w14:paraId="63BD4B2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FF95CC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C68316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(800.0)  </w:t>
                            </w:r>
                          </w:p>
                        </w:tc>
                        <w:tc>
                          <w:tcPr>
                            <w:tcW w:w="980" w:type="dxa"/>
                            <w:tcBorders>
                              <w:top w:val="nil"/>
                              <w:left w:val="nil"/>
                              <w:bottom w:val="nil"/>
                              <w:right w:val="nil"/>
                            </w:tcBorders>
                            <w:hideMark/>
                          </w:tcPr>
                          <w:p w14:paraId="543D103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45A4043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(255.0)  </w:t>
                            </w:r>
                          </w:p>
                        </w:tc>
                      </w:tr>
                      <w:tr w:rsidR="0014207C" w:rsidRPr="0014207C" w14:paraId="2CB8EE66" w14:textId="77777777" w:rsidTr="0014207C">
                        <w:trPr>
                          <w:trHeight w:val="204"/>
                        </w:trPr>
                        <w:tc>
                          <w:tcPr>
                            <w:tcW w:w="2900" w:type="dxa"/>
                            <w:tcBorders>
                              <w:top w:val="nil"/>
                              <w:left w:val="nil"/>
                              <w:bottom w:val="nil"/>
                              <w:right w:val="nil"/>
                            </w:tcBorders>
                            <w:noWrap/>
                            <w:hideMark/>
                          </w:tcPr>
                          <w:p w14:paraId="57985F5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Impairment of Goodwill</w:t>
                            </w:r>
                          </w:p>
                        </w:tc>
                        <w:tc>
                          <w:tcPr>
                            <w:tcW w:w="980" w:type="dxa"/>
                            <w:tcBorders>
                              <w:top w:val="nil"/>
                              <w:left w:val="nil"/>
                              <w:bottom w:val="nil"/>
                              <w:right w:val="nil"/>
                            </w:tcBorders>
                            <w:hideMark/>
                          </w:tcPr>
                          <w:p w14:paraId="0B8D8F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50C8E7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4678D7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501C64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02101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1D42F4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77719290" w14:textId="77777777" w:rsidTr="0014207C">
                        <w:trPr>
                          <w:trHeight w:val="204"/>
                        </w:trPr>
                        <w:tc>
                          <w:tcPr>
                            <w:tcW w:w="2900" w:type="dxa"/>
                            <w:tcBorders>
                              <w:top w:val="nil"/>
                              <w:left w:val="nil"/>
                              <w:bottom w:val="nil"/>
                              <w:right w:val="nil"/>
                            </w:tcBorders>
                            <w:noWrap/>
                            <w:hideMark/>
                          </w:tcPr>
                          <w:p w14:paraId="4D9E7B4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Gain (Loss) On Sale Of Invest.</w:t>
                            </w:r>
                          </w:p>
                        </w:tc>
                        <w:tc>
                          <w:tcPr>
                            <w:tcW w:w="980" w:type="dxa"/>
                            <w:tcBorders>
                              <w:top w:val="nil"/>
                              <w:left w:val="nil"/>
                              <w:bottom w:val="nil"/>
                              <w:right w:val="nil"/>
                            </w:tcBorders>
                            <w:hideMark/>
                          </w:tcPr>
                          <w:p w14:paraId="53ECEDF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1,886.0 </w:t>
                            </w:r>
                          </w:p>
                        </w:tc>
                        <w:tc>
                          <w:tcPr>
                            <w:tcW w:w="1097" w:type="dxa"/>
                            <w:tcBorders>
                              <w:top w:val="nil"/>
                              <w:left w:val="nil"/>
                              <w:bottom w:val="nil"/>
                              <w:right w:val="nil"/>
                            </w:tcBorders>
                            <w:hideMark/>
                          </w:tcPr>
                          <w:p w14:paraId="437146D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8,589.0 </w:t>
                            </w:r>
                          </w:p>
                        </w:tc>
                        <w:tc>
                          <w:tcPr>
                            <w:tcW w:w="980" w:type="dxa"/>
                            <w:tcBorders>
                              <w:top w:val="nil"/>
                              <w:left w:val="nil"/>
                              <w:bottom w:val="nil"/>
                              <w:right w:val="nil"/>
                            </w:tcBorders>
                            <w:hideMark/>
                          </w:tcPr>
                          <w:p w14:paraId="6BB85FF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(2,440.0)  </w:t>
                            </w:r>
                          </w:p>
                        </w:tc>
                        <w:tc>
                          <w:tcPr>
                            <w:tcW w:w="980" w:type="dxa"/>
                            <w:tcBorders>
                              <w:top w:val="nil"/>
                              <w:left w:val="nil"/>
                              <w:bottom w:val="nil"/>
                              <w:right w:val="nil"/>
                            </w:tcBorders>
                            <w:hideMark/>
                          </w:tcPr>
                          <w:p w14:paraId="1B46F5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(1,283.0)  </w:t>
                            </w:r>
                          </w:p>
                        </w:tc>
                        <w:tc>
                          <w:tcPr>
                            <w:tcW w:w="980" w:type="dxa"/>
                            <w:tcBorders>
                              <w:top w:val="nil"/>
                              <w:left w:val="nil"/>
                              <w:bottom w:val="nil"/>
                              <w:right w:val="nil"/>
                            </w:tcBorders>
                            <w:hideMark/>
                          </w:tcPr>
                          <w:p w14:paraId="0C5470F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(3,193.0)  </w:t>
                            </w:r>
                          </w:p>
                        </w:tc>
                        <w:tc>
                          <w:tcPr>
                            <w:tcW w:w="1080" w:type="dxa"/>
                            <w:tcBorders>
                              <w:top w:val="nil"/>
                              <w:left w:val="nil"/>
                              <w:bottom w:val="nil"/>
                              <w:right w:val="nil"/>
                            </w:tcBorders>
                            <w:hideMark/>
                          </w:tcPr>
                          <w:p w14:paraId="1E7E89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E3CCFC5" w14:textId="77777777" w:rsidTr="0014207C">
                        <w:trPr>
                          <w:trHeight w:val="204"/>
                        </w:trPr>
                        <w:tc>
                          <w:tcPr>
                            <w:tcW w:w="2900" w:type="dxa"/>
                            <w:tcBorders>
                              <w:top w:val="nil"/>
                              <w:left w:val="nil"/>
                              <w:bottom w:val="nil"/>
                              <w:right w:val="nil"/>
                            </w:tcBorders>
                            <w:noWrap/>
                            <w:hideMark/>
                          </w:tcPr>
                          <w:p w14:paraId="5B10924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Gain (Loss) On Sale Of Assets</w:t>
                            </w:r>
                          </w:p>
                        </w:tc>
                        <w:tc>
                          <w:tcPr>
                            <w:tcW w:w="980" w:type="dxa"/>
                            <w:tcBorders>
                              <w:top w:val="nil"/>
                              <w:left w:val="nil"/>
                              <w:bottom w:val="nil"/>
                              <w:right w:val="nil"/>
                            </w:tcBorders>
                            <w:hideMark/>
                          </w:tcPr>
                          <w:p w14:paraId="25C974B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(15.0)  </w:t>
                            </w:r>
                          </w:p>
                        </w:tc>
                        <w:tc>
                          <w:tcPr>
                            <w:tcW w:w="1097" w:type="dxa"/>
                            <w:tcBorders>
                              <w:top w:val="nil"/>
                              <w:left w:val="nil"/>
                              <w:bottom w:val="nil"/>
                              <w:right w:val="nil"/>
                            </w:tcBorders>
                            <w:hideMark/>
                          </w:tcPr>
                          <w:p w14:paraId="3C8F0A5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(8,401.0)  </w:t>
                            </w:r>
                          </w:p>
                        </w:tc>
                        <w:tc>
                          <w:tcPr>
                            <w:tcW w:w="980" w:type="dxa"/>
                            <w:tcBorders>
                              <w:top w:val="nil"/>
                              <w:left w:val="nil"/>
                              <w:bottom w:val="nil"/>
                              <w:right w:val="nil"/>
                            </w:tcBorders>
                            <w:hideMark/>
                          </w:tcPr>
                          <w:p w14:paraId="568C63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(433.0)  </w:t>
                            </w:r>
                          </w:p>
                        </w:tc>
                        <w:tc>
                          <w:tcPr>
                            <w:tcW w:w="980" w:type="dxa"/>
                            <w:tcBorders>
                              <w:top w:val="nil"/>
                              <w:left w:val="nil"/>
                              <w:bottom w:val="nil"/>
                              <w:right w:val="nil"/>
                            </w:tcBorders>
                            <w:hideMark/>
                          </w:tcPr>
                          <w:p w14:paraId="62C3B3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8C30B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D9B69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88AC558" w14:textId="77777777" w:rsidTr="0014207C">
                        <w:trPr>
                          <w:trHeight w:val="204"/>
                        </w:trPr>
                        <w:tc>
                          <w:tcPr>
                            <w:tcW w:w="2900" w:type="dxa"/>
                            <w:tcBorders>
                              <w:top w:val="nil"/>
                              <w:left w:val="nil"/>
                              <w:bottom w:val="nil"/>
                              <w:right w:val="nil"/>
                            </w:tcBorders>
                            <w:noWrap/>
                            <w:hideMark/>
                          </w:tcPr>
                          <w:p w14:paraId="4DFB846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Legal Settlements</w:t>
                            </w:r>
                          </w:p>
                        </w:tc>
                        <w:tc>
                          <w:tcPr>
                            <w:tcW w:w="980" w:type="dxa"/>
                            <w:tcBorders>
                              <w:top w:val="nil"/>
                              <w:left w:val="nil"/>
                              <w:bottom w:val="nil"/>
                              <w:right w:val="nil"/>
                            </w:tcBorders>
                            <w:hideMark/>
                          </w:tcPr>
                          <w:p w14:paraId="4512E9A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0199EEF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0971C1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C215B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(3,300.0)  </w:t>
                            </w:r>
                          </w:p>
                        </w:tc>
                        <w:tc>
                          <w:tcPr>
                            <w:tcW w:w="980" w:type="dxa"/>
                            <w:tcBorders>
                              <w:top w:val="nil"/>
                              <w:left w:val="nil"/>
                              <w:bottom w:val="nil"/>
                              <w:right w:val="nil"/>
                            </w:tcBorders>
                            <w:hideMark/>
                          </w:tcPr>
                          <w:p w14:paraId="56C40B4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9F1B3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99.0 </w:t>
                            </w:r>
                          </w:p>
                        </w:tc>
                      </w:tr>
                      <w:tr w:rsidR="0014207C" w:rsidRPr="0014207C" w14:paraId="600B150C" w14:textId="77777777" w:rsidTr="0014207C">
                        <w:trPr>
                          <w:trHeight w:val="204"/>
                        </w:trPr>
                        <w:tc>
                          <w:tcPr>
                            <w:tcW w:w="2900" w:type="dxa"/>
                            <w:tcBorders>
                              <w:top w:val="nil"/>
                              <w:left w:val="nil"/>
                              <w:bottom w:val="nil"/>
                              <w:right w:val="nil"/>
                            </w:tcBorders>
                            <w:noWrap/>
                            <w:hideMark/>
                          </w:tcPr>
                          <w:p w14:paraId="4EC1719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Unusual Items</w:t>
                            </w:r>
                          </w:p>
                        </w:tc>
                        <w:tc>
                          <w:tcPr>
                            <w:tcW w:w="980" w:type="dxa"/>
                            <w:tcBorders>
                              <w:top w:val="nil"/>
                              <w:left w:val="nil"/>
                              <w:bottom w:val="nil"/>
                              <w:right w:val="nil"/>
                            </w:tcBorders>
                            <w:hideMark/>
                          </w:tcPr>
                          <w:p w14:paraId="6E2FCFF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3B4B6C8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578FAA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(2,410.0)  </w:t>
                            </w:r>
                          </w:p>
                        </w:tc>
                        <w:tc>
                          <w:tcPr>
                            <w:tcW w:w="980" w:type="dxa"/>
                            <w:tcBorders>
                              <w:top w:val="nil"/>
                              <w:left w:val="nil"/>
                              <w:bottom w:val="nil"/>
                              <w:right w:val="nil"/>
                            </w:tcBorders>
                            <w:hideMark/>
                          </w:tcPr>
                          <w:p w14:paraId="3D81259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E8CF5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20C5D1B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1B4D749F" w14:textId="77777777" w:rsidTr="0014207C">
                        <w:trPr>
                          <w:trHeight w:val="204"/>
                        </w:trPr>
                        <w:tc>
                          <w:tcPr>
                            <w:tcW w:w="2900" w:type="dxa"/>
                            <w:tcBorders>
                              <w:top w:val="nil"/>
                              <w:left w:val="nil"/>
                              <w:bottom w:val="nil"/>
                              <w:right w:val="nil"/>
                            </w:tcBorders>
                            <w:noWrap/>
                            <w:hideMark/>
                          </w:tcPr>
                          <w:p w14:paraId="243356B6"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EBT Incl. Unusual Items</w:t>
                            </w:r>
                          </w:p>
                        </w:tc>
                        <w:tc>
                          <w:tcPr>
                            <w:tcW w:w="980" w:type="dxa"/>
                            <w:tcBorders>
                              <w:top w:val="single" w:sz="4" w:space="0" w:color="000000"/>
                              <w:left w:val="nil"/>
                              <w:bottom w:val="nil"/>
                              <w:right w:val="nil"/>
                            </w:tcBorders>
                            <w:hideMark/>
                          </w:tcPr>
                          <w:p w14:paraId="6092466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20,116.0 </w:t>
                            </w:r>
                          </w:p>
                        </w:tc>
                        <w:tc>
                          <w:tcPr>
                            <w:tcW w:w="1097" w:type="dxa"/>
                            <w:tcBorders>
                              <w:top w:val="single" w:sz="4" w:space="0" w:color="000000"/>
                              <w:left w:val="nil"/>
                              <w:bottom w:val="nil"/>
                              <w:right w:val="nil"/>
                            </w:tcBorders>
                            <w:hideMark/>
                          </w:tcPr>
                          <w:p w14:paraId="66A4BA4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20,564.0 </w:t>
                            </w:r>
                          </w:p>
                        </w:tc>
                        <w:tc>
                          <w:tcPr>
                            <w:tcW w:w="980" w:type="dxa"/>
                            <w:tcBorders>
                              <w:top w:val="single" w:sz="4" w:space="0" w:color="000000"/>
                              <w:left w:val="nil"/>
                              <w:bottom w:val="nil"/>
                              <w:right w:val="nil"/>
                            </w:tcBorders>
                            <w:hideMark/>
                          </w:tcPr>
                          <w:p w14:paraId="588B519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18,696.0 </w:t>
                            </w:r>
                          </w:p>
                        </w:tc>
                        <w:tc>
                          <w:tcPr>
                            <w:tcW w:w="980" w:type="dxa"/>
                            <w:tcBorders>
                              <w:top w:val="single" w:sz="4" w:space="0" w:color="000000"/>
                              <w:left w:val="nil"/>
                              <w:bottom w:val="nil"/>
                              <w:right w:val="nil"/>
                            </w:tcBorders>
                            <w:hideMark/>
                          </w:tcPr>
                          <w:p w14:paraId="73C519B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17,016.0 </w:t>
                            </w:r>
                          </w:p>
                        </w:tc>
                        <w:tc>
                          <w:tcPr>
                            <w:tcW w:w="980" w:type="dxa"/>
                            <w:tcBorders>
                              <w:top w:val="single" w:sz="4" w:space="0" w:color="000000"/>
                              <w:left w:val="nil"/>
                              <w:bottom w:val="nil"/>
                              <w:right w:val="nil"/>
                            </w:tcBorders>
                            <w:hideMark/>
                          </w:tcPr>
                          <w:p w14:paraId="6B786CD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21,848.0 </w:t>
                            </w:r>
                          </w:p>
                        </w:tc>
                        <w:tc>
                          <w:tcPr>
                            <w:tcW w:w="1080" w:type="dxa"/>
                            <w:tcBorders>
                              <w:top w:val="single" w:sz="4" w:space="0" w:color="000000"/>
                              <w:left w:val="nil"/>
                              <w:bottom w:val="nil"/>
                              <w:right w:val="nil"/>
                            </w:tcBorders>
                            <w:hideMark/>
                          </w:tcPr>
                          <w:p w14:paraId="05F4CC4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26,309.0 </w:t>
                            </w:r>
                          </w:p>
                        </w:tc>
                      </w:tr>
                      <w:tr w:rsidR="0014207C" w:rsidRPr="0014207C" w14:paraId="178A830E" w14:textId="77777777" w:rsidTr="0014207C">
                        <w:trPr>
                          <w:trHeight w:val="204"/>
                        </w:trPr>
                        <w:tc>
                          <w:tcPr>
                            <w:tcW w:w="2900" w:type="dxa"/>
                            <w:tcBorders>
                              <w:top w:val="nil"/>
                              <w:left w:val="nil"/>
                              <w:bottom w:val="nil"/>
                              <w:right w:val="nil"/>
                            </w:tcBorders>
                            <w:noWrap/>
                            <w:hideMark/>
                          </w:tcPr>
                          <w:p w14:paraId="057FAD6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Income Tax Expense</w:t>
                            </w:r>
                          </w:p>
                        </w:tc>
                        <w:tc>
                          <w:tcPr>
                            <w:tcW w:w="980" w:type="dxa"/>
                            <w:tcBorders>
                              <w:top w:val="nil"/>
                              <w:left w:val="nil"/>
                              <w:bottom w:val="nil"/>
                              <w:right w:val="nil"/>
                            </w:tcBorders>
                            <w:hideMark/>
                          </w:tcPr>
                          <w:p w14:paraId="0E2C71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4,915.0 </w:t>
                            </w:r>
                          </w:p>
                        </w:tc>
                        <w:tc>
                          <w:tcPr>
                            <w:tcW w:w="1097" w:type="dxa"/>
                            <w:tcBorders>
                              <w:top w:val="nil"/>
                              <w:left w:val="nil"/>
                              <w:bottom w:val="nil"/>
                              <w:right w:val="nil"/>
                            </w:tcBorders>
                            <w:hideMark/>
                          </w:tcPr>
                          <w:p w14:paraId="59FB079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6,858.0 </w:t>
                            </w:r>
                          </w:p>
                        </w:tc>
                        <w:tc>
                          <w:tcPr>
                            <w:tcW w:w="980" w:type="dxa"/>
                            <w:tcBorders>
                              <w:top w:val="nil"/>
                              <w:left w:val="nil"/>
                              <w:bottom w:val="nil"/>
                              <w:right w:val="nil"/>
                            </w:tcBorders>
                            <w:hideMark/>
                          </w:tcPr>
                          <w:p w14:paraId="0E5F51A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4,756.0 </w:t>
                            </w:r>
                          </w:p>
                        </w:tc>
                        <w:tc>
                          <w:tcPr>
                            <w:tcW w:w="980" w:type="dxa"/>
                            <w:tcBorders>
                              <w:top w:val="nil"/>
                              <w:left w:val="nil"/>
                              <w:bottom w:val="nil"/>
                              <w:right w:val="nil"/>
                            </w:tcBorders>
                            <w:hideMark/>
                          </w:tcPr>
                          <w:p w14:paraId="79CD0C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5,724.0 </w:t>
                            </w:r>
                          </w:p>
                        </w:tc>
                        <w:tc>
                          <w:tcPr>
                            <w:tcW w:w="980" w:type="dxa"/>
                            <w:tcBorders>
                              <w:top w:val="nil"/>
                              <w:left w:val="nil"/>
                              <w:bottom w:val="nil"/>
                              <w:right w:val="nil"/>
                            </w:tcBorders>
                            <w:hideMark/>
                          </w:tcPr>
                          <w:p w14:paraId="4A59DC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5,578.0 </w:t>
                            </w:r>
                          </w:p>
                        </w:tc>
                        <w:tc>
                          <w:tcPr>
                            <w:tcW w:w="1080" w:type="dxa"/>
                            <w:tcBorders>
                              <w:top w:val="nil"/>
                              <w:left w:val="nil"/>
                              <w:bottom w:val="nil"/>
                              <w:right w:val="nil"/>
                            </w:tcBorders>
                            <w:hideMark/>
                          </w:tcPr>
                          <w:p w14:paraId="747715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6,152.0 </w:t>
                            </w:r>
                          </w:p>
                        </w:tc>
                      </w:tr>
                      <w:tr w:rsidR="0014207C" w:rsidRPr="0014207C" w14:paraId="0E41C5CE" w14:textId="77777777" w:rsidTr="0014207C">
                        <w:trPr>
                          <w:trHeight w:val="204"/>
                        </w:trPr>
                        <w:tc>
                          <w:tcPr>
                            <w:tcW w:w="2900" w:type="dxa"/>
                            <w:tcBorders>
                              <w:top w:val="nil"/>
                              <w:left w:val="nil"/>
                              <w:bottom w:val="nil"/>
                              <w:right w:val="nil"/>
                            </w:tcBorders>
                            <w:noWrap/>
                            <w:hideMark/>
                          </w:tcPr>
                          <w:p w14:paraId="37D25FF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Earnings from Cont. Ops.</w:t>
                            </w:r>
                          </w:p>
                        </w:tc>
                        <w:tc>
                          <w:tcPr>
                            <w:tcW w:w="980" w:type="dxa"/>
                            <w:tcBorders>
                              <w:top w:val="single" w:sz="4" w:space="0" w:color="000000"/>
                              <w:left w:val="nil"/>
                              <w:bottom w:val="nil"/>
                              <w:right w:val="nil"/>
                            </w:tcBorders>
                            <w:hideMark/>
                          </w:tcPr>
                          <w:p w14:paraId="1CB8633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15,201.0 </w:t>
                            </w:r>
                          </w:p>
                        </w:tc>
                        <w:tc>
                          <w:tcPr>
                            <w:tcW w:w="1097" w:type="dxa"/>
                            <w:tcBorders>
                              <w:top w:val="single" w:sz="4" w:space="0" w:color="000000"/>
                              <w:left w:val="nil"/>
                              <w:bottom w:val="nil"/>
                              <w:right w:val="nil"/>
                            </w:tcBorders>
                            <w:hideMark/>
                          </w:tcPr>
                          <w:p w14:paraId="68C22E2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13,706.0 </w:t>
                            </w:r>
                          </w:p>
                        </w:tc>
                        <w:tc>
                          <w:tcPr>
                            <w:tcW w:w="980" w:type="dxa"/>
                            <w:tcBorders>
                              <w:top w:val="single" w:sz="4" w:space="0" w:color="000000"/>
                              <w:left w:val="nil"/>
                              <w:bottom w:val="nil"/>
                              <w:right w:val="nil"/>
                            </w:tcBorders>
                            <w:hideMark/>
                          </w:tcPr>
                          <w:p w14:paraId="7C72A3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13,940.0 </w:t>
                            </w:r>
                          </w:p>
                        </w:tc>
                        <w:tc>
                          <w:tcPr>
                            <w:tcW w:w="980" w:type="dxa"/>
                            <w:tcBorders>
                              <w:top w:val="single" w:sz="4" w:space="0" w:color="000000"/>
                              <w:left w:val="nil"/>
                              <w:bottom w:val="nil"/>
                              <w:right w:val="nil"/>
                            </w:tcBorders>
                            <w:hideMark/>
                          </w:tcPr>
                          <w:p w14:paraId="54FE258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11,292.0 </w:t>
                            </w:r>
                          </w:p>
                        </w:tc>
                        <w:tc>
                          <w:tcPr>
                            <w:tcW w:w="980" w:type="dxa"/>
                            <w:tcBorders>
                              <w:top w:val="single" w:sz="4" w:space="0" w:color="000000"/>
                              <w:left w:val="nil"/>
                              <w:bottom w:val="nil"/>
                              <w:right w:val="nil"/>
                            </w:tcBorders>
                            <w:hideMark/>
                          </w:tcPr>
                          <w:p w14:paraId="34F355E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16,270.0 </w:t>
                            </w:r>
                          </w:p>
                        </w:tc>
                        <w:tc>
                          <w:tcPr>
                            <w:tcW w:w="1080" w:type="dxa"/>
                            <w:tcBorders>
                              <w:top w:val="single" w:sz="4" w:space="0" w:color="000000"/>
                              <w:left w:val="nil"/>
                              <w:bottom w:val="nil"/>
                              <w:right w:val="nil"/>
                            </w:tcBorders>
                            <w:hideMark/>
                          </w:tcPr>
                          <w:p w14:paraId="763299C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20,157.0 </w:t>
                            </w:r>
                          </w:p>
                        </w:tc>
                      </w:tr>
                      <w:tr w:rsidR="0014207C" w:rsidRPr="0014207C" w14:paraId="353E9081" w14:textId="77777777" w:rsidTr="0014207C">
                        <w:trPr>
                          <w:trHeight w:val="204"/>
                        </w:trPr>
                        <w:tc>
                          <w:tcPr>
                            <w:tcW w:w="2900" w:type="dxa"/>
                            <w:tcBorders>
                              <w:top w:val="nil"/>
                              <w:left w:val="nil"/>
                              <w:bottom w:val="nil"/>
                              <w:right w:val="nil"/>
                            </w:tcBorders>
                            <w:noWrap/>
                            <w:hideMark/>
                          </w:tcPr>
                          <w:p w14:paraId="0C4E1BF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Earnings of Discontinued Ops.</w:t>
                            </w:r>
                          </w:p>
                        </w:tc>
                        <w:tc>
                          <w:tcPr>
                            <w:tcW w:w="980" w:type="dxa"/>
                            <w:tcBorders>
                              <w:top w:val="nil"/>
                              <w:left w:val="nil"/>
                              <w:bottom w:val="nil"/>
                              <w:right w:val="nil"/>
                            </w:tcBorders>
                            <w:hideMark/>
                          </w:tcPr>
                          <w:p w14:paraId="2B93D26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60FBCD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703B84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4C1E0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3CDBC9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56C3EB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A29C940" w14:textId="77777777" w:rsidTr="0014207C">
                        <w:trPr>
                          <w:trHeight w:val="204"/>
                        </w:trPr>
                        <w:tc>
                          <w:tcPr>
                            <w:tcW w:w="2900" w:type="dxa"/>
                            <w:tcBorders>
                              <w:top w:val="nil"/>
                              <w:left w:val="nil"/>
                              <w:bottom w:val="nil"/>
                              <w:right w:val="nil"/>
                            </w:tcBorders>
                            <w:noWrap/>
                            <w:hideMark/>
                          </w:tcPr>
                          <w:p w14:paraId="3C3A818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Extraord. Item &amp; Account. Change</w:t>
                            </w:r>
                          </w:p>
                        </w:tc>
                        <w:tc>
                          <w:tcPr>
                            <w:tcW w:w="980" w:type="dxa"/>
                            <w:tcBorders>
                              <w:top w:val="nil"/>
                              <w:left w:val="nil"/>
                              <w:bottom w:val="nil"/>
                              <w:right w:val="nil"/>
                            </w:tcBorders>
                            <w:hideMark/>
                          </w:tcPr>
                          <w:p w14:paraId="2B88CC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3A0CA4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1FE3CD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17023A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61560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1D142D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44DFC7D" w14:textId="77777777" w:rsidTr="0014207C">
                        <w:trPr>
                          <w:trHeight w:val="204"/>
                        </w:trPr>
                        <w:tc>
                          <w:tcPr>
                            <w:tcW w:w="2900" w:type="dxa"/>
                            <w:tcBorders>
                              <w:top w:val="nil"/>
                              <w:left w:val="nil"/>
                              <w:bottom w:val="nil"/>
                              <w:right w:val="nil"/>
                            </w:tcBorders>
                            <w:noWrap/>
                            <w:hideMark/>
                          </w:tcPr>
                          <w:p w14:paraId="201A6FF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Income to Company</w:t>
                            </w:r>
                          </w:p>
                        </w:tc>
                        <w:tc>
                          <w:tcPr>
                            <w:tcW w:w="980" w:type="dxa"/>
                            <w:tcBorders>
                              <w:top w:val="single" w:sz="4" w:space="0" w:color="000000"/>
                              <w:left w:val="nil"/>
                              <w:bottom w:val="nil"/>
                              <w:right w:val="nil"/>
                            </w:tcBorders>
                            <w:hideMark/>
                          </w:tcPr>
                          <w:p w14:paraId="31456CA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15,201.0 </w:t>
                            </w:r>
                          </w:p>
                        </w:tc>
                        <w:tc>
                          <w:tcPr>
                            <w:tcW w:w="1097" w:type="dxa"/>
                            <w:tcBorders>
                              <w:top w:val="single" w:sz="4" w:space="0" w:color="000000"/>
                              <w:left w:val="nil"/>
                              <w:bottom w:val="nil"/>
                              <w:right w:val="nil"/>
                            </w:tcBorders>
                            <w:hideMark/>
                          </w:tcPr>
                          <w:p w14:paraId="4F6554E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13,706.0 </w:t>
                            </w:r>
                          </w:p>
                        </w:tc>
                        <w:tc>
                          <w:tcPr>
                            <w:tcW w:w="980" w:type="dxa"/>
                            <w:tcBorders>
                              <w:top w:val="single" w:sz="4" w:space="0" w:color="000000"/>
                              <w:left w:val="nil"/>
                              <w:bottom w:val="nil"/>
                              <w:right w:val="nil"/>
                            </w:tcBorders>
                            <w:hideMark/>
                          </w:tcPr>
                          <w:p w14:paraId="7D76D16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13,940.0 </w:t>
                            </w:r>
                          </w:p>
                        </w:tc>
                        <w:tc>
                          <w:tcPr>
                            <w:tcW w:w="980" w:type="dxa"/>
                            <w:tcBorders>
                              <w:top w:val="single" w:sz="4" w:space="0" w:color="000000"/>
                              <w:left w:val="nil"/>
                              <w:bottom w:val="nil"/>
                              <w:right w:val="nil"/>
                            </w:tcBorders>
                            <w:hideMark/>
                          </w:tcPr>
                          <w:p w14:paraId="524CFC3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11,292.0 </w:t>
                            </w:r>
                          </w:p>
                        </w:tc>
                        <w:tc>
                          <w:tcPr>
                            <w:tcW w:w="980" w:type="dxa"/>
                            <w:tcBorders>
                              <w:top w:val="single" w:sz="4" w:space="0" w:color="000000"/>
                              <w:left w:val="nil"/>
                              <w:bottom w:val="nil"/>
                              <w:right w:val="nil"/>
                            </w:tcBorders>
                            <w:hideMark/>
                          </w:tcPr>
                          <w:p w14:paraId="6E74BE0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16,270.0 </w:t>
                            </w:r>
                          </w:p>
                        </w:tc>
                        <w:tc>
                          <w:tcPr>
                            <w:tcW w:w="1080" w:type="dxa"/>
                            <w:tcBorders>
                              <w:top w:val="single" w:sz="4" w:space="0" w:color="000000"/>
                              <w:left w:val="nil"/>
                              <w:bottom w:val="nil"/>
                              <w:right w:val="nil"/>
                            </w:tcBorders>
                            <w:hideMark/>
                          </w:tcPr>
                          <w:p w14:paraId="0FAB93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20,157.0 </w:t>
                            </w:r>
                          </w:p>
                        </w:tc>
                      </w:tr>
                      <w:tr w:rsidR="0014207C" w:rsidRPr="0014207C" w14:paraId="138B3A6A" w14:textId="77777777" w:rsidTr="0014207C">
                        <w:trPr>
                          <w:trHeight w:val="204"/>
                        </w:trPr>
                        <w:tc>
                          <w:tcPr>
                            <w:tcW w:w="2900" w:type="dxa"/>
                            <w:tcBorders>
                              <w:top w:val="nil"/>
                              <w:left w:val="nil"/>
                              <w:bottom w:val="nil"/>
                              <w:right w:val="nil"/>
                            </w:tcBorders>
                            <w:noWrap/>
                            <w:hideMark/>
                          </w:tcPr>
                          <w:p w14:paraId="7EDC25A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Minority Int. in Earnings</w:t>
                            </w:r>
                          </w:p>
                        </w:tc>
                        <w:tc>
                          <w:tcPr>
                            <w:tcW w:w="980" w:type="dxa"/>
                            <w:tcBorders>
                              <w:top w:val="nil"/>
                              <w:left w:val="nil"/>
                              <w:bottom w:val="nil"/>
                              <w:right w:val="nil"/>
                            </w:tcBorders>
                            <w:hideMark/>
                          </w:tcPr>
                          <w:p w14:paraId="5E9DFE4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(320.0)  </w:t>
                            </w:r>
                          </w:p>
                        </w:tc>
                        <w:tc>
                          <w:tcPr>
                            <w:tcW w:w="1097" w:type="dxa"/>
                            <w:tcBorders>
                              <w:top w:val="nil"/>
                              <w:left w:val="nil"/>
                              <w:bottom w:val="nil"/>
                              <w:right w:val="nil"/>
                            </w:tcBorders>
                            <w:hideMark/>
                          </w:tcPr>
                          <w:p w14:paraId="6E314F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(196.0)  </w:t>
                            </w:r>
                          </w:p>
                        </w:tc>
                        <w:tc>
                          <w:tcPr>
                            <w:tcW w:w="980" w:type="dxa"/>
                            <w:tcBorders>
                              <w:top w:val="nil"/>
                              <w:left w:val="nil"/>
                              <w:bottom w:val="nil"/>
                              <w:right w:val="nil"/>
                            </w:tcBorders>
                            <w:hideMark/>
                          </w:tcPr>
                          <w:p w14:paraId="74CD3DA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(267.0)  </w:t>
                            </w:r>
                          </w:p>
                        </w:tc>
                        <w:tc>
                          <w:tcPr>
                            <w:tcW w:w="980" w:type="dxa"/>
                            <w:tcBorders>
                              <w:top w:val="nil"/>
                              <w:left w:val="nil"/>
                              <w:bottom w:val="nil"/>
                              <w:right w:val="nil"/>
                            </w:tcBorders>
                            <w:hideMark/>
                          </w:tcPr>
                          <w:p w14:paraId="00C440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388.0 </w:t>
                            </w:r>
                          </w:p>
                        </w:tc>
                        <w:tc>
                          <w:tcPr>
                            <w:tcW w:w="980" w:type="dxa"/>
                            <w:tcBorders>
                              <w:top w:val="nil"/>
                              <w:left w:val="nil"/>
                              <w:bottom w:val="nil"/>
                              <w:right w:val="nil"/>
                            </w:tcBorders>
                            <w:hideMark/>
                          </w:tcPr>
                          <w:p w14:paraId="03EF790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(759.0)  </w:t>
                            </w:r>
                          </w:p>
                        </w:tc>
                        <w:tc>
                          <w:tcPr>
                            <w:tcW w:w="1080" w:type="dxa"/>
                            <w:tcBorders>
                              <w:top w:val="nil"/>
                              <w:left w:val="nil"/>
                              <w:bottom w:val="nil"/>
                              <w:right w:val="nil"/>
                            </w:tcBorders>
                            <w:hideMark/>
                          </w:tcPr>
                          <w:p w14:paraId="150247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(721.0)  </w:t>
                            </w:r>
                          </w:p>
                        </w:tc>
                      </w:tr>
                      <w:tr w:rsidR="0014207C" w:rsidRPr="0014207C" w14:paraId="76E47694" w14:textId="77777777" w:rsidTr="0014207C">
                        <w:trPr>
                          <w:trHeight w:val="204"/>
                        </w:trPr>
                        <w:tc>
                          <w:tcPr>
                            <w:tcW w:w="2900" w:type="dxa"/>
                            <w:tcBorders>
                              <w:top w:val="nil"/>
                              <w:left w:val="nil"/>
                              <w:bottom w:val="nil"/>
                              <w:right w:val="nil"/>
                            </w:tcBorders>
                            <w:noWrap/>
                            <w:hideMark/>
                          </w:tcPr>
                          <w:p w14:paraId="5F4CC243"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Income</w:t>
                            </w:r>
                          </w:p>
                        </w:tc>
                        <w:tc>
                          <w:tcPr>
                            <w:tcW w:w="980" w:type="dxa"/>
                            <w:tcBorders>
                              <w:top w:val="single" w:sz="4" w:space="0" w:color="000000"/>
                              <w:left w:val="nil"/>
                              <w:bottom w:val="nil"/>
                              <w:right w:val="nil"/>
                            </w:tcBorders>
                            <w:hideMark/>
                          </w:tcPr>
                          <w:p w14:paraId="1EC57AD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14,881.0 </w:t>
                            </w:r>
                          </w:p>
                        </w:tc>
                        <w:tc>
                          <w:tcPr>
                            <w:tcW w:w="1097" w:type="dxa"/>
                            <w:tcBorders>
                              <w:top w:val="single" w:sz="4" w:space="0" w:color="000000"/>
                              <w:left w:val="nil"/>
                              <w:bottom w:val="nil"/>
                              <w:right w:val="nil"/>
                            </w:tcBorders>
                            <w:hideMark/>
                          </w:tcPr>
                          <w:p w14:paraId="190712E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13,510.0 </w:t>
                            </w:r>
                          </w:p>
                        </w:tc>
                        <w:tc>
                          <w:tcPr>
                            <w:tcW w:w="980" w:type="dxa"/>
                            <w:tcBorders>
                              <w:top w:val="single" w:sz="4" w:space="0" w:color="000000"/>
                              <w:left w:val="nil"/>
                              <w:bottom w:val="nil"/>
                              <w:right w:val="nil"/>
                            </w:tcBorders>
                            <w:hideMark/>
                          </w:tcPr>
                          <w:p w14:paraId="3F6CFE9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13,673.0 </w:t>
                            </w:r>
                          </w:p>
                        </w:tc>
                        <w:tc>
                          <w:tcPr>
                            <w:tcW w:w="980" w:type="dxa"/>
                            <w:tcBorders>
                              <w:top w:val="single" w:sz="4" w:space="0" w:color="000000"/>
                              <w:left w:val="nil"/>
                              <w:bottom w:val="nil"/>
                              <w:right w:val="nil"/>
                            </w:tcBorders>
                            <w:hideMark/>
                          </w:tcPr>
                          <w:p w14:paraId="5370869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11,680.0 </w:t>
                            </w:r>
                          </w:p>
                        </w:tc>
                        <w:tc>
                          <w:tcPr>
                            <w:tcW w:w="980" w:type="dxa"/>
                            <w:tcBorders>
                              <w:top w:val="single" w:sz="4" w:space="0" w:color="000000"/>
                              <w:left w:val="nil"/>
                              <w:bottom w:val="nil"/>
                              <w:right w:val="nil"/>
                            </w:tcBorders>
                            <w:hideMark/>
                          </w:tcPr>
                          <w:p w14:paraId="1EE7C8C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15,511.0 </w:t>
                            </w:r>
                          </w:p>
                        </w:tc>
                        <w:tc>
                          <w:tcPr>
                            <w:tcW w:w="1080" w:type="dxa"/>
                            <w:tcBorders>
                              <w:top w:val="single" w:sz="4" w:space="0" w:color="000000"/>
                              <w:left w:val="nil"/>
                              <w:bottom w:val="nil"/>
                              <w:right w:val="nil"/>
                            </w:tcBorders>
                            <w:hideMark/>
                          </w:tcPr>
                          <w:p w14:paraId="3D0EABE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19,436.0 </w:t>
                            </w:r>
                          </w:p>
                        </w:tc>
                      </w:tr>
                      <w:tr w:rsidR="0014207C" w:rsidRPr="0014207C" w14:paraId="4F6FE9FB" w14:textId="77777777" w:rsidTr="0014207C">
                        <w:trPr>
                          <w:trHeight w:val="204"/>
                        </w:trPr>
                        <w:tc>
                          <w:tcPr>
                            <w:tcW w:w="2900" w:type="dxa"/>
                            <w:tcBorders>
                              <w:top w:val="nil"/>
                              <w:left w:val="nil"/>
                              <w:bottom w:val="nil"/>
                              <w:right w:val="nil"/>
                            </w:tcBorders>
                            <w:noWrap/>
                            <w:hideMark/>
                          </w:tcPr>
                          <w:p w14:paraId="35A6138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Pref. Dividends and Other Adj.</w:t>
                            </w:r>
                          </w:p>
                        </w:tc>
                        <w:tc>
                          <w:tcPr>
                            <w:tcW w:w="980" w:type="dxa"/>
                            <w:tcBorders>
                              <w:top w:val="nil"/>
                              <w:left w:val="nil"/>
                              <w:bottom w:val="nil"/>
                              <w:right w:val="nil"/>
                            </w:tcBorders>
                            <w:hideMark/>
                          </w:tcPr>
                          <w:p w14:paraId="3F484DB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97" w:type="dxa"/>
                            <w:tcBorders>
                              <w:top w:val="nil"/>
                              <w:left w:val="nil"/>
                              <w:bottom w:val="nil"/>
                              <w:right w:val="nil"/>
                            </w:tcBorders>
                            <w:hideMark/>
                          </w:tcPr>
                          <w:p w14:paraId="53D9D18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6648DB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1429D47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980" w:type="dxa"/>
                            <w:tcBorders>
                              <w:top w:val="nil"/>
                              <w:left w:val="nil"/>
                              <w:bottom w:val="nil"/>
                              <w:right w:val="nil"/>
                            </w:tcBorders>
                            <w:hideMark/>
                          </w:tcPr>
                          <w:p w14:paraId="23C78F2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1080" w:type="dxa"/>
                            <w:tcBorders>
                              <w:top w:val="nil"/>
                              <w:left w:val="nil"/>
                              <w:bottom w:val="nil"/>
                              <w:right w:val="nil"/>
                            </w:tcBorders>
                            <w:hideMark/>
                          </w:tcPr>
                          <w:p w14:paraId="39CB83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272C4371" w14:textId="77777777" w:rsidTr="0014207C">
                        <w:trPr>
                          <w:trHeight w:val="204"/>
                        </w:trPr>
                        <w:tc>
                          <w:tcPr>
                            <w:tcW w:w="2900" w:type="dxa"/>
                            <w:tcBorders>
                              <w:top w:val="nil"/>
                              <w:left w:val="nil"/>
                              <w:bottom w:val="nil"/>
                              <w:right w:val="nil"/>
                            </w:tcBorders>
                            <w:noWrap/>
                            <w:hideMark/>
                          </w:tcPr>
                          <w:p w14:paraId="137034F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NI to Common Incl Extra Items</w:t>
                            </w:r>
                          </w:p>
                        </w:tc>
                        <w:tc>
                          <w:tcPr>
                            <w:tcW w:w="980" w:type="dxa"/>
                            <w:tcBorders>
                              <w:top w:val="nil"/>
                              <w:left w:val="nil"/>
                              <w:bottom w:val="nil"/>
                              <w:right w:val="nil"/>
                            </w:tcBorders>
                            <w:hideMark/>
                          </w:tcPr>
                          <w:p w14:paraId="52AD18C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14,881.0 </w:t>
                            </w:r>
                          </w:p>
                        </w:tc>
                        <w:tc>
                          <w:tcPr>
                            <w:tcW w:w="1097" w:type="dxa"/>
                            <w:tcBorders>
                              <w:top w:val="nil"/>
                              <w:left w:val="nil"/>
                              <w:bottom w:val="nil"/>
                              <w:right w:val="nil"/>
                            </w:tcBorders>
                            <w:hideMark/>
                          </w:tcPr>
                          <w:p w14:paraId="559CB92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13,510.0 </w:t>
                            </w:r>
                          </w:p>
                        </w:tc>
                        <w:tc>
                          <w:tcPr>
                            <w:tcW w:w="980" w:type="dxa"/>
                            <w:tcBorders>
                              <w:top w:val="nil"/>
                              <w:left w:val="nil"/>
                              <w:bottom w:val="nil"/>
                              <w:right w:val="nil"/>
                            </w:tcBorders>
                            <w:hideMark/>
                          </w:tcPr>
                          <w:p w14:paraId="7878CB3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13,673.0 </w:t>
                            </w:r>
                          </w:p>
                        </w:tc>
                        <w:tc>
                          <w:tcPr>
                            <w:tcW w:w="980" w:type="dxa"/>
                            <w:tcBorders>
                              <w:top w:val="nil"/>
                              <w:left w:val="nil"/>
                              <w:bottom w:val="nil"/>
                              <w:right w:val="nil"/>
                            </w:tcBorders>
                            <w:hideMark/>
                          </w:tcPr>
                          <w:p w14:paraId="4D19BF7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11,680.0 </w:t>
                            </w:r>
                          </w:p>
                        </w:tc>
                        <w:tc>
                          <w:tcPr>
                            <w:tcW w:w="980" w:type="dxa"/>
                            <w:tcBorders>
                              <w:top w:val="nil"/>
                              <w:left w:val="nil"/>
                              <w:bottom w:val="nil"/>
                              <w:right w:val="nil"/>
                            </w:tcBorders>
                            <w:hideMark/>
                          </w:tcPr>
                          <w:p w14:paraId="6FD3566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15,511.0 </w:t>
                            </w:r>
                          </w:p>
                        </w:tc>
                        <w:tc>
                          <w:tcPr>
                            <w:tcW w:w="1080" w:type="dxa"/>
                            <w:tcBorders>
                              <w:top w:val="nil"/>
                              <w:left w:val="nil"/>
                              <w:bottom w:val="nil"/>
                              <w:right w:val="nil"/>
                            </w:tcBorders>
                            <w:hideMark/>
                          </w:tcPr>
                          <w:p w14:paraId="19A6984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19,436.0 </w:t>
                            </w:r>
                          </w:p>
                        </w:tc>
                      </w:tr>
                      <w:tr w:rsidR="0014207C" w:rsidRPr="0014207C" w14:paraId="04B3AB6C" w14:textId="77777777" w:rsidTr="0014207C">
                        <w:trPr>
                          <w:trHeight w:val="204"/>
                        </w:trPr>
                        <w:tc>
                          <w:tcPr>
                            <w:tcW w:w="2900" w:type="dxa"/>
                            <w:tcBorders>
                              <w:top w:val="nil"/>
                              <w:left w:val="nil"/>
                              <w:bottom w:val="nil"/>
                              <w:right w:val="nil"/>
                            </w:tcBorders>
                            <w:noWrap/>
                            <w:hideMark/>
                          </w:tcPr>
                          <w:p w14:paraId="68241E9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NI to Common Excl. Extra Items</w:t>
                            </w:r>
                          </w:p>
                        </w:tc>
                        <w:tc>
                          <w:tcPr>
                            <w:tcW w:w="980" w:type="dxa"/>
                            <w:tcBorders>
                              <w:top w:val="nil"/>
                              <w:left w:val="nil"/>
                              <w:bottom w:val="nil"/>
                              <w:right w:val="nil"/>
                            </w:tcBorders>
                            <w:hideMark/>
                          </w:tcPr>
                          <w:p w14:paraId="4CB761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14,881.0 </w:t>
                            </w:r>
                          </w:p>
                        </w:tc>
                        <w:tc>
                          <w:tcPr>
                            <w:tcW w:w="1097" w:type="dxa"/>
                            <w:tcBorders>
                              <w:top w:val="nil"/>
                              <w:left w:val="nil"/>
                              <w:bottom w:val="nil"/>
                              <w:right w:val="nil"/>
                            </w:tcBorders>
                            <w:hideMark/>
                          </w:tcPr>
                          <w:p w14:paraId="322BE2C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13,510.0 </w:t>
                            </w:r>
                          </w:p>
                        </w:tc>
                        <w:tc>
                          <w:tcPr>
                            <w:tcW w:w="980" w:type="dxa"/>
                            <w:tcBorders>
                              <w:top w:val="nil"/>
                              <w:left w:val="nil"/>
                              <w:bottom w:val="nil"/>
                              <w:right w:val="nil"/>
                            </w:tcBorders>
                            <w:hideMark/>
                          </w:tcPr>
                          <w:p w14:paraId="58A6A79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13,673.0 </w:t>
                            </w:r>
                          </w:p>
                        </w:tc>
                        <w:tc>
                          <w:tcPr>
                            <w:tcW w:w="980" w:type="dxa"/>
                            <w:tcBorders>
                              <w:top w:val="nil"/>
                              <w:left w:val="nil"/>
                              <w:bottom w:val="nil"/>
                              <w:right w:val="nil"/>
                            </w:tcBorders>
                            <w:hideMark/>
                          </w:tcPr>
                          <w:p w14:paraId="0C78C69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11,680.0 </w:t>
                            </w:r>
                          </w:p>
                        </w:tc>
                        <w:tc>
                          <w:tcPr>
                            <w:tcW w:w="980" w:type="dxa"/>
                            <w:tcBorders>
                              <w:top w:val="nil"/>
                              <w:left w:val="nil"/>
                              <w:bottom w:val="nil"/>
                              <w:right w:val="nil"/>
                            </w:tcBorders>
                            <w:hideMark/>
                          </w:tcPr>
                          <w:p w14:paraId="106679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15,511.0 </w:t>
                            </w:r>
                          </w:p>
                        </w:tc>
                        <w:tc>
                          <w:tcPr>
                            <w:tcW w:w="1080" w:type="dxa"/>
                            <w:tcBorders>
                              <w:top w:val="nil"/>
                              <w:left w:val="nil"/>
                              <w:bottom w:val="nil"/>
                              <w:right w:val="nil"/>
                            </w:tcBorders>
                            <w:hideMark/>
                          </w:tcPr>
                          <w:p w14:paraId="4656A2E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19,436.0 </w:t>
                            </w:r>
                          </w:p>
                        </w:tc>
                      </w:tr>
                      <w:tr w:rsidR="0014207C" w:rsidRPr="0014207C" w14:paraId="75AD5B28" w14:textId="77777777" w:rsidTr="0014207C">
                        <w:trPr>
                          <w:trHeight w:val="204"/>
                        </w:trPr>
                        <w:tc>
                          <w:tcPr>
                            <w:tcW w:w="2900" w:type="dxa"/>
                            <w:tcBorders>
                              <w:top w:val="nil"/>
                              <w:left w:val="nil"/>
                              <w:bottom w:val="nil"/>
                              <w:right w:val="nil"/>
                            </w:tcBorders>
                            <w:noWrap/>
                            <w:hideMark/>
                          </w:tcPr>
                          <w:p w14:paraId="7BC3F040"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Per Share Items</w:t>
                            </w:r>
                          </w:p>
                        </w:tc>
                        <w:tc>
                          <w:tcPr>
                            <w:tcW w:w="980" w:type="dxa"/>
                            <w:tcBorders>
                              <w:top w:val="nil"/>
                              <w:left w:val="nil"/>
                              <w:bottom w:val="nil"/>
                              <w:right w:val="nil"/>
                            </w:tcBorders>
                            <w:noWrap/>
                            <w:hideMark/>
                          </w:tcPr>
                          <w:p w14:paraId="26E4B2EC"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1097" w:type="dxa"/>
                            <w:tcBorders>
                              <w:top w:val="nil"/>
                              <w:left w:val="nil"/>
                              <w:bottom w:val="nil"/>
                              <w:right w:val="nil"/>
                            </w:tcBorders>
                            <w:noWrap/>
                            <w:hideMark/>
                          </w:tcPr>
                          <w:p w14:paraId="2EB0E25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52E754C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0FAC533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61009D7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hideMark/>
                          </w:tcPr>
                          <w:p w14:paraId="6FA7066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0BB776C6" w14:textId="77777777" w:rsidTr="0014207C">
                        <w:trPr>
                          <w:trHeight w:val="204"/>
                        </w:trPr>
                        <w:tc>
                          <w:tcPr>
                            <w:tcW w:w="2900" w:type="dxa"/>
                            <w:tcBorders>
                              <w:top w:val="nil"/>
                              <w:left w:val="nil"/>
                              <w:bottom w:val="nil"/>
                              <w:right w:val="nil"/>
                            </w:tcBorders>
                            <w:noWrap/>
                            <w:hideMark/>
                          </w:tcPr>
                          <w:p w14:paraId="168F012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Basic EPS</w:t>
                            </w:r>
                          </w:p>
                        </w:tc>
                        <w:tc>
                          <w:tcPr>
                            <w:tcW w:w="980" w:type="dxa"/>
                            <w:tcBorders>
                              <w:top w:val="nil"/>
                              <w:left w:val="nil"/>
                              <w:bottom w:val="nil"/>
                              <w:right w:val="nil"/>
                            </w:tcBorders>
                            <w:hideMark/>
                          </w:tcPr>
                          <w:p w14:paraId="072BCC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$1.74 </w:t>
                            </w:r>
                          </w:p>
                        </w:tc>
                        <w:tc>
                          <w:tcPr>
                            <w:tcW w:w="1097" w:type="dxa"/>
                            <w:tcBorders>
                              <w:top w:val="nil"/>
                              <w:left w:val="nil"/>
                              <w:bottom w:val="nil"/>
                              <w:right w:val="nil"/>
                            </w:tcBorders>
                            <w:hideMark/>
                          </w:tcPr>
                          <w:p w14:paraId="365B83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$1.59 </w:t>
                            </w:r>
                          </w:p>
                        </w:tc>
                        <w:tc>
                          <w:tcPr>
                            <w:tcW w:w="980" w:type="dxa"/>
                            <w:tcBorders>
                              <w:top w:val="nil"/>
                              <w:left w:val="nil"/>
                              <w:bottom w:val="nil"/>
                              <w:right w:val="nil"/>
                            </w:tcBorders>
                            <w:hideMark/>
                          </w:tcPr>
                          <w:p w14:paraId="6FD928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$1.63 </w:t>
                            </w:r>
                          </w:p>
                        </w:tc>
                        <w:tc>
                          <w:tcPr>
                            <w:tcW w:w="980" w:type="dxa"/>
                            <w:tcBorders>
                              <w:top w:val="nil"/>
                              <w:left w:val="nil"/>
                              <w:bottom w:val="nil"/>
                              <w:right w:val="nil"/>
                            </w:tcBorders>
                            <w:hideMark/>
                          </w:tcPr>
                          <w:p w14:paraId="78E4236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 </w:t>
                            </w:r>
                          </w:p>
                        </w:tc>
                        <w:tc>
                          <w:tcPr>
                            <w:tcW w:w="980" w:type="dxa"/>
                            <w:tcBorders>
                              <w:top w:val="nil"/>
                              <w:left w:val="nil"/>
                              <w:bottom w:val="nil"/>
                              <w:right w:val="nil"/>
                            </w:tcBorders>
                            <w:hideMark/>
                          </w:tcPr>
                          <w:p w14:paraId="632EAB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 </w:t>
                            </w:r>
                          </w:p>
                        </w:tc>
                        <w:tc>
                          <w:tcPr>
                            <w:tcW w:w="1080" w:type="dxa"/>
                            <w:tcBorders>
                              <w:top w:val="nil"/>
                              <w:left w:val="nil"/>
                              <w:bottom w:val="nil"/>
                              <w:right w:val="nil"/>
                            </w:tcBorders>
                            <w:hideMark/>
                          </w:tcPr>
                          <w:p w14:paraId="106848A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 </w:t>
                            </w:r>
                          </w:p>
                        </w:tc>
                      </w:tr>
                      <w:tr w:rsidR="0014207C" w:rsidRPr="0014207C" w14:paraId="33FAB8C6" w14:textId="77777777" w:rsidTr="0014207C">
                        <w:trPr>
                          <w:trHeight w:val="204"/>
                        </w:trPr>
                        <w:tc>
                          <w:tcPr>
                            <w:tcW w:w="2900" w:type="dxa"/>
                            <w:tcBorders>
                              <w:top w:val="nil"/>
                              <w:left w:val="nil"/>
                              <w:bottom w:val="nil"/>
                              <w:right w:val="nil"/>
                            </w:tcBorders>
                            <w:noWrap/>
                            <w:hideMark/>
                          </w:tcPr>
                          <w:p w14:paraId="1854507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Basic EPS Excl. Extra Items</w:t>
                            </w:r>
                          </w:p>
                        </w:tc>
                        <w:tc>
                          <w:tcPr>
                            <w:tcW w:w="980" w:type="dxa"/>
                            <w:tcBorders>
                              <w:top w:val="nil"/>
                              <w:left w:val="nil"/>
                              <w:bottom w:val="nil"/>
                              <w:right w:val="nil"/>
                            </w:tcBorders>
                            <w:hideMark/>
                          </w:tcPr>
                          <w:p w14:paraId="759EAF9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1.74 </w:t>
                            </w:r>
                          </w:p>
                        </w:tc>
                        <w:tc>
                          <w:tcPr>
                            <w:tcW w:w="1097" w:type="dxa"/>
                            <w:tcBorders>
                              <w:top w:val="nil"/>
                              <w:left w:val="nil"/>
                              <w:bottom w:val="nil"/>
                              <w:right w:val="nil"/>
                            </w:tcBorders>
                            <w:hideMark/>
                          </w:tcPr>
                          <w:p w14:paraId="63C39BC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1.59 </w:t>
                            </w:r>
                          </w:p>
                        </w:tc>
                        <w:tc>
                          <w:tcPr>
                            <w:tcW w:w="980" w:type="dxa"/>
                            <w:tcBorders>
                              <w:top w:val="nil"/>
                              <w:left w:val="nil"/>
                              <w:bottom w:val="nil"/>
                              <w:right w:val="nil"/>
                            </w:tcBorders>
                            <w:hideMark/>
                          </w:tcPr>
                          <w:p w14:paraId="623B423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1.63 </w:t>
                            </w:r>
                          </w:p>
                        </w:tc>
                        <w:tc>
                          <w:tcPr>
                            <w:tcW w:w="980" w:type="dxa"/>
                            <w:tcBorders>
                              <w:top w:val="nil"/>
                              <w:left w:val="nil"/>
                              <w:bottom w:val="nil"/>
                              <w:right w:val="nil"/>
                            </w:tcBorders>
                            <w:hideMark/>
                          </w:tcPr>
                          <w:p w14:paraId="1667D83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 </w:t>
                            </w:r>
                          </w:p>
                        </w:tc>
                        <w:tc>
                          <w:tcPr>
                            <w:tcW w:w="980" w:type="dxa"/>
                            <w:tcBorders>
                              <w:top w:val="nil"/>
                              <w:left w:val="nil"/>
                              <w:bottom w:val="nil"/>
                              <w:right w:val="nil"/>
                            </w:tcBorders>
                            <w:hideMark/>
                          </w:tcPr>
                          <w:p w14:paraId="28DDFA6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 </w:t>
                            </w:r>
                          </w:p>
                        </w:tc>
                        <w:tc>
                          <w:tcPr>
                            <w:tcW w:w="1080" w:type="dxa"/>
                            <w:tcBorders>
                              <w:top w:val="nil"/>
                              <w:left w:val="nil"/>
                              <w:bottom w:val="nil"/>
                              <w:right w:val="nil"/>
                            </w:tcBorders>
                            <w:hideMark/>
                          </w:tcPr>
                          <w:p w14:paraId="66DC7ED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 </w:t>
                            </w:r>
                          </w:p>
                        </w:tc>
                      </w:tr>
                      <w:tr w:rsidR="0014207C" w:rsidRPr="0014207C" w14:paraId="0F2D57BA" w14:textId="77777777" w:rsidTr="0014207C">
                        <w:trPr>
                          <w:trHeight w:val="204"/>
                        </w:trPr>
                        <w:tc>
                          <w:tcPr>
                            <w:tcW w:w="2900" w:type="dxa"/>
                            <w:tcBorders>
                              <w:top w:val="nil"/>
                              <w:left w:val="nil"/>
                              <w:bottom w:val="nil"/>
                              <w:right w:val="nil"/>
                            </w:tcBorders>
                            <w:noWrap/>
                            <w:hideMark/>
                          </w:tcPr>
                          <w:p w14:paraId="348F666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Weighted Avg. Basic Shares Out.</w:t>
                            </w:r>
                          </w:p>
                        </w:tc>
                        <w:tc>
                          <w:tcPr>
                            <w:tcW w:w="980" w:type="dxa"/>
                            <w:tcBorders>
                              <w:top w:val="nil"/>
                              <w:left w:val="nil"/>
                              <w:bottom w:val="nil"/>
                              <w:right w:val="nil"/>
                            </w:tcBorders>
                            <w:hideMark/>
                          </w:tcPr>
                          <w:p w14:paraId="7C57B15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8,550.0 </w:t>
                            </w:r>
                          </w:p>
                        </w:tc>
                        <w:tc>
                          <w:tcPr>
                            <w:tcW w:w="1097" w:type="dxa"/>
                            <w:tcBorders>
                              <w:top w:val="nil"/>
                              <w:left w:val="nil"/>
                              <w:bottom w:val="nil"/>
                              <w:right w:val="nil"/>
                            </w:tcBorders>
                            <w:hideMark/>
                          </w:tcPr>
                          <w:p w14:paraId="4B3C2EF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8,493.0 </w:t>
                            </w:r>
                          </w:p>
                        </w:tc>
                        <w:tc>
                          <w:tcPr>
                            <w:tcW w:w="980" w:type="dxa"/>
                            <w:tcBorders>
                              <w:top w:val="nil"/>
                              <w:left w:val="nil"/>
                              <w:bottom w:val="nil"/>
                              <w:right w:val="nil"/>
                            </w:tcBorders>
                            <w:hideMark/>
                          </w:tcPr>
                          <w:p w14:paraId="5EE2FF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8,376.0 </w:t>
                            </w:r>
                          </w:p>
                        </w:tc>
                        <w:tc>
                          <w:tcPr>
                            <w:tcW w:w="980" w:type="dxa"/>
                            <w:tcBorders>
                              <w:top w:val="nil"/>
                              <w:left w:val="nil"/>
                              <w:bottom w:val="nil"/>
                              <w:right w:val="nil"/>
                            </w:tcBorders>
                            <w:hideMark/>
                          </w:tcPr>
                          <w:p w14:paraId="457ADEF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8,171.0 </w:t>
                            </w:r>
                          </w:p>
                        </w:tc>
                        <w:tc>
                          <w:tcPr>
                            <w:tcW w:w="980" w:type="dxa"/>
                            <w:tcBorders>
                              <w:top w:val="nil"/>
                              <w:left w:val="nil"/>
                              <w:bottom w:val="nil"/>
                              <w:right w:val="nil"/>
                            </w:tcBorders>
                            <w:hideMark/>
                          </w:tcPr>
                          <w:p w14:paraId="15C87E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8,077.0 </w:t>
                            </w:r>
                          </w:p>
                        </w:tc>
                        <w:tc>
                          <w:tcPr>
                            <w:tcW w:w="1080" w:type="dxa"/>
                            <w:tcBorders>
                              <w:top w:val="nil"/>
                              <w:left w:val="nil"/>
                              <w:bottom w:val="nil"/>
                              <w:right w:val="nil"/>
                            </w:tcBorders>
                            <w:hideMark/>
                          </w:tcPr>
                          <w:p w14:paraId="47AE923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8,041.0 </w:t>
                            </w:r>
                          </w:p>
                        </w:tc>
                      </w:tr>
                      <w:tr w:rsidR="0014207C" w:rsidRPr="0014207C" w14:paraId="0237E551" w14:textId="77777777" w:rsidTr="0014207C">
                        <w:trPr>
                          <w:trHeight w:val="204"/>
                        </w:trPr>
                        <w:tc>
                          <w:tcPr>
                            <w:tcW w:w="2900" w:type="dxa"/>
                            <w:tcBorders>
                              <w:top w:val="nil"/>
                              <w:left w:val="nil"/>
                              <w:bottom w:val="nil"/>
                              <w:right w:val="nil"/>
                            </w:tcBorders>
                            <w:noWrap/>
                            <w:hideMark/>
                          </w:tcPr>
                          <w:p w14:paraId="598B301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Diluted EPS</w:t>
                            </w:r>
                          </w:p>
                        </w:tc>
                        <w:tc>
                          <w:tcPr>
                            <w:tcW w:w="980" w:type="dxa"/>
                            <w:tcBorders>
                              <w:top w:val="nil"/>
                              <w:left w:val="nil"/>
                              <w:bottom w:val="nil"/>
                              <w:right w:val="nil"/>
                            </w:tcBorders>
                            <w:hideMark/>
                          </w:tcPr>
                          <w:p w14:paraId="4BBFF08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$1.73 </w:t>
                            </w:r>
                          </w:p>
                        </w:tc>
                        <w:tc>
                          <w:tcPr>
                            <w:tcW w:w="1097" w:type="dxa"/>
                            <w:tcBorders>
                              <w:top w:val="nil"/>
                              <w:left w:val="nil"/>
                              <w:bottom w:val="nil"/>
                              <w:right w:val="nil"/>
                            </w:tcBorders>
                            <w:hideMark/>
                          </w:tcPr>
                          <w:p w14:paraId="1D7BB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 </w:t>
                            </w:r>
                          </w:p>
                        </w:tc>
                        <w:tc>
                          <w:tcPr>
                            <w:tcW w:w="980" w:type="dxa"/>
                            <w:tcBorders>
                              <w:top w:val="nil"/>
                              <w:left w:val="nil"/>
                              <w:bottom w:val="nil"/>
                              <w:right w:val="nil"/>
                            </w:tcBorders>
                            <w:hideMark/>
                          </w:tcPr>
                          <w:p w14:paraId="2ECEF7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 </w:t>
                            </w:r>
                          </w:p>
                        </w:tc>
                        <w:tc>
                          <w:tcPr>
                            <w:tcW w:w="980" w:type="dxa"/>
                            <w:tcBorders>
                              <w:top w:val="nil"/>
                              <w:left w:val="nil"/>
                              <w:bottom w:val="nil"/>
                              <w:right w:val="nil"/>
                            </w:tcBorders>
                            <w:hideMark/>
                          </w:tcPr>
                          <w:p w14:paraId="54F2717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$1.42 </w:t>
                            </w:r>
                          </w:p>
                        </w:tc>
                        <w:tc>
                          <w:tcPr>
                            <w:tcW w:w="980" w:type="dxa"/>
                            <w:tcBorders>
                              <w:top w:val="nil"/>
                              <w:left w:val="nil"/>
                              <w:bottom w:val="nil"/>
                              <w:right w:val="nil"/>
                            </w:tcBorders>
                            <w:hideMark/>
                          </w:tcPr>
                          <w:p w14:paraId="73F7749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 </w:t>
                            </w:r>
                          </w:p>
                        </w:tc>
                        <w:tc>
                          <w:tcPr>
                            <w:tcW w:w="1080" w:type="dxa"/>
                            <w:tcBorders>
                              <w:top w:val="nil"/>
                              <w:left w:val="nil"/>
                              <w:bottom w:val="nil"/>
                              <w:right w:val="nil"/>
                            </w:tcBorders>
                            <w:hideMark/>
                          </w:tcPr>
                          <w:p w14:paraId="77408B9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 </w:t>
                            </w:r>
                          </w:p>
                        </w:tc>
                      </w:tr>
                      <w:tr w:rsidR="0014207C" w:rsidRPr="0014207C" w14:paraId="1A50EBD0" w14:textId="77777777" w:rsidTr="0014207C">
                        <w:trPr>
                          <w:trHeight w:val="204"/>
                        </w:trPr>
                        <w:tc>
                          <w:tcPr>
                            <w:tcW w:w="2900" w:type="dxa"/>
                            <w:tcBorders>
                              <w:top w:val="nil"/>
                              <w:left w:val="nil"/>
                              <w:bottom w:val="nil"/>
                              <w:right w:val="nil"/>
                            </w:tcBorders>
                            <w:noWrap/>
                            <w:hideMark/>
                          </w:tcPr>
                          <w:p w14:paraId="3565169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Diluted EPS Excl. Extra Items</w:t>
                            </w:r>
                          </w:p>
                        </w:tc>
                        <w:tc>
                          <w:tcPr>
                            <w:tcW w:w="980" w:type="dxa"/>
                            <w:tcBorders>
                              <w:top w:val="nil"/>
                              <w:left w:val="nil"/>
                              <w:bottom w:val="nil"/>
                              <w:right w:val="nil"/>
                            </w:tcBorders>
                            <w:hideMark/>
                          </w:tcPr>
                          <w:p w14:paraId="0220614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1.73 </w:t>
                            </w:r>
                          </w:p>
                        </w:tc>
                        <w:tc>
                          <w:tcPr>
                            <w:tcW w:w="1097" w:type="dxa"/>
                            <w:tcBorders>
                              <w:top w:val="nil"/>
                              <w:left w:val="nil"/>
                              <w:bottom w:val="nil"/>
                              <w:right w:val="nil"/>
                            </w:tcBorders>
                            <w:hideMark/>
                          </w:tcPr>
                          <w:p w14:paraId="2F3F75D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1.58 </w:t>
                            </w:r>
                          </w:p>
                        </w:tc>
                        <w:tc>
                          <w:tcPr>
                            <w:tcW w:w="980" w:type="dxa"/>
                            <w:tcBorders>
                              <w:top w:val="nil"/>
                              <w:left w:val="nil"/>
                              <w:bottom w:val="nil"/>
                              <w:right w:val="nil"/>
                            </w:tcBorders>
                            <w:hideMark/>
                          </w:tcPr>
                          <w:p w14:paraId="3097BB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 </w:t>
                            </w:r>
                          </w:p>
                        </w:tc>
                        <w:tc>
                          <w:tcPr>
                            <w:tcW w:w="980" w:type="dxa"/>
                            <w:tcBorders>
                              <w:top w:val="nil"/>
                              <w:left w:val="nil"/>
                              <w:bottom w:val="nil"/>
                              <w:right w:val="nil"/>
                            </w:tcBorders>
                            <w:hideMark/>
                          </w:tcPr>
                          <w:p w14:paraId="47F3AB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1.42 </w:t>
                            </w:r>
                          </w:p>
                        </w:tc>
                        <w:tc>
                          <w:tcPr>
                            <w:tcW w:w="980" w:type="dxa"/>
                            <w:tcBorders>
                              <w:top w:val="nil"/>
                              <w:left w:val="nil"/>
                              <w:bottom w:val="nil"/>
                              <w:right w:val="nil"/>
                            </w:tcBorders>
                            <w:hideMark/>
                          </w:tcPr>
                          <w:p w14:paraId="69F5CA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 </w:t>
                            </w:r>
                          </w:p>
                        </w:tc>
                        <w:tc>
                          <w:tcPr>
                            <w:tcW w:w="1080" w:type="dxa"/>
                            <w:tcBorders>
                              <w:top w:val="nil"/>
                              <w:left w:val="nil"/>
                              <w:bottom w:val="nil"/>
                              <w:right w:val="nil"/>
                            </w:tcBorders>
                            <w:hideMark/>
                          </w:tcPr>
                          <w:p w14:paraId="1555DEC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2.41 </w:t>
                            </w:r>
                          </w:p>
                        </w:tc>
                      </w:tr>
                      <w:tr w:rsidR="0014207C" w:rsidRPr="0014207C" w14:paraId="1BF22F28" w14:textId="77777777" w:rsidTr="0014207C">
                        <w:trPr>
                          <w:trHeight w:val="204"/>
                        </w:trPr>
                        <w:tc>
                          <w:tcPr>
                            <w:tcW w:w="2900" w:type="dxa"/>
                            <w:tcBorders>
                              <w:top w:val="nil"/>
                              <w:left w:val="nil"/>
                              <w:bottom w:val="nil"/>
                              <w:right w:val="nil"/>
                            </w:tcBorders>
                            <w:noWrap/>
                            <w:hideMark/>
                          </w:tcPr>
                          <w:p w14:paraId="2D734AC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Weighted Avg. Diluted Shares Out.</w:t>
                            </w:r>
                          </w:p>
                        </w:tc>
                        <w:tc>
                          <w:tcPr>
                            <w:tcW w:w="980" w:type="dxa"/>
                            <w:tcBorders>
                              <w:top w:val="nil"/>
                              <w:left w:val="nil"/>
                              <w:bottom w:val="nil"/>
                              <w:right w:val="nil"/>
                            </w:tcBorders>
                            <w:hideMark/>
                          </w:tcPr>
                          <w:p w14:paraId="3B08815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8,604.0 </w:t>
                            </w:r>
                          </w:p>
                        </w:tc>
                        <w:tc>
                          <w:tcPr>
                            <w:tcW w:w="1097" w:type="dxa"/>
                            <w:tcBorders>
                              <w:top w:val="nil"/>
                              <w:left w:val="nil"/>
                              <w:bottom w:val="nil"/>
                              <w:right w:val="nil"/>
                            </w:tcBorders>
                            <w:hideMark/>
                          </w:tcPr>
                          <w:p w14:paraId="5055F6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8,541.0 </w:t>
                            </w:r>
                          </w:p>
                        </w:tc>
                        <w:tc>
                          <w:tcPr>
                            <w:tcW w:w="980" w:type="dxa"/>
                            <w:tcBorders>
                              <w:top w:val="nil"/>
                              <w:left w:val="nil"/>
                              <w:bottom w:val="nil"/>
                              <w:right w:val="nil"/>
                            </w:tcBorders>
                            <w:hideMark/>
                          </w:tcPr>
                          <w:p w14:paraId="0CD0844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8,415.0 </w:t>
                            </w:r>
                          </w:p>
                        </w:tc>
                        <w:tc>
                          <w:tcPr>
                            <w:tcW w:w="980" w:type="dxa"/>
                            <w:tcBorders>
                              <w:top w:val="nil"/>
                              <w:left w:val="nil"/>
                              <w:bottom w:val="nil"/>
                              <w:right w:val="nil"/>
                            </w:tcBorders>
                            <w:hideMark/>
                          </w:tcPr>
                          <w:p w14:paraId="366EFF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8,202.0 </w:t>
                            </w:r>
                          </w:p>
                        </w:tc>
                        <w:tc>
                          <w:tcPr>
                            <w:tcW w:w="980" w:type="dxa"/>
                            <w:tcBorders>
                              <w:top w:val="nil"/>
                              <w:left w:val="nil"/>
                              <w:bottom w:val="nil"/>
                              <w:right w:val="nil"/>
                            </w:tcBorders>
                            <w:hideMark/>
                          </w:tcPr>
                          <w:p w14:paraId="5B502A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8,108.0 </w:t>
                            </w:r>
                          </w:p>
                        </w:tc>
                        <w:tc>
                          <w:tcPr>
                            <w:tcW w:w="1080" w:type="dxa"/>
                            <w:tcBorders>
                              <w:top w:val="nil"/>
                              <w:left w:val="nil"/>
                              <w:bottom w:val="nil"/>
                              <w:right w:val="nil"/>
                            </w:tcBorders>
                            <w:hideMark/>
                          </w:tcPr>
                          <w:p w14:paraId="2D75D17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8,081.0 </w:t>
                            </w:r>
                          </w:p>
                        </w:tc>
                      </w:tr>
                      <w:tr w:rsidR="0014207C" w:rsidRPr="0014207C" w14:paraId="1D4530E2" w14:textId="77777777" w:rsidTr="0014207C">
                        <w:trPr>
                          <w:trHeight w:val="204"/>
                        </w:trPr>
                        <w:tc>
                          <w:tcPr>
                            <w:tcW w:w="2900" w:type="dxa"/>
                            <w:tcBorders>
                              <w:top w:val="nil"/>
                              <w:left w:val="nil"/>
                              <w:bottom w:val="nil"/>
                              <w:right w:val="nil"/>
                            </w:tcBorders>
                            <w:noWrap/>
                            <w:hideMark/>
                          </w:tcPr>
                          <w:p w14:paraId="3507D2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Normalized Basic EPS</w:t>
                            </w:r>
                          </w:p>
                        </w:tc>
                        <w:tc>
                          <w:tcPr>
                            <w:tcW w:w="980" w:type="dxa"/>
                            <w:tcBorders>
                              <w:top w:val="nil"/>
                              <w:left w:val="nil"/>
                              <w:bottom w:val="nil"/>
                              <w:right w:val="nil"/>
                            </w:tcBorders>
                            <w:hideMark/>
                          </w:tcPr>
                          <w:p w14:paraId="081D586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 </w:t>
                            </w:r>
                          </w:p>
                        </w:tc>
                        <w:tc>
                          <w:tcPr>
                            <w:tcW w:w="1097" w:type="dxa"/>
                            <w:tcBorders>
                              <w:top w:val="nil"/>
                              <w:left w:val="nil"/>
                              <w:bottom w:val="nil"/>
                              <w:right w:val="nil"/>
                            </w:tcBorders>
                            <w:hideMark/>
                          </w:tcPr>
                          <w:p w14:paraId="68D455F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$1.48 </w:t>
                            </w:r>
                          </w:p>
                        </w:tc>
                        <w:tc>
                          <w:tcPr>
                            <w:tcW w:w="980" w:type="dxa"/>
                            <w:tcBorders>
                              <w:top w:val="nil"/>
                              <w:left w:val="nil"/>
                              <w:bottom w:val="nil"/>
                              <w:right w:val="nil"/>
                            </w:tcBorders>
                            <w:hideMark/>
                          </w:tcPr>
                          <w:p w14:paraId="34F368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 </w:t>
                            </w:r>
                          </w:p>
                        </w:tc>
                        <w:tc>
                          <w:tcPr>
                            <w:tcW w:w="980" w:type="dxa"/>
                            <w:tcBorders>
                              <w:top w:val="nil"/>
                              <w:left w:val="nil"/>
                              <w:bottom w:val="nil"/>
                              <w:right w:val="nil"/>
                            </w:tcBorders>
                            <w:hideMark/>
                          </w:tcPr>
                          <w:p w14:paraId="7905B30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 </w:t>
                            </w:r>
                          </w:p>
                        </w:tc>
                        <w:tc>
                          <w:tcPr>
                            <w:tcW w:w="980" w:type="dxa"/>
                            <w:tcBorders>
                              <w:top w:val="nil"/>
                              <w:left w:val="nil"/>
                              <w:bottom w:val="nil"/>
                              <w:right w:val="nil"/>
                            </w:tcBorders>
                            <w:hideMark/>
                          </w:tcPr>
                          <w:p w14:paraId="6AB1553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$1.84 </w:t>
                            </w:r>
                          </w:p>
                        </w:tc>
                        <w:tc>
                          <w:tcPr>
                            <w:tcW w:w="1080" w:type="dxa"/>
                            <w:tcBorders>
                              <w:top w:val="nil"/>
                              <w:left w:val="nil"/>
                              <w:bottom w:val="nil"/>
                              <w:right w:val="nil"/>
                            </w:tcBorders>
                            <w:hideMark/>
                          </w:tcPr>
                          <w:p w14:paraId="301E80E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$1.97 </w:t>
                            </w:r>
                          </w:p>
                        </w:tc>
                      </w:tr>
                      <w:tr w:rsidR="0014207C" w:rsidRPr="0014207C" w14:paraId="76A4D0D7" w14:textId="77777777" w:rsidTr="0014207C">
                        <w:trPr>
                          <w:trHeight w:val="204"/>
                        </w:trPr>
                        <w:tc>
                          <w:tcPr>
                            <w:tcW w:w="2900" w:type="dxa"/>
                            <w:tcBorders>
                              <w:top w:val="nil"/>
                              <w:left w:val="nil"/>
                              <w:bottom w:val="nil"/>
                              <w:right w:val="nil"/>
                            </w:tcBorders>
                            <w:noWrap/>
                            <w:hideMark/>
                          </w:tcPr>
                          <w:p w14:paraId="027122B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Normalized Diluted EPS</w:t>
                            </w:r>
                          </w:p>
                        </w:tc>
                        <w:tc>
                          <w:tcPr>
                            <w:tcW w:w="980" w:type="dxa"/>
                            <w:tcBorders>
                              <w:top w:val="nil"/>
                              <w:left w:val="nil"/>
                              <w:bottom w:val="nil"/>
                              <w:right w:val="nil"/>
                            </w:tcBorders>
                            <w:hideMark/>
                          </w:tcPr>
                          <w:p w14:paraId="494CE34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1.35 </w:t>
                            </w:r>
                          </w:p>
                        </w:tc>
                        <w:tc>
                          <w:tcPr>
                            <w:tcW w:w="1097" w:type="dxa"/>
                            <w:tcBorders>
                              <w:top w:val="nil"/>
                              <w:left w:val="nil"/>
                              <w:bottom w:val="nil"/>
                              <w:right w:val="nil"/>
                            </w:tcBorders>
                            <w:hideMark/>
                          </w:tcPr>
                          <w:p w14:paraId="25B7E1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 </w:t>
                            </w:r>
                          </w:p>
                        </w:tc>
                        <w:tc>
                          <w:tcPr>
                            <w:tcW w:w="980" w:type="dxa"/>
                            <w:tcBorders>
                              <w:top w:val="nil"/>
                              <w:left w:val="nil"/>
                              <w:bottom w:val="nil"/>
                              <w:right w:val="nil"/>
                            </w:tcBorders>
                            <w:hideMark/>
                          </w:tcPr>
                          <w:p w14:paraId="1A5C74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1.75 </w:t>
                            </w:r>
                          </w:p>
                        </w:tc>
                        <w:tc>
                          <w:tcPr>
                            <w:tcW w:w="980" w:type="dxa"/>
                            <w:tcBorders>
                              <w:top w:val="nil"/>
                              <w:left w:val="nil"/>
                              <w:bottom w:val="nil"/>
                              <w:right w:val="nil"/>
                            </w:tcBorders>
                            <w:hideMark/>
                          </w:tcPr>
                          <w:p w14:paraId="67DF75E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1.75 </w:t>
                            </w:r>
                          </w:p>
                        </w:tc>
                        <w:tc>
                          <w:tcPr>
                            <w:tcW w:w="980" w:type="dxa"/>
                            <w:tcBorders>
                              <w:top w:val="nil"/>
                              <w:left w:val="nil"/>
                              <w:bottom w:val="nil"/>
                              <w:right w:val="nil"/>
                            </w:tcBorders>
                            <w:hideMark/>
                          </w:tcPr>
                          <w:p w14:paraId="02BB9C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1.84 </w:t>
                            </w:r>
                          </w:p>
                        </w:tc>
                        <w:tc>
                          <w:tcPr>
                            <w:tcW w:w="1080" w:type="dxa"/>
                            <w:tcBorders>
                              <w:top w:val="nil"/>
                              <w:left w:val="nil"/>
                              <w:bottom w:val="nil"/>
                              <w:right w:val="nil"/>
                            </w:tcBorders>
                            <w:hideMark/>
                          </w:tcPr>
                          <w:p w14:paraId="726062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 </w:t>
                            </w:r>
                          </w:p>
                        </w:tc>
                      </w:tr>
                      <w:tr w:rsidR="0014207C" w:rsidRPr="0014207C" w14:paraId="26C68958" w14:textId="77777777" w:rsidTr="0014207C">
                        <w:trPr>
                          <w:trHeight w:val="204"/>
                        </w:trPr>
                        <w:tc>
                          <w:tcPr>
                            <w:tcW w:w="2900" w:type="dxa"/>
                            <w:tcBorders>
                              <w:top w:val="nil"/>
                              <w:left w:val="nil"/>
                              <w:bottom w:val="nil"/>
                              <w:right w:val="nil"/>
                            </w:tcBorders>
                            <w:noWrap/>
                            <w:hideMark/>
                          </w:tcPr>
                          <w:p w14:paraId="2BECB86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Dividends per Share</w:t>
                            </w:r>
                          </w:p>
                        </w:tc>
                        <w:tc>
                          <w:tcPr>
                            <w:tcW w:w="980" w:type="dxa"/>
                            <w:tcBorders>
                              <w:top w:val="nil"/>
                              <w:left w:val="nil"/>
                              <w:bottom w:val="nil"/>
                              <w:right w:val="nil"/>
                            </w:tcBorders>
                            <w:hideMark/>
                          </w:tcPr>
                          <w:p w14:paraId="336BEBD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$0.71 </w:t>
                            </w:r>
                          </w:p>
                        </w:tc>
                        <w:tc>
                          <w:tcPr>
                            <w:tcW w:w="1097" w:type="dxa"/>
                            <w:tcBorders>
                              <w:top w:val="nil"/>
                              <w:left w:val="nil"/>
                              <w:bottom w:val="nil"/>
                              <w:right w:val="nil"/>
                            </w:tcBorders>
                            <w:hideMark/>
                          </w:tcPr>
                          <w:p w14:paraId="4E4454F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$0.72 </w:t>
                            </w:r>
                          </w:p>
                        </w:tc>
                        <w:tc>
                          <w:tcPr>
                            <w:tcW w:w="980" w:type="dxa"/>
                            <w:tcBorders>
                              <w:top w:val="nil"/>
                              <w:left w:val="nil"/>
                              <w:bottom w:val="nil"/>
                              <w:right w:val="nil"/>
                            </w:tcBorders>
                            <w:hideMark/>
                          </w:tcPr>
                          <w:p w14:paraId="2E7BDC0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$0.73 </w:t>
                            </w:r>
                          </w:p>
                        </w:tc>
                        <w:tc>
                          <w:tcPr>
                            <w:tcW w:w="980" w:type="dxa"/>
                            <w:tcBorders>
                              <w:top w:val="nil"/>
                              <w:left w:val="nil"/>
                              <w:bottom w:val="nil"/>
                              <w:right w:val="nil"/>
                            </w:tcBorders>
                            <w:hideMark/>
                          </w:tcPr>
                          <w:p w14:paraId="60B5962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$0.75 </w:t>
                            </w:r>
                          </w:p>
                        </w:tc>
                        <w:tc>
                          <w:tcPr>
                            <w:tcW w:w="980" w:type="dxa"/>
                            <w:tcBorders>
                              <w:top w:val="nil"/>
                              <w:left w:val="nil"/>
                              <w:bottom w:val="nil"/>
                              <w:right w:val="nil"/>
                            </w:tcBorders>
                            <w:hideMark/>
                          </w:tcPr>
                          <w:p w14:paraId="314ED9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$0.76 </w:t>
                            </w:r>
                          </w:p>
                        </w:tc>
                        <w:tc>
                          <w:tcPr>
                            <w:tcW w:w="1080" w:type="dxa"/>
                            <w:tcBorders>
                              <w:top w:val="nil"/>
                              <w:left w:val="nil"/>
                              <w:bottom w:val="nil"/>
                              <w:right w:val="nil"/>
                            </w:tcBorders>
                            <w:hideMark/>
                          </w:tcPr>
                          <w:p w14:paraId="38F4EA1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$0.83 </w:t>
                            </w:r>
                          </w:p>
                        </w:tc>
                      </w:tr>
                      <w:tr w:rsidR="0014207C" w:rsidRPr="0014207C" w14:paraId="4DC7837B" w14:textId="77777777" w:rsidTr="0014207C">
                        <w:trPr>
                          <w:trHeight w:val="204"/>
                        </w:trPr>
                        <w:tc>
                          <w:tcPr>
                            <w:tcW w:w="2900" w:type="dxa"/>
                            <w:tcBorders>
                              <w:top w:val="nil"/>
                              <w:left w:val="nil"/>
                              <w:bottom w:val="nil"/>
                              <w:right w:val="nil"/>
                            </w:tcBorders>
                            <w:noWrap/>
                            <w:hideMark/>
                          </w:tcPr>
                          <w:p w14:paraId="298FC5E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Payout Ratio %</w:t>
                            </w:r>
                          </w:p>
                        </w:tc>
                        <w:tc>
                          <w:tcPr>
                            <w:tcW w:w="980" w:type="dxa"/>
                            <w:tcBorders>
                              <w:top w:val="nil"/>
                              <w:left w:val="nil"/>
                              <w:bottom w:val="nil"/>
                              <w:right w:val="nil"/>
                            </w:tcBorders>
                            <w:hideMark/>
                          </w:tcPr>
                          <w:p w14:paraId="0BA79C4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40.6% </w:t>
                            </w:r>
                          </w:p>
                        </w:tc>
                        <w:tc>
                          <w:tcPr>
                            <w:tcW w:w="1097" w:type="dxa"/>
                            <w:tcBorders>
                              <w:top w:val="nil"/>
                              <w:left w:val="nil"/>
                              <w:bottom w:val="nil"/>
                              <w:right w:val="nil"/>
                            </w:tcBorders>
                            <w:hideMark/>
                          </w:tcPr>
                          <w:p w14:paraId="3822876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45.3% </w:t>
                            </w:r>
                          </w:p>
                        </w:tc>
                        <w:tc>
                          <w:tcPr>
                            <w:tcW w:w="980" w:type="dxa"/>
                            <w:tcBorders>
                              <w:top w:val="nil"/>
                              <w:left w:val="nil"/>
                              <w:bottom w:val="nil"/>
                              <w:right w:val="nil"/>
                            </w:tcBorders>
                            <w:hideMark/>
                          </w:tcPr>
                          <w:p w14:paraId="1FB1B58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45.0% </w:t>
                            </w:r>
                          </w:p>
                        </w:tc>
                        <w:tc>
                          <w:tcPr>
                            <w:tcW w:w="980" w:type="dxa"/>
                            <w:tcBorders>
                              <w:top w:val="nil"/>
                              <w:left w:val="nil"/>
                              <w:bottom w:val="nil"/>
                              <w:right w:val="nil"/>
                            </w:tcBorders>
                            <w:hideMark/>
                          </w:tcPr>
                          <w:p w14:paraId="7F8D51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52.3% </w:t>
                            </w:r>
                          </w:p>
                        </w:tc>
                        <w:tc>
                          <w:tcPr>
                            <w:tcW w:w="980" w:type="dxa"/>
                            <w:tcBorders>
                              <w:top w:val="nil"/>
                              <w:left w:val="nil"/>
                              <w:bottom w:val="nil"/>
                              <w:right w:val="nil"/>
                            </w:tcBorders>
                            <w:hideMark/>
                          </w:tcPr>
                          <w:p w14:paraId="6B8754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39.6% </w:t>
                            </w:r>
                          </w:p>
                        </w:tc>
                        <w:tc>
                          <w:tcPr>
                            <w:tcW w:w="1080" w:type="dxa"/>
                            <w:tcBorders>
                              <w:top w:val="nil"/>
                              <w:left w:val="nil"/>
                              <w:bottom w:val="nil"/>
                              <w:right w:val="nil"/>
                            </w:tcBorders>
                            <w:hideMark/>
                          </w:tcPr>
                          <w:p w14:paraId="41CC18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34.4% </w:t>
                            </w:r>
                          </w:p>
                        </w:tc>
                      </w:tr>
                      <w:tr w:rsidR="0014207C" w:rsidRPr="0014207C" w14:paraId="566555AA" w14:textId="77777777" w:rsidTr="0014207C">
                        <w:trPr>
                          <w:trHeight w:val="204"/>
                        </w:trPr>
                        <w:tc>
                          <w:tcPr>
                            <w:tcW w:w="2900" w:type="dxa"/>
                            <w:tcBorders>
                              <w:top w:val="nil"/>
                              <w:left w:val="nil"/>
                              <w:bottom w:val="nil"/>
                              <w:right w:val="nil"/>
                            </w:tcBorders>
                            <w:noWrap/>
                            <w:hideMark/>
                          </w:tcPr>
                          <w:p w14:paraId="7A0BF46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Shares per Depository Receipt</w:t>
                            </w:r>
                          </w:p>
                        </w:tc>
                        <w:tc>
                          <w:tcPr>
                            <w:tcW w:w="980" w:type="dxa"/>
                            <w:tcBorders>
                              <w:top w:val="nil"/>
                              <w:left w:val="nil"/>
                              <w:bottom w:val="nil"/>
                              <w:right w:val="nil"/>
                            </w:tcBorders>
                            <w:hideMark/>
                          </w:tcPr>
                          <w:p w14:paraId="37ACE54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1097" w:type="dxa"/>
                            <w:tcBorders>
                              <w:top w:val="nil"/>
                              <w:left w:val="nil"/>
                              <w:bottom w:val="nil"/>
                              <w:right w:val="nil"/>
                            </w:tcBorders>
                            <w:hideMark/>
                          </w:tcPr>
                          <w:p w14:paraId="7EE462A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1AA991A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7645D6E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980" w:type="dxa"/>
                            <w:tcBorders>
                              <w:top w:val="nil"/>
                              <w:left w:val="nil"/>
                              <w:bottom w:val="nil"/>
                              <w:right w:val="nil"/>
                            </w:tcBorders>
                            <w:hideMark/>
                          </w:tcPr>
                          <w:p w14:paraId="705387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c>
                          <w:tcPr>
                            <w:tcW w:w="1080" w:type="dxa"/>
                            <w:tcBorders>
                              <w:top w:val="nil"/>
                              <w:left w:val="nil"/>
                              <w:bottom w:val="nil"/>
                              <w:right w:val="nil"/>
                            </w:tcBorders>
                            <w:hideMark/>
                          </w:tcPr>
                          <w:p w14:paraId="4F74FEF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0.063 </w:t>
                            </w:r>
                          </w:p>
                        </w:tc>
                      </w:tr>
                      <w:tr w:rsidR="0014207C" w:rsidRPr="0014207C" w14:paraId="78DC76AE" w14:textId="77777777" w:rsidTr="0014207C">
                        <w:trPr>
                          <w:trHeight w:val="204"/>
                        </w:trPr>
                        <w:tc>
                          <w:tcPr>
                            <w:tcW w:w="2900" w:type="dxa"/>
                            <w:tcBorders>
                              <w:top w:val="nil"/>
                              <w:left w:val="nil"/>
                              <w:bottom w:val="nil"/>
                              <w:right w:val="nil"/>
                            </w:tcBorders>
                            <w:noWrap/>
                            <w:hideMark/>
                          </w:tcPr>
                          <w:p w14:paraId="08944D1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Supplemental Items</w:t>
                            </w:r>
                          </w:p>
                        </w:tc>
                        <w:tc>
                          <w:tcPr>
                            <w:tcW w:w="980" w:type="dxa"/>
                            <w:tcBorders>
                              <w:top w:val="nil"/>
                              <w:left w:val="nil"/>
                              <w:bottom w:val="nil"/>
                              <w:right w:val="nil"/>
                            </w:tcBorders>
                            <w:noWrap/>
                            <w:hideMark/>
                          </w:tcPr>
                          <w:p w14:paraId="3C5E98F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1097" w:type="dxa"/>
                            <w:tcBorders>
                              <w:top w:val="nil"/>
                              <w:left w:val="nil"/>
                              <w:bottom w:val="nil"/>
                              <w:right w:val="nil"/>
                            </w:tcBorders>
                            <w:noWrap/>
                            <w:hideMark/>
                          </w:tcPr>
                          <w:p w14:paraId="141F104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06BF3CE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718FE84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980" w:type="dxa"/>
                            <w:tcBorders>
                              <w:top w:val="nil"/>
                              <w:left w:val="nil"/>
                              <w:bottom w:val="nil"/>
                              <w:right w:val="nil"/>
                            </w:tcBorders>
                            <w:noWrap/>
                            <w:hideMark/>
                          </w:tcPr>
                          <w:p w14:paraId="38CE790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1080" w:type="dxa"/>
                            <w:tcBorders>
                              <w:top w:val="nil"/>
                              <w:left w:val="nil"/>
                              <w:bottom w:val="nil"/>
                              <w:right w:val="nil"/>
                            </w:tcBorders>
                            <w:noWrap/>
                            <w:hideMark/>
                          </w:tcPr>
                          <w:p w14:paraId="6406EDC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2700760" w14:textId="77777777" w:rsidTr="0014207C">
                        <w:trPr>
                          <w:trHeight w:val="204"/>
                        </w:trPr>
                        <w:tc>
                          <w:tcPr>
                            <w:tcW w:w="2900" w:type="dxa"/>
                            <w:tcBorders>
                              <w:top w:val="nil"/>
                              <w:left w:val="nil"/>
                              <w:bottom w:val="nil"/>
                              <w:right w:val="nil"/>
                            </w:tcBorders>
                            <w:noWrap/>
                            <w:hideMark/>
                          </w:tcPr>
                          <w:p w14:paraId="3CC1E26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EBITDA</w:t>
                            </w:r>
                          </w:p>
                        </w:tc>
                        <w:tc>
                          <w:tcPr>
                            <w:tcW w:w="980" w:type="dxa"/>
                            <w:tcBorders>
                              <w:top w:val="nil"/>
                              <w:left w:val="nil"/>
                              <w:bottom w:val="nil"/>
                              <w:right w:val="nil"/>
                            </w:tcBorders>
                            <w:hideMark/>
                          </w:tcPr>
                          <w:p w14:paraId="75185B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32,455.0 </w:t>
                            </w:r>
                          </w:p>
                        </w:tc>
                        <w:tc>
                          <w:tcPr>
                            <w:tcW w:w="1097" w:type="dxa"/>
                            <w:tcBorders>
                              <w:top w:val="nil"/>
                              <w:left w:val="nil"/>
                              <w:bottom w:val="nil"/>
                              <w:right w:val="nil"/>
                            </w:tcBorders>
                            <w:hideMark/>
                          </w:tcPr>
                          <w:p w14:paraId="426C80D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33,700.0 </w:t>
                            </w:r>
                          </w:p>
                        </w:tc>
                        <w:tc>
                          <w:tcPr>
                            <w:tcW w:w="980" w:type="dxa"/>
                            <w:tcBorders>
                              <w:top w:val="nil"/>
                              <w:left w:val="nil"/>
                              <w:bottom w:val="nil"/>
                              <w:right w:val="nil"/>
                            </w:tcBorders>
                            <w:hideMark/>
                          </w:tcPr>
                          <w:p w14:paraId="5797842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36,600.0 </w:t>
                            </w:r>
                          </w:p>
                        </w:tc>
                        <w:tc>
                          <w:tcPr>
                            <w:tcW w:w="980" w:type="dxa"/>
                            <w:tcBorders>
                              <w:top w:val="nil"/>
                              <w:left w:val="nil"/>
                              <w:bottom w:val="nil"/>
                              <w:right w:val="nil"/>
                            </w:tcBorders>
                            <w:hideMark/>
                          </w:tcPr>
                          <w:p w14:paraId="6AB5DA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35,473.0 </w:t>
                            </w:r>
                          </w:p>
                        </w:tc>
                        <w:tc>
                          <w:tcPr>
                            <w:tcW w:w="980" w:type="dxa"/>
                            <w:tcBorders>
                              <w:top w:val="nil"/>
                              <w:left w:val="nil"/>
                              <w:bottom w:val="nil"/>
                              <w:right w:val="nil"/>
                            </w:tcBorders>
                            <w:hideMark/>
                          </w:tcPr>
                          <w:p w14:paraId="5D87B20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38,865.0 </w:t>
                            </w:r>
                          </w:p>
                        </w:tc>
                        <w:tc>
                          <w:tcPr>
                            <w:tcW w:w="1080" w:type="dxa"/>
                            <w:tcBorders>
                              <w:top w:val="nil"/>
                              <w:left w:val="nil"/>
                              <w:bottom w:val="nil"/>
                              <w:right w:val="nil"/>
                            </w:tcBorders>
                            <w:hideMark/>
                          </w:tcPr>
                          <w:p w14:paraId="39C480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42,477.0 </w:t>
                            </w:r>
                          </w:p>
                        </w:tc>
                      </w:tr>
                      <w:tr w:rsidR="0014207C" w:rsidRPr="0014207C" w14:paraId="339A7431" w14:textId="77777777" w:rsidTr="0014207C">
                        <w:trPr>
                          <w:trHeight w:val="204"/>
                        </w:trPr>
                        <w:tc>
                          <w:tcPr>
                            <w:tcW w:w="2900" w:type="dxa"/>
                            <w:tcBorders>
                              <w:top w:val="nil"/>
                              <w:left w:val="nil"/>
                              <w:bottom w:val="nil"/>
                              <w:right w:val="nil"/>
                            </w:tcBorders>
                            <w:noWrap/>
                            <w:hideMark/>
                          </w:tcPr>
                          <w:p w14:paraId="5ED7B342"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EBITA</w:t>
                            </w:r>
                          </w:p>
                        </w:tc>
                        <w:tc>
                          <w:tcPr>
                            <w:tcW w:w="980" w:type="dxa"/>
                            <w:tcBorders>
                              <w:top w:val="nil"/>
                              <w:left w:val="nil"/>
                              <w:bottom w:val="nil"/>
                              <w:right w:val="nil"/>
                            </w:tcBorders>
                            <w:hideMark/>
                          </w:tcPr>
                          <w:p w14:paraId="1404CC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17248A6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6FDE92D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48B3505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221EE41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16220E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29,504.0 </w:t>
                            </w:r>
                          </w:p>
                        </w:tc>
                      </w:tr>
                      <w:tr w:rsidR="0014207C" w:rsidRPr="0014207C" w14:paraId="2AF21A53" w14:textId="77777777" w:rsidTr="0014207C">
                        <w:trPr>
                          <w:trHeight w:val="204"/>
                        </w:trPr>
                        <w:tc>
                          <w:tcPr>
                            <w:tcW w:w="2900" w:type="dxa"/>
                            <w:tcBorders>
                              <w:top w:val="nil"/>
                              <w:left w:val="nil"/>
                              <w:bottom w:val="nil"/>
                              <w:right w:val="nil"/>
                            </w:tcBorders>
                            <w:noWrap/>
                            <w:hideMark/>
                          </w:tcPr>
                          <w:p w14:paraId="4768581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w:t>
                            </w:r>
                          </w:p>
                        </w:tc>
                        <w:tc>
                          <w:tcPr>
                            <w:tcW w:w="980" w:type="dxa"/>
                            <w:tcBorders>
                              <w:top w:val="nil"/>
                              <w:left w:val="nil"/>
                              <w:bottom w:val="nil"/>
                              <w:right w:val="nil"/>
                            </w:tcBorders>
                            <w:hideMark/>
                          </w:tcPr>
                          <w:p w14:paraId="090921F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21,468.0 </w:t>
                            </w:r>
                          </w:p>
                        </w:tc>
                        <w:tc>
                          <w:tcPr>
                            <w:tcW w:w="1097" w:type="dxa"/>
                            <w:tcBorders>
                              <w:top w:val="nil"/>
                              <w:left w:val="nil"/>
                              <w:bottom w:val="nil"/>
                              <w:right w:val="nil"/>
                            </w:tcBorders>
                            <w:hideMark/>
                          </w:tcPr>
                          <w:p w14:paraId="3E69850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22,548.0 </w:t>
                            </w:r>
                          </w:p>
                        </w:tc>
                        <w:tc>
                          <w:tcPr>
                            <w:tcW w:w="980" w:type="dxa"/>
                            <w:tcBorders>
                              <w:top w:val="nil"/>
                              <w:left w:val="nil"/>
                              <w:bottom w:val="nil"/>
                              <w:right w:val="nil"/>
                            </w:tcBorders>
                            <w:hideMark/>
                          </w:tcPr>
                          <w:p w14:paraId="71215E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25,942.0 </w:t>
                            </w:r>
                          </w:p>
                        </w:tc>
                        <w:tc>
                          <w:tcPr>
                            <w:tcW w:w="980" w:type="dxa"/>
                            <w:tcBorders>
                              <w:top w:val="nil"/>
                              <w:left w:val="nil"/>
                              <w:bottom w:val="nil"/>
                              <w:right w:val="nil"/>
                            </w:tcBorders>
                            <w:hideMark/>
                          </w:tcPr>
                          <w:p w14:paraId="2832F8C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24,528.0 </w:t>
                            </w:r>
                          </w:p>
                        </w:tc>
                        <w:tc>
                          <w:tcPr>
                            <w:tcW w:w="980" w:type="dxa"/>
                            <w:tcBorders>
                              <w:top w:val="nil"/>
                              <w:left w:val="nil"/>
                              <w:bottom w:val="nil"/>
                              <w:right w:val="nil"/>
                            </w:tcBorders>
                            <w:hideMark/>
                          </w:tcPr>
                          <w:p w14:paraId="467E4D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27,012.0 </w:t>
                            </w:r>
                          </w:p>
                        </w:tc>
                        <w:tc>
                          <w:tcPr>
                            <w:tcW w:w="1080" w:type="dxa"/>
                            <w:tcBorders>
                              <w:top w:val="nil"/>
                              <w:left w:val="nil"/>
                              <w:bottom w:val="nil"/>
                              <w:right w:val="nil"/>
                            </w:tcBorders>
                            <w:hideMark/>
                          </w:tcPr>
                          <w:p w14:paraId="76796A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29,504.0 </w:t>
                            </w:r>
                          </w:p>
                        </w:tc>
                      </w:tr>
                      <w:tr w:rsidR="0014207C" w:rsidRPr="0014207C" w14:paraId="37245A14" w14:textId="77777777" w:rsidTr="0014207C">
                        <w:trPr>
                          <w:trHeight w:val="204"/>
                        </w:trPr>
                        <w:tc>
                          <w:tcPr>
                            <w:tcW w:w="2900" w:type="dxa"/>
                            <w:tcBorders>
                              <w:top w:val="nil"/>
                              <w:left w:val="nil"/>
                              <w:bottom w:val="nil"/>
                              <w:right w:val="nil"/>
                            </w:tcBorders>
                            <w:noWrap/>
                            <w:hideMark/>
                          </w:tcPr>
                          <w:p w14:paraId="24E89FF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EBITDAR</w:t>
                            </w:r>
                          </w:p>
                        </w:tc>
                        <w:tc>
                          <w:tcPr>
                            <w:tcW w:w="980" w:type="dxa"/>
                            <w:tcBorders>
                              <w:top w:val="nil"/>
                              <w:left w:val="nil"/>
                              <w:bottom w:val="nil"/>
                              <w:right w:val="nil"/>
                            </w:tcBorders>
                            <w:hideMark/>
                          </w:tcPr>
                          <w:p w14:paraId="0B4DC1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35,816.0 </w:t>
                            </w:r>
                          </w:p>
                        </w:tc>
                        <w:tc>
                          <w:tcPr>
                            <w:tcW w:w="1097" w:type="dxa"/>
                            <w:tcBorders>
                              <w:top w:val="nil"/>
                              <w:left w:val="nil"/>
                              <w:bottom w:val="nil"/>
                              <w:right w:val="nil"/>
                            </w:tcBorders>
                            <w:hideMark/>
                          </w:tcPr>
                          <w:p w14:paraId="40FDFA3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37,103.0 </w:t>
                            </w:r>
                          </w:p>
                        </w:tc>
                        <w:tc>
                          <w:tcPr>
                            <w:tcW w:w="980" w:type="dxa"/>
                            <w:tcBorders>
                              <w:top w:val="nil"/>
                              <w:left w:val="nil"/>
                              <w:bottom w:val="nil"/>
                              <w:right w:val="nil"/>
                            </w:tcBorders>
                            <w:hideMark/>
                          </w:tcPr>
                          <w:p w14:paraId="6A742B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39,697.0 </w:t>
                            </w:r>
                          </w:p>
                        </w:tc>
                        <w:tc>
                          <w:tcPr>
                            <w:tcW w:w="980" w:type="dxa"/>
                            <w:tcBorders>
                              <w:top w:val="nil"/>
                              <w:left w:val="nil"/>
                              <w:bottom w:val="nil"/>
                              <w:right w:val="nil"/>
                            </w:tcBorders>
                            <w:hideMark/>
                          </w:tcPr>
                          <w:p w14:paraId="05BE571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38,678.0 </w:t>
                            </w:r>
                          </w:p>
                        </w:tc>
                        <w:tc>
                          <w:tcPr>
                            <w:tcW w:w="980" w:type="dxa"/>
                            <w:tcBorders>
                              <w:top w:val="nil"/>
                              <w:left w:val="nil"/>
                              <w:bottom w:val="nil"/>
                              <w:right w:val="nil"/>
                            </w:tcBorders>
                            <w:hideMark/>
                          </w:tcPr>
                          <w:p w14:paraId="721EC82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42,224.0 </w:t>
                            </w:r>
                          </w:p>
                        </w:tc>
                        <w:tc>
                          <w:tcPr>
                            <w:tcW w:w="1080" w:type="dxa"/>
                            <w:tcBorders>
                              <w:top w:val="nil"/>
                              <w:left w:val="nil"/>
                              <w:bottom w:val="nil"/>
                              <w:right w:val="nil"/>
                            </w:tcBorders>
                            <w:hideMark/>
                          </w:tcPr>
                          <w:p w14:paraId="21F10A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NA</w:t>
                            </w:r>
                          </w:p>
                        </w:tc>
                      </w:tr>
                    </w:tbl>
                    <w:p w14:paraId="7F727C19" w14:textId="12CE9B67" w:rsidR="0014207C" w:rsidRDefault="0014207C"/>
                  </w:txbxContent>
                </v:textbox>
                <w10:wrap type="square" anchorx="margin"/>
              </v:shape>
            </w:pict>
          </mc:Fallback>
        </mc:AlternateContent>
      </w:r>
      <w:r w:rsidR="0014207C" w:rsidRPr="00456405">
        <w:rPr>
          <w:rFonts w:ascii="Cambria" w:hAnsi="Cambria"/>
          <w:b/>
          <w:bCs/>
          <w:sz w:val="24"/>
          <w:szCs w:val="24"/>
        </w:rPr>
        <w:br/>
      </w:r>
      <w:r w:rsidR="0014207C" w:rsidRPr="00456405">
        <w:rPr>
          <w:rFonts w:ascii="Cambria" w:hAnsi="Cambria"/>
          <w:b/>
          <w:bCs/>
          <w:noProof/>
          <w:sz w:val="24"/>
          <w:szCs w:val="24"/>
        </w:rPr>
        <w:lastRenderedPageBreak/>
        <mc:AlternateContent>
          <mc:Choice Requires="wps">
            <w:drawing>
              <wp:anchor distT="45720" distB="45720" distL="114300" distR="114300" simplePos="0" relativeHeight="251708416" behindDoc="0" locked="0" layoutInCell="1" allowOverlap="1" wp14:anchorId="4BE10719" wp14:editId="0A4DE5DD">
                <wp:simplePos x="0" y="0"/>
                <wp:positionH relativeFrom="margin">
                  <wp:align>center</wp:align>
                </wp:positionH>
                <wp:positionV relativeFrom="paragraph">
                  <wp:posOffset>0</wp:posOffset>
                </wp:positionV>
                <wp:extent cx="6400800" cy="1404620"/>
                <wp:effectExtent l="0" t="0" r="0" b="0"/>
                <wp:wrapSquare wrapText="bothSides"/>
                <wp:docPr id="871055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noFill/>
                        <a:ln w="9525">
                          <a:noFill/>
                          <a:miter lim="800000"/>
                          <a:headEnd/>
                          <a:tailEnd/>
                        </a:ln>
                      </wps:spPr>
                      <wps:txbx>
                        <w:txbxContent>
                          <w:tbl>
                            <w:tblPr>
                              <w:tblW w:w="5000" w:type="pct"/>
                              <w:tblLook w:val="04A0" w:firstRow="1" w:lastRow="0" w:firstColumn="1" w:lastColumn="0" w:noHBand="0" w:noVBand="1"/>
                            </w:tblPr>
                            <w:tblGrid>
                              <w:gridCol w:w="3060"/>
                              <w:gridCol w:w="1084"/>
                              <w:gridCol w:w="1083"/>
                              <w:gridCol w:w="1083"/>
                              <w:gridCol w:w="1161"/>
                              <w:gridCol w:w="1161"/>
                              <w:gridCol w:w="1161"/>
                            </w:tblGrid>
                            <w:tr w:rsidR="0014207C" w:rsidRPr="0014207C" w14:paraId="54E0E0D5" w14:textId="77777777" w:rsidTr="0014207C">
                              <w:trPr>
                                <w:trHeight w:val="204"/>
                              </w:trPr>
                              <w:tc>
                                <w:tcPr>
                                  <w:tcW w:w="2667" w:type="pct"/>
                                  <w:gridSpan w:val="3"/>
                                  <w:tcBorders>
                                    <w:top w:val="nil"/>
                                    <w:left w:val="nil"/>
                                    <w:bottom w:val="nil"/>
                                    <w:right w:val="nil"/>
                                  </w:tcBorders>
                                  <w:noWrap/>
                                  <w:vAlign w:val="bottom"/>
                                  <w:hideMark/>
                                </w:tcPr>
                                <w:p w14:paraId="3C8692D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Walmart Inc. (</w:t>
                                  </w:r>
                                  <w:r w:rsidRPr="0014207C">
                                    <w:rPr>
                                      <w:rFonts w:ascii="Cambria" w:eastAsia="Times New Roman" w:hAnsi="Cambria" w:cs="Arial"/>
                                      <w:b/>
                                      <w:bCs/>
                                      <w:color w:val="000000"/>
                                      <w:kern w:val="0"/>
                                      <w:sz w:val="14"/>
                                      <w:szCs w:val="14"/>
                                      <w:lang w:eastAsia="en-IN"/>
                                      <w14:ligatures w14:val="none"/>
                                    </w:rPr>
                                    <w:t>NYSE:WMT) &gt; Financials &gt; Balance Sheet</w:t>
                                  </w:r>
                                </w:p>
                              </w:tc>
                              <w:tc>
                                <w:tcPr>
                                  <w:tcW w:w="553" w:type="pct"/>
                                  <w:tcBorders>
                                    <w:top w:val="nil"/>
                                    <w:left w:val="nil"/>
                                    <w:bottom w:val="nil"/>
                                    <w:right w:val="nil"/>
                                  </w:tcBorders>
                                  <w:noWrap/>
                                  <w:vAlign w:val="bottom"/>
                                  <w:hideMark/>
                                </w:tcPr>
                                <w:p w14:paraId="11BB59BC"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93" w:type="pct"/>
                                  <w:tcBorders>
                                    <w:top w:val="nil"/>
                                    <w:left w:val="nil"/>
                                    <w:bottom w:val="nil"/>
                                    <w:right w:val="nil"/>
                                  </w:tcBorders>
                                  <w:noWrap/>
                                  <w:vAlign w:val="bottom"/>
                                  <w:hideMark/>
                                </w:tcPr>
                                <w:p w14:paraId="5B6E33C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vAlign w:val="bottom"/>
                                  <w:hideMark/>
                                </w:tcPr>
                                <w:p w14:paraId="2DC6034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vAlign w:val="bottom"/>
                                  <w:hideMark/>
                                </w:tcPr>
                                <w:p w14:paraId="2078C9C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F72704E" w14:textId="77777777" w:rsidTr="0014207C">
                              <w:trPr>
                                <w:trHeight w:val="204"/>
                              </w:trPr>
                              <w:tc>
                                <w:tcPr>
                                  <w:tcW w:w="1562" w:type="pct"/>
                                  <w:tcBorders>
                                    <w:top w:val="nil"/>
                                    <w:left w:val="nil"/>
                                    <w:bottom w:val="nil"/>
                                    <w:right w:val="nil"/>
                                  </w:tcBorders>
                                  <w:shd w:val="clear" w:color="000000" w:fill="003366"/>
                                  <w:noWrap/>
                                  <w:vAlign w:val="bottom"/>
                                  <w:hideMark/>
                                </w:tcPr>
                                <w:p w14:paraId="521E1E8C"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Balance Sheet</w:t>
                                  </w:r>
                                </w:p>
                              </w:tc>
                              <w:tc>
                                <w:tcPr>
                                  <w:tcW w:w="553" w:type="pct"/>
                                  <w:tcBorders>
                                    <w:top w:val="nil"/>
                                    <w:left w:val="nil"/>
                                    <w:bottom w:val="nil"/>
                                    <w:right w:val="nil"/>
                                  </w:tcBorders>
                                  <w:shd w:val="clear" w:color="000000" w:fill="003366"/>
                                  <w:noWrap/>
                                  <w:vAlign w:val="bottom"/>
                                  <w:hideMark/>
                                </w:tcPr>
                                <w:p w14:paraId="6886D286"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53" w:type="pct"/>
                                  <w:tcBorders>
                                    <w:top w:val="nil"/>
                                    <w:left w:val="nil"/>
                                    <w:bottom w:val="nil"/>
                                    <w:right w:val="nil"/>
                                  </w:tcBorders>
                                  <w:shd w:val="clear" w:color="000000" w:fill="003366"/>
                                  <w:noWrap/>
                                  <w:vAlign w:val="bottom"/>
                                  <w:hideMark/>
                                </w:tcPr>
                                <w:p w14:paraId="17474D94"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53" w:type="pct"/>
                                  <w:tcBorders>
                                    <w:top w:val="nil"/>
                                    <w:left w:val="nil"/>
                                    <w:bottom w:val="nil"/>
                                    <w:right w:val="nil"/>
                                  </w:tcBorders>
                                  <w:shd w:val="clear" w:color="000000" w:fill="003366"/>
                                  <w:noWrap/>
                                  <w:vAlign w:val="bottom"/>
                                  <w:hideMark/>
                                </w:tcPr>
                                <w:p w14:paraId="2577D3A6"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00FF5995"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5F1C472C"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5AE35CF8"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r>
                            <w:tr w:rsidR="0014207C" w:rsidRPr="0014207C" w14:paraId="58620E8A" w14:textId="77777777" w:rsidTr="0014207C">
                              <w:trPr>
                                <w:trHeight w:val="408"/>
                              </w:trPr>
                              <w:tc>
                                <w:tcPr>
                                  <w:tcW w:w="1562" w:type="pct"/>
                                  <w:tcBorders>
                                    <w:top w:val="nil"/>
                                    <w:left w:val="nil"/>
                                    <w:bottom w:val="nil"/>
                                    <w:right w:val="nil"/>
                                  </w:tcBorders>
                                  <w:shd w:val="clear" w:color="000000" w:fill="F0F0DC"/>
                                  <w:vAlign w:val="bottom"/>
                                  <w:hideMark/>
                                </w:tcPr>
                                <w:p w14:paraId="444B54D9"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Balance Sheet as of:</w:t>
                                  </w:r>
                                </w:p>
                              </w:tc>
                              <w:tc>
                                <w:tcPr>
                                  <w:tcW w:w="553" w:type="pct"/>
                                  <w:tcBorders>
                                    <w:top w:val="nil"/>
                                    <w:left w:val="nil"/>
                                    <w:bottom w:val="nil"/>
                                    <w:right w:val="nil"/>
                                  </w:tcBorders>
                                  <w:shd w:val="clear" w:color="000000" w:fill="F0F0DC"/>
                                  <w:vAlign w:val="bottom"/>
                                  <w:hideMark/>
                                </w:tcPr>
                                <w:p w14:paraId="1902F3F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Jan-31-2020</w:t>
                                  </w:r>
                                </w:p>
                              </w:tc>
                              <w:tc>
                                <w:tcPr>
                                  <w:tcW w:w="553" w:type="pct"/>
                                  <w:tcBorders>
                                    <w:top w:val="nil"/>
                                    <w:left w:val="nil"/>
                                    <w:bottom w:val="nil"/>
                                    <w:right w:val="nil"/>
                                  </w:tcBorders>
                                  <w:shd w:val="clear" w:color="000000" w:fill="F0F0DC"/>
                                  <w:vAlign w:val="bottom"/>
                                  <w:hideMark/>
                                </w:tcPr>
                                <w:p w14:paraId="2156B44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Jan-31-2021</w:t>
                                  </w:r>
                                </w:p>
                              </w:tc>
                              <w:tc>
                                <w:tcPr>
                                  <w:tcW w:w="553" w:type="pct"/>
                                  <w:tcBorders>
                                    <w:top w:val="nil"/>
                                    <w:left w:val="nil"/>
                                    <w:bottom w:val="nil"/>
                                    <w:right w:val="nil"/>
                                  </w:tcBorders>
                                  <w:shd w:val="clear" w:color="000000" w:fill="F0F0DC"/>
                                  <w:vAlign w:val="bottom"/>
                                  <w:hideMark/>
                                </w:tcPr>
                                <w:p w14:paraId="164F0EA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Jan-31-2022</w:t>
                                  </w:r>
                                </w:p>
                              </w:tc>
                              <w:tc>
                                <w:tcPr>
                                  <w:tcW w:w="593" w:type="pct"/>
                                  <w:tcBorders>
                                    <w:top w:val="nil"/>
                                    <w:left w:val="nil"/>
                                    <w:bottom w:val="nil"/>
                                    <w:right w:val="nil"/>
                                  </w:tcBorders>
                                  <w:shd w:val="clear" w:color="000000" w:fill="F0F0DC"/>
                                  <w:vAlign w:val="bottom"/>
                                  <w:hideMark/>
                                </w:tcPr>
                                <w:p w14:paraId="71F267C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Jan-31-2023</w:t>
                                  </w:r>
                                </w:p>
                              </w:tc>
                              <w:tc>
                                <w:tcPr>
                                  <w:tcW w:w="593" w:type="pct"/>
                                  <w:tcBorders>
                                    <w:top w:val="nil"/>
                                    <w:left w:val="nil"/>
                                    <w:bottom w:val="nil"/>
                                    <w:right w:val="nil"/>
                                  </w:tcBorders>
                                  <w:shd w:val="clear" w:color="000000" w:fill="F0F0DC"/>
                                  <w:vAlign w:val="bottom"/>
                                  <w:hideMark/>
                                </w:tcPr>
                                <w:p w14:paraId="7B84E75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Jan-31-2024</w:t>
                                  </w:r>
                                </w:p>
                              </w:tc>
                              <w:tc>
                                <w:tcPr>
                                  <w:tcW w:w="593" w:type="pct"/>
                                  <w:tcBorders>
                                    <w:top w:val="nil"/>
                                    <w:left w:val="nil"/>
                                    <w:bottom w:val="nil"/>
                                    <w:right w:val="nil"/>
                                  </w:tcBorders>
                                  <w:shd w:val="clear" w:color="000000" w:fill="F0F0DC"/>
                                  <w:vAlign w:val="bottom"/>
                                  <w:hideMark/>
                                </w:tcPr>
                                <w:p w14:paraId="34AC7DC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Press Release</w:t>
                                  </w:r>
                                  <w:r w:rsidRPr="0014207C">
                                    <w:rPr>
                                      <w:rFonts w:ascii="Cambria" w:eastAsia="Times New Roman" w:hAnsi="Cambria" w:cs="Arial"/>
                                      <w:b/>
                                      <w:bCs/>
                                      <w:color w:val="000000"/>
                                      <w:kern w:val="0"/>
                                      <w:sz w:val="14"/>
                                      <w:szCs w:val="14"/>
                                      <w:lang w:eastAsia="en-IN"/>
                                      <w14:ligatures w14:val="none"/>
                                    </w:rPr>
                                    <w:br/>
                                    <w:t>Jan-31-2025</w:t>
                                  </w:r>
                                </w:p>
                              </w:tc>
                            </w:tr>
                            <w:tr w:rsidR="0014207C" w:rsidRPr="0014207C" w14:paraId="5C71C099" w14:textId="77777777" w:rsidTr="0014207C">
                              <w:trPr>
                                <w:trHeight w:val="204"/>
                              </w:trPr>
                              <w:tc>
                                <w:tcPr>
                                  <w:tcW w:w="1562" w:type="pct"/>
                                  <w:tcBorders>
                                    <w:top w:val="nil"/>
                                    <w:left w:val="nil"/>
                                    <w:bottom w:val="nil"/>
                                    <w:right w:val="nil"/>
                                  </w:tcBorders>
                                  <w:shd w:val="clear" w:color="000000" w:fill="F0F0DC"/>
                                  <w:vAlign w:val="bottom"/>
                                  <w:hideMark/>
                                </w:tcPr>
                                <w:p w14:paraId="44D49667" w14:textId="77777777" w:rsidR="0014207C" w:rsidRPr="0014207C" w:rsidRDefault="0014207C" w:rsidP="0014207C">
                                  <w:pPr>
                                    <w:spacing w:after="0" w:line="240" w:lineRule="auto"/>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Currency</w:t>
                                  </w:r>
                                </w:p>
                              </w:tc>
                              <w:tc>
                                <w:tcPr>
                                  <w:tcW w:w="553" w:type="pct"/>
                                  <w:tcBorders>
                                    <w:top w:val="nil"/>
                                    <w:left w:val="nil"/>
                                    <w:bottom w:val="nil"/>
                                    <w:right w:val="nil"/>
                                  </w:tcBorders>
                                  <w:shd w:val="clear" w:color="000000" w:fill="F0F0DC"/>
                                  <w:vAlign w:val="bottom"/>
                                  <w:hideMark/>
                                </w:tcPr>
                                <w:p w14:paraId="2A9AD831"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53" w:type="pct"/>
                                  <w:tcBorders>
                                    <w:top w:val="nil"/>
                                    <w:left w:val="nil"/>
                                    <w:bottom w:val="nil"/>
                                    <w:right w:val="nil"/>
                                  </w:tcBorders>
                                  <w:shd w:val="clear" w:color="000000" w:fill="F0F0DC"/>
                                  <w:vAlign w:val="bottom"/>
                                  <w:hideMark/>
                                </w:tcPr>
                                <w:p w14:paraId="1164A36D"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53" w:type="pct"/>
                                  <w:tcBorders>
                                    <w:top w:val="nil"/>
                                    <w:left w:val="nil"/>
                                    <w:bottom w:val="nil"/>
                                    <w:right w:val="nil"/>
                                  </w:tcBorders>
                                  <w:shd w:val="clear" w:color="000000" w:fill="F0F0DC"/>
                                  <w:vAlign w:val="bottom"/>
                                  <w:hideMark/>
                                </w:tcPr>
                                <w:p w14:paraId="5CDE34FC"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53A37DB7"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421AAAF9"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141DF5F7"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r>
                            <w:tr w:rsidR="0014207C" w:rsidRPr="0014207C" w14:paraId="230DDF1D" w14:textId="77777777" w:rsidTr="0014207C">
                              <w:trPr>
                                <w:trHeight w:val="204"/>
                              </w:trPr>
                              <w:tc>
                                <w:tcPr>
                                  <w:tcW w:w="1562" w:type="pct"/>
                                  <w:tcBorders>
                                    <w:top w:val="nil"/>
                                    <w:left w:val="nil"/>
                                    <w:bottom w:val="nil"/>
                                    <w:right w:val="nil"/>
                                  </w:tcBorders>
                                  <w:noWrap/>
                                  <w:hideMark/>
                                </w:tcPr>
                                <w:p w14:paraId="12F68C7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ASSETS</w:t>
                                  </w:r>
                                </w:p>
                              </w:tc>
                              <w:tc>
                                <w:tcPr>
                                  <w:tcW w:w="553" w:type="pct"/>
                                  <w:tcBorders>
                                    <w:top w:val="nil"/>
                                    <w:left w:val="nil"/>
                                    <w:bottom w:val="nil"/>
                                    <w:right w:val="nil"/>
                                  </w:tcBorders>
                                  <w:noWrap/>
                                  <w:hideMark/>
                                </w:tcPr>
                                <w:p w14:paraId="1776A33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3D61535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9C73E4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BADAF9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3626B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75784C2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A8CABD1" w14:textId="77777777" w:rsidTr="0014207C">
                              <w:trPr>
                                <w:trHeight w:val="204"/>
                              </w:trPr>
                              <w:tc>
                                <w:tcPr>
                                  <w:tcW w:w="1562" w:type="pct"/>
                                  <w:tcBorders>
                                    <w:top w:val="nil"/>
                                    <w:left w:val="nil"/>
                                    <w:bottom w:val="nil"/>
                                    <w:right w:val="nil"/>
                                  </w:tcBorders>
                                  <w:noWrap/>
                                  <w:hideMark/>
                                </w:tcPr>
                                <w:p w14:paraId="663533E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Cash And Equivalents</w:t>
                                  </w:r>
                                </w:p>
                              </w:tc>
                              <w:tc>
                                <w:tcPr>
                                  <w:tcW w:w="553" w:type="pct"/>
                                  <w:tcBorders>
                                    <w:top w:val="nil"/>
                                    <w:left w:val="nil"/>
                                    <w:bottom w:val="nil"/>
                                    <w:right w:val="nil"/>
                                  </w:tcBorders>
                                  <w:hideMark/>
                                </w:tcPr>
                                <w:p w14:paraId="2213F8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9,465.0 </w:t>
                                  </w:r>
                                </w:p>
                              </w:tc>
                              <w:tc>
                                <w:tcPr>
                                  <w:tcW w:w="553" w:type="pct"/>
                                  <w:tcBorders>
                                    <w:top w:val="nil"/>
                                    <w:left w:val="nil"/>
                                    <w:bottom w:val="nil"/>
                                    <w:right w:val="nil"/>
                                  </w:tcBorders>
                                  <w:hideMark/>
                                </w:tcPr>
                                <w:p w14:paraId="73230F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17,741.0 </w:t>
                                  </w:r>
                                </w:p>
                              </w:tc>
                              <w:tc>
                                <w:tcPr>
                                  <w:tcW w:w="553" w:type="pct"/>
                                  <w:tcBorders>
                                    <w:top w:val="nil"/>
                                    <w:left w:val="nil"/>
                                    <w:bottom w:val="nil"/>
                                    <w:right w:val="nil"/>
                                  </w:tcBorders>
                                  <w:hideMark/>
                                </w:tcPr>
                                <w:p w14:paraId="2314026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14,760.0 </w:t>
                                  </w:r>
                                </w:p>
                              </w:tc>
                              <w:tc>
                                <w:tcPr>
                                  <w:tcW w:w="593" w:type="pct"/>
                                  <w:tcBorders>
                                    <w:top w:val="nil"/>
                                    <w:left w:val="nil"/>
                                    <w:bottom w:val="nil"/>
                                    <w:right w:val="nil"/>
                                  </w:tcBorders>
                                  <w:hideMark/>
                                </w:tcPr>
                                <w:p w14:paraId="51ADAEB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8,625.0 </w:t>
                                  </w:r>
                                </w:p>
                              </w:tc>
                              <w:tc>
                                <w:tcPr>
                                  <w:tcW w:w="593" w:type="pct"/>
                                  <w:tcBorders>
                                    <w:top w:val="nil"/>
                                    <w:left w:val="nil"/>
                                    <w:bottom w:val="nil"/>
                                    <w:right w:val="nil"/>
                                  </w:tcBorders>
                                  <w:hideMark/>
                                </w:tcPr>
                                <w:p w14:paraId="0F13A4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9,867.0 </w:t>
                                  </w:r>
                                </w:p>
                              </w:tc>
                              <w:tc>
                                <w:tcPr>
                                  <w:tcW w:w="593" w:type="pct"/>
                                  <w:tcBorders>
                                    <w:top w:val="nil"/>
                                    <w:left w:val="nil"/>
                                    <w:bottom w:val="nil"/>
                                    <w:right w:val="nil"/>
                                  </w:tcBorders>
                                  <w:hideMark/>
                                </w:tcPr>
                                <w:p w14:paraId="7FA43B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9,037.0 </w:t>
                                  </w:r>
                                </w:p>
                              </w:tc>
                            </w:tr>
                            <w:tr w:rsidR="0014207C" w:rsidRPr="0014207C" w14:paraId="62D4BEF8" w14:textId="77777777" w:rsidTr="0014207C">
                              <w:trPr>
                                <w:trHeight w:val="204"/>
                              </w:trPr>
                              <w:tc>
                                <w:tcPr>
                                  <w:tcW w:w="1562" w:type="pct"/>
                                  <w:tcBorders>
                                    <w:top w:val="nil"/>
                                    <w:left w:val="nil"/>
                                    <w:bottom w:val="nil"/>
                                    <w:right w:val="nil"/>
                                  </w:tcBorders>
                                  <w:noWrap/>
                                  <w:hideMark/>
                                </w:tcPr>
                                <w:p w14:paraId="61A861D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Cash &amp; ST Investments</w:t>
                                  </w:r>
                                </w:p>
                              </w:tc>
                              <w:tc>
                                <w:tcPr>
                                  <w:tcW w:w="553" w:type="pct"/>
                                  <w:tcBorders>
                                    <w:top w:val="single" w:sz="4" w:space="0" w:color="000000"/>
                                    <w:left w:val="nil"/>
                                    <w:bottom w:val="nil"/>
                                    <w:right w:val="nil"/>
                                  </w:tcBorders>
                                  <w:hideMark/>
                                </w:tcPr>
                                <w:p w14:paraId="13BE6B0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9,465.0 </w:t>
                                  </w:r>
                                </w:p>
                              </w:tc>
                              <w:tc>
                                <w:tcPr>
                                  <w:tcW w:w="553" w:type="pct"/>
                                  <w:tcBorders>
                                    <w:top w:val="single" w:sz="4" w:space="0" w:color="000000"/>
                                    <w:left w:val="nil"/>
                                    <w:bottom w:val="nil"/>
                                    <w:right w:val="nil"/>
                                  </w:tcBorders>
                                  <w:hideMark/>
                                </w:tcPr>
                                <w:p w14:paraId="0B1D5B1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17,741.0 </w:t>
                                  </w:r>
                                </w:p>
                              </w:tc>
                              <w:tc>
                                <w:tcPr>
                                  <w:tcW w:w="553" w:type="pct"/>
                                  <w:tcBorders>
                                    <w:top w:val="single" w:sz="4" w:space="0" w:color="000000"/>
                                    <w:left w:val="nil"/>
                                    <w:bottom w:val="nil"/>
                                    <w:right w:val="nil"/>
                                  </w:tcBorders>
                                  <w:hideMark/>
                                </w:tcPr>
                                <w:p w14:paraId="003C4FE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14,760.0 </w:t>
                                  </w:r>
                                </w:p>
                              </w:tc>
                              <w:tc>
                                <w:tcPr>
                                  <w:tcW w:w="593" w:type="pct"/>
                                  <w:tcBorders>
                                    <w:top w:val="single" w:sz="4" w:space="0" w:color="000000"/>
                                    <w:left w:val="nil"/>
                                    <w:bottom w:val="nil"/>
                                    <w:right w:val="nil"/>
                                  </w:tcBorders>
                                  <w:hideMark/>
                                </w:tcPr>
                                <w:p w14:paraId="24D1525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8,625.0 </w:t>
                                  </w:r>
                                </w:p>
                              </w:tc>
                              <w:tc>
                                <w:tcPr>
                                  <w:tcW w:w="593" w:type="pct"/>
                                  <w:tcBorders>
                                    <w:top w:val="single" w:sz="4" w:space="0" w:color="000000"/>
                                    <w:left w:val="nil"/>
                                    <w:bottom w:val="nil"/>
                                    <w:right w:val="nil"/>
                                  </w:tcBorders>
                                  <w:hideMark/>
                                </w:tcPr>
                                <w:p w14:paraId="0D519BA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9,867.0 </w:t>
                                  </w:r>
                                </w:p>
                              </w:tc>
                              <w:tc>
                                <w:tcPr>
                                  <w:tcW w:w="593" w:type="pct"/>
                                  <w:tcBorders>
                                    <w:top w:val="single" w:sz="4" w:space="0" w:color="000000"/>
                                    <w:left w:val="nil"/>
                                    <w:bottom w:val="nil"/>
                                    <w:right w:val="nil"/>
                                  </w:tcBorders>
                                  <w:hideMark/>
                                </w:tcPr>
                                <w:p w14:paraId="0ECCD35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9,037.0 </w:t>
                                  </w:r>
                                </w:p>
                              </w:tc>
                            </w:tr>
                            <w:tr w:rsidR="0014207C" w:rsidRPr="0014207C" w14:paraId="10894667" w14:textId="77777777" w:rsidTr="0014207C">
                              <w:trPr>
                                <w:trHeight w:val="204"/>
                              </w:trPr>
                              <w:tc>
                                <w:tcPr>
                                  <w:tcW w:w="1562" w:type="pct"/>
                                  <w:tcBorders>
                                    <w:top w:val="nil"/>
                                    <w:left w:val="nil"/>
                                    <w:bottom w:val="nil"/>
                                    <w:right w:val="nil"/>
                                  </w:tcBorders>
                                  <w:noWrap/>
                                  <w:hideMark/>
                                </w:tcPr>
                                <w:p w14:paraId="16AF0E6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54C95FB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C6A9DF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313AF16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D4D0DF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01D59A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10539D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261D7E9E" w14:textId="77777777" w:rsidTr="0014207C">
                              <w:trPr>
                                <w:trHeight w:val="204"/>
                              </w:trPr>
                              <w:tc>
                                <w:tcPr>
                                  <w:tcW w:w="1562" w:type="pct"/>
                                  <w:tcBorders>
                                    <w:top w:val="nil"/>
                                    <w:left w:val="nil"/>
                                    <w:bottom w:val="nil"/>
                                    <w:right w:val="nil"/>
                                  </w:tcBorders>
                                  <w:noWrap/>
                                  <w:hideMark/>
                                </w:tcPr>
                                <w:p w14:paraId="7D5E879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Accounts Receivable</w:t>
                                  </w:r>
                                </w:p>
                              </w:tc>
                              <w:tc>
                                <w:tcPr>
                                  <w:tcW w:w="553" w:type="pct"/>
                                  <w:tcBorders>
                                    <w:top w:val="nil"/>
                                    <w:left w:val="nil"/>
                                    <w:bottom w:val="nil"/>
                                    <w:right w:val="nil"/>
                                  </w:tcBorders>
                                  <w:hideMark/>
                                </w:tcPr>
                                <w:p w14:paraId="2E8502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6,284.0 </w:t>
                                  </w:r>
                                </w:p>
                              </w:tc>
                              <w:tc>
                                <w:tcPr>
                                  <w:tcW w:w="553" w:type="pct"/>
                                  <w:tcBorders>
                                    <w:top w:val="nil"/>
                                    <w:left w:val="nil"/>
                                    <w:bottom w:val="nil"/>
                                    <w:right w:val="nil"/>
                                  </w:tcBorders>
                                  <w:hideMark/>
                                </w:tcPr>
                                <w:p w14:paraId="3FCD176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6,516.0 </w:t>
                                  </w:r>
                                </w:p>
                              </w:tc>
                              <w:tc>
                                <w:tcPr>
                                  <w:tcW w:w="553" w:type="pct"/>
                                  <w:tcBorders>
                                    <w:top w:val="nil"/>
                                    <w:left w:val="nil"/>
                                    <w:bottom w:val="nil"/>
                                    <w:right w:val="nil"/>
                                  </w:tcBorders>
                                  <w:hideMark/>
                                </w:tcPr>
                                <w:p w14:paraId="3A06DEA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8,280.0 </w:t>
                                  </w:r>
                                </w:p>
                              </w:tc>
                              <w:tc>
                                <w:tcPr>
                                  <w:tcW w:w="593" w:type="pct"/>
                                  <w:tcBorders>
                                    <w:top w:val="nil"/>
                                    <w:left w:val="nil"/>
                                    <w:bottom w:val="nil"/>
                                    <w:right w:val="nil"/>
                                  </w:tcBorders>
                                  <w:hideMark/>
                                </w:tcPr>
                                <w:p w14:paraId="34993EA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7,933.0 </w:t>
                                  </w:r>
                                </w:p>
                              </w:tc>
                              <w:tc>
                                <w:tcPr>
                                  <w:tcW w:w="593" w:type="pct"/>
                                  <w:tcBorders>
                                    <w:top w:val="nil"/>
                                    <w:left w:val="nil"/>
                                    <w:bottom w:val="nil"/>
                                    <w:right w:val="nil"/>
                                  </w:tcBorders>
                                  <w:hideMark/>
                                </w:tcPr>
                                <w:p w14:paraId="76067D0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8,796.0 </w:t>
                                  </w:r>
                                </w:p>
                              </w:tc>
                              <w:tc>
                                <w:tcPr>
                                  <w:tcW w:w="593" w:type="pct"/>
                                  <w:tcBorders>
                                    <w:top w:val="nil"/>
                                    <w:left w:val="nil"/>
                                    <w:bottom w:val="nil"/>
                                    <w:right w:val="nil"/>
                                  </w:tcBorders>
                                  <w:hideMark/>
                                </w:tcPr>
                                <w:p w14:paraId="71F6DA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9,975.0 </w:t>
                                  </w:r>
                                </w:p>
                              </w:tc>
                            </w:tr>
                            <w:tr w:rsidR="0014207C" w:rsidRPr="0014207C" w14:paraId="40556273" w14:textId="77777777" w:rsidTr="0014207C">
                              <w:trPr>
                                <w:trHeight w:val="204"/>
                              </w:trPr>
                              <w:tc>
                                <w:tcPr>
                                  <w:tcW w:w="1562" w:type="pct"/>
                                  <w:tcBorders>
                                    <w:top w:val="nil"/>
                                    <w:left w:val="nil"/>
                                    <w:bottom w:val="nil"/>
                                    <w:right w:val="nil"/>
                                  </w:tcBorders>
                                  <w:noWrap/>
                                  <w:hideMark/>
                                </w:tcPr>
                                <w:p w14:paraId="548F2DC4"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Receivables</w:t>
                                  </w:r>
                                </w:p>
                              </w:tc>
                              <w:tc>
                                <w:tcPr>
                                  <w:tcW w:w="553" w:type="pct"/>
                                  <w:tcBorders>
                                    <w:top w:val="single" w:sz="4" w:space="0" w:color="000000"/>
                                    <w:left w:val="nil"/>
                                    <w:bottom w:val="nil"/>
                                    <w:right w:val="nil"/>
                                  </w:tcBorders>
                                  <w:hideMark/>
                                </w:tcPr>
                                <w:p w14:paraId="13DBA52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6,284.0 </w:t>
                                  </w:r>
                                </w:p>
                              </w:tc>
                              <w:tc>
                                <w:tcPr>
                                  <w:tcW w:w="553" w:type="pct"/>
                                  <w:tcBorders>
                                    <w:top w:val="single" w:sz="4" w:space="0" w:color="000000"/>
                                    <w:left w:val="nil"/>
                                    <w:bottom w:val="nil"/>
                                    <w:right w:val="nil"/>
                                  </w:tcBorders>
                                  <w:hideMark/>
                                </w:tcPr>
                                <w:p w14:paraId="6C5B80B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6,516.0 </w:t>
                                  </w:r>
                                </w:p>
                              </w:tc>
                              <w:tc>
                                <w:tcPr>
                                  <w:tcW w:w="553" w:type="pct"/>
                                  <w:tcBorders>
                                    <w:top w:val="single" w:sz="4" w:space="0" w:color="000000"/>
                                    <w:left w:val="nil"/>
                                    <w:bottom w:val="nil"/>
                                    <w:right w:val="nil"/>
                                  </w:tcBorders>
                                  <w:hideMark/>
                                </w:tcPr>
                                <w:p w14:paraId="0D64D0A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8,280.0 </w:t>
                                  </w:r>
                                </w:p>
                              </w:tc>
                              <w:tc>
                                <w:tcPr>
                                  <w:tcW w:w="593" w:type="pct"/>
                                  <w:tcBorders>
                                    <w:top w:val="single" w:sz="4" w:space="0" w:color="000000"/>
                                    <w:left w:val="nil"/>
                                    <w:bottom w:val="nil"/>
                                    <w:right w:val="nil"/>
                                  </w:tcBorders>
                                  <w:hideMark/>
                                </w:tcPr>
                                <w:p w14:paraId="6FA4918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7,933.0 </w:t>
                                  </w:r>
                                </w:p>
                              </w:tc>
                              <w:tc>
                                <w:tcPr>
                                  <w:tcW w:w="593" w:type="pct"/>
                                  <w:tcBorders>
                                    <w:top w:val="single" w:sz="4" w:space="0" w:color="000000"/>
                                    <w:left w:val="nil"/>
                                    <w:bottom w:val="nil"/>
                                    <w:right w:val="nil"/>
                                  </w:tcBorders>
                                  <w:hideMark/>
                                </w:tcPr>
                                <w:p w14:paraId="176F7DC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8,796.0 </w:t>
                                  </w:r>
                                </w:p>
                              </w:tc>
                              <w:tc>
                                <w:tcPr>
                                  <w:tcW w:w="593" w:type="pct"/>
                                  <w:tcBorders>
                                    <w:top w:val="single" w:sz="4" w:space="0" w:color="000000"/>
                                    <w:left w:val="nil"/>
                                    <w:bottom w:val="nil"/>
                                    <w:right w:val="nil"/>
                                  </w:tcBorders>
                                  <w:hideMark/>
                                </w:tcPr>
                                <w:p w14:paraId="2B38E27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9,975.0 </w:t>
                                  </w:r>
                                </w:p>
                              </w:tc>
                            </w:tr>
                            <w:tr w:rsidR="0014207C" w:rsidRPr="0014207C" w14:paraId="5117E4E6" w14:textId="77777777" w:rsidTr="0014207C">
                              <w:trPr>
                                <w:trHeight w:val="204"/>
                              </w:trPr>
                              <w:tc>
                                <w:tcPr>
                                  <w:tcW w:w="1562" w:type="pct"/>
                                  <w:tcBorders>
                                    <w:top w:val="nil"/>
                                    <w:left w:val="nil"/>
                                    <w:bottom w:val="nil"/>
                                    <w:right w:val="nil"/>
                                  </w:tcBorders>
                                  <w:noWrap/>
                                  <w:hideMark/>
                                </w:tcPr>
                                <w:p w14:paraId="26AEA07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144F6C3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5F6880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1DCCD0B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570502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0BFC72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848EF7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13A66C3C" w14:textId="77777777" w:rsidTr="0014207C">
                              <w:trPr>
                                <w:trHeight w:val="204"/>
                              </w:trPr>
                              <w:tc>
                                <w:tcPr>
                                  <w:tcW w:w="1562" w:type="pct"/>
                                  <w:tcBorders>
                                    <w:top w:val="nil"/>
                                    <w:left w:val="nil"/>
                                    <w:bottom w:val="nil"/>
                                    <w:right w:val="nil"/>
                                  </w:tcBorders>
                                  <w:noWrap/>
                                  <w:hideMark/>
                                </w:tcPr>
                                <w:p w14:paraId="1CB533A2"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Inventory</w:t>
                                  </w:r>
                                </w:p>
                              </w:tc>
                              <w:tc>
                                <w:tcPr>
                                  <w:tcW w:w="553" w:type="pct"/>
                                  <w:tcBorders>
                                    <w:top w:val="nil"/>
                                    <w:left w:val="nil"/>
                                    <w:bottom w:val="nil"/>
                                    <w:right w:val="nil"/>
                                  </w:tcBorders>
                                  <w:hideMark/>
                                </w:tcPr>
                                <w:p w14:paraId="6E8A8C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44,435.0 </w:t>
                                  </w:r>
                                </w:p>
                              </w:tc>
                              <w:tc>
                                <w:tcPr>
                                  <w:tcW w:w="553" w:type="pct"/>
                                  <w:tcBorders>
                                    <w:top w:val="nil"/>
                                    <w:left w:val="nil"/>
                                    <w:bottom w:val="nil"/>
                                    <w:right w:val="nil"/>
                                  </w:tcBorders>
                                  <w:hideMark/>
                                </w:tcPr>
                                <w:p w14:paraId="544811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44,949.0 </w:t>
                                  </w:r>
                                </w:p>
                              </w:tc>
                              <w:tc>
                                <w:tcPr>
                                  <w:tcW w:w="553" w:type="pct"/>
                                  <w:tcBorders>
                                    <w:top w:val="nil"/>
                                    <w:left w:val="nil"/>
                                    <w:bottom w:val="nil"/>
                                    <w:right w:val="nil"/>
                                  </w:tcBorders>
                                  <w:hideMark/>
                                </w:tcPr>
                                <w:p w14:paraId="6BD0652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56,511.0 </w:t>
                                  </w:r>
                                </w:p>
                              </w:tc>
                              <w:tc>
                                <w:tcPr>
                                  <w:tcW w:w="593" w:type="pct"/>
                                  <w:tcBorders>
                                    <w:top w:val="nil"/>
                                    <w:left w:val="nil"/>
                                    <w:bottom w:val="nil"/>
                                    <w:right w:val="nil"/>
                                  </w:tcBorders>
                                  <w:hideMark/>
                                </w:tcPr>
                                <w:p w14:paraId="34C631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56,576.0 </w:t>
                                  </w:r>
                                </w:p>
                              </w:tc>
                              <w:tc>
                                <w:tcPr>
                                  <w:tcW w:w="593" w:type="pct"/>
                                  <w:tcBorders>
                                    <w:top w:val="nil"/>
                                    <w:left w:val="nil"/>
                                    <w:bottom w:val="nil"/>
                                    <w:right w:val="nil"/>
                                  </w:tcBorders>
                                  <w:hideMark/>
                                </w:tcPr>
                                <w:p w14:paraId="3257D1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54,892.0 </w:t>
                                  </w:r>
                                </w:p>
                              </w:tc>
                              <w:tc>
                                <w:tcPr>
                                  <w:tcW w:w="593" w:type="pct"/>
                                  <w:tcBorders>
                                    <w:top w:val="nil"/>
                                    <w:left w:val="nil"/>
                                    <w:bottom w:val="nil"/>
                                    <w:right w:val="nil"/>
                                  </w:tcBorders>
                                  <w:hideMark/>
                                </w:tcPr>
                                <w:p w14:paraId="6E176C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56,435.0 </w:t>
                                  </w:r>
                                </w:p>
                              </w:tc>
                            </w:tr>
                            <w:tr w:rsidR="0014207C" w:rsidRPr="0014207C" w14:paraId="1FB9EB99" w14:textId="77777777" w:rsidTr="0014207C">
                              <w:trPr>
                                <w:trHeight w:val="204"/>
                              </w:trPr>
                              <w:tc>
                                <w:tcPr>
                                  <w:tcW w:w="1562" w:type="pct"/>
                                  <w:tcBorders>
                                    <w:top w:val="nil"/>
                                    <w:left w:val="nil"/>
                                    <w:bottom w:val="nil"/>
                                    <w:right w:val="nil"/>
                                  </w:tcBorders>
                                  <w:noWrap/>
                                  <w:hideMark/>
                                </w:tcPr>
                                <w:p w14:paraId="7292F1E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Prepaid Exp.</w:t>
                                  </w:r>
                                </w:p>
                              </w:tc>
                              <w:tc>
                                <w:tcPr>
                                  <w:tcW w:w="553" w:type="pct"/>
                                  <w:tcBorders>
                                    <w:top w:val="nil"/>
                                    <w:left w:val="nil"/>
                                    <w:bottom w:val="nil"/>
                                    <w:right w:val="nil"/>
                                  </w:tcBorders>
                                  <w:hideMark/>
                                </w:tcPr>
                                <w:p w14:paraId="0A57A0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1,622.0 </w:t>
                                  </w:r>
                                </w:p>
                              </w:tc>
                              <w:tc>
                                <w:tcPr>
                                  <w:tcW w:w="553" w:type="pct"/>
                                  <w:tcBorders>
                                    <w:top w:val="nil"/>
                                    <w:left w:val="nil"/>
                                    <w:bottom w:val="nil"/>
                                    <w:right w:val="nil"/>
                                  </w:tcBorders>
                                  <w:hideMark/>
                                </w:tcPr>
                                <w:p w14:paraId="5EA52C0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1,661.0 </w:t>
                                  </w:r>
                                </w:p>
                              </w:tc>
                              <w:tc>
                                <w:tcPr>
                                  <w:tcW w:w="553" w:type="pct"/>
                                  <w:tcBorders>
                                    <w:top w:val="nil"/>
                                    <w:left w:val="nil"/>
                                    <w:bottom w:val="nil"/>
                                    <w:right w:val="nil"/>
                                  </w:tcBorders>
                                  <w:hideMark/>
                                </w:tcPr>
                                <w:p w14:paraId="0197FA8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1,519.0 </w:t>
                                  </w:r>
                                </w:p>
                              </w:tc>
                              <w:tc>
                                <w:tcPr>
                                  <w:tcW w:w="593" w:type="pct"/>
                                  <w:tcBorders>
                                    <w:top w:val="nil"/>
                                    <w:left w:val="nil"/>
                                    <w:bottom w:val="nil"/>
                                    <w:right w:val="nil"/>
                                  </w:tcBorders>
                                  <w:hideMark/>
                                </w:tcPr>
                                <w:p w14:paraId="3E7357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2,521.0 </w:t>
                                  </w:r>
                                </w:p>
                              </w:tc>
                              <w:tc>
                                <w:tcPr>
                                  <w:tcW w:w="593" w:type="pct"/>
                                  <w:tcBorders>
                                    <w:top w:val="nil"/>
                                    <w:left w:val="nil"/>
                                    <w:bottom w:val="nil"/>
                                    <w:right w:val="nil"/>
                                  </w:tcBorders>
                                  <w:hideMark/>
                                </w:tcPr>
                                <w:p w14:paraId="69F93B0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3,322.0 </w:t>
                                  </w:r>
                                </w:p>
                              </w:tc>
                              <w:tc>
                                <w:tcPr>
                                  <w:tcW w:w="593" w:type="pct"/>
                                  <w:tcBorders>
                                    <w:top w:val="nil"/>
                                    <w:left w:val="nil"/>
                                    <w:bottom w:val="nil"/>
                                    <w:right w:val="nil"/>
                                  </w:tcBorders>
                                  <w:hideMark/>
                                </w:tcPr>
                                <w:p w14:paraId="1959A9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4,011.0 </w:t>
                                  </w:r>
                                </w:p>
                              </w:tc>
                            </w:tr>
                            <w:tr w:rsidR="0014207C" w:rsidRPr="0014207C" w14:paraId="31BCEC8F" w14:textId="77777777" w:rsidTr="0014207C">
                              <w:trPr>
                                <w:trHeight w:val="204"/>
                              </w:trPr>
                              <w:tc>
                                <w:tcPr>
                                  <w:tcW w:w="1562" w:type="pct"/>
                                  <w:tcBorders>
                                    <w:top w:val="nil"/>
                                    <w:left w:val="nil"/>
                                    <w:bottom w:val="nil"/>
                                    <w:right w:val="nil"/>
                                  </w:tcBorders>
                                  <w:noWrap/>
                                  <w:hideMark/>
                                </w:tcPr>
                                <w:p w14:paraId="3A8FFE2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Current Assets</w:t>
                                  </w:r>
                                </w:p>
                              </w:tc>
                              <w:tc>
                                <w:tcPr>
                                  <w:tcW w:w="553" w:type="pct"/>
                                  <w:tcBorders>
                                    <w:top w:val="nil"/>
                                    <w:left w:val="nil"/>
                                    <w:bottom w:val="nil"/>
                                    <w:right w:val="nil"/>
                                  </w:tcBorders>
                                  <w:hideMark/>
                                </w:tcPr>
                                <w:p w14:paraId="411734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3240546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19,200.0 </w:t>
                                  </w:r>
                                </w:p>
                              </w:tc>
                              <w:tc>
                                <w:tcPr>
                                  <w:tcW w:w="553" w:type="pct"/>
                                  <w:tcBorders>
                                    <w:top w:val="nil"/>
                                    <w:left w:val="nil"/>
                                    <w:bottom w:val="nil"/>
                                    <w:right w:val="nil"/>
                                  </w:tcBorders>
                                  <w:hideMark/>
                                </w:tcPr>
                                <w:p w14:paraId="68F21ED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2B955B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1BEC7E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5AB375D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1504D8" w14:textId="77777777" w:rsidTr="0014207C">
                              <w:trPr>
                                <w:trHeight w:val="204"/>
                              </w:trPr>
                              <w:tc>
                                <w:tcPr>
                                  <w:tcW w:w="1562" w:type="pct"/>
                                  <w:tcBorders>
                                    <w:top w:val="nil"/>
                                    <w:left w:val="nil"/>
                                    <w:bottom w:val="nil"/>
                                    <w:right w:val="nil"/>
                                  </w:tcBorders>
                                  <w:noWrap/>
                                  <w:hideMark/>
                                </w:tcPr>
                                <w:p w14:paraId="37CC04E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Current Assets</w:t>
                                  </w:r>
                                </w:p>
                              </w:tc>
                              <w:tc>
                                <w:tcPr>
                                  <w:tcW w:w="553" w:type="pct"/>
                                  <w:tcBorders>
                                    <w:top w:val="single" w:sz="4" w:space="0" w:color="000000"/>
                                    <w:left w:val="nil"/>
                                    <w:bottom w:val="nil"/>
                                    <w:right w:val="nil"/>
                                  </w:tcBorders>
                                  <w:hideMark/>
                                </w:tcPr>
                                <w:p w14:paraId="28E54C1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61,806.0 </w:t>
                                  </w:r>
                                </w:p>
                              </w:tc>
                              <w:tc>
                                <w:tcPr>
                                  <w:tcW w:w="553" w:type="pct"/>
                                  <w:tcBorders>
                                    <w:top w:val="single" w:sz="4" w:space="0" w:color="000000"/>
                                    <w:left w:val="nil"/>
                                    <w:bottom w:val="nil"/>
                                    <w:right w:val="nil"/>
                                  </w:tcBorders>
                                  <w:hideMark/>
                                </w:tcPr>
                                <w:p w14:paraId="7FA5DCD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90,067.0 </w:t>
                                  </w:r>
                                </w:p>
                              </w:tc>
                              <w:tc>
                                <w:tcPr>
                                  <w:tcW w:w="553" w:type="pct"/>
                                  <w:tcBorders>
                                    <w:top w:val="single" w:sz="4" w:space="0" w:color="000000"/>
                                    <w:left w:val="nil"/>
                                    <w:bottom w:val="nil"/>
                                    <w:right w:val="nil"/>
                                  </w:tcBorders>
                                  <w:hideMark/>
                                </w:tcPr>
                                <w:p w14:paraId="1915D19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81,070.0 </w:t>
                                  </w:r>
                                </w:p>
                              </w:tc>
                              <w:tc>
                                <w:tcPr>
                                  <w:tcW w:w="593" w:type="pct"/>
                                  <w:tcBorders>
                                    <w:top w:val="single" w:sz="4" w:space="0" w:color="000000"/>
                                    <w:left w:val="nil"/>
                                    <w:bottom w:val="nil"/>
                                    <w:right w:val="nil"/>
                                  </w:tcBorders>
                                  <w:hideMark/>
                                </w:tcPr>
                                <w:p w14:paraId="75164B3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75,655.0 </w:t>
                                  </w:r>
                                </w:p>
                              </w:tc>
                              <w:tc>
                                <w:tcPr>
                                  <w:tcW w:w="593" w:type="pct"/>
                                  <w:tcBorders>
                                    <w:top w:val="single" w:sz="4" w:space="0" w:color="000000"/>
                                    <w:left w:val="nil"/>
                                    <w:bottom w:val="nil"/>
                                    <w:right w:val="nil"/>
                                  </w:tcBorders>
                                  <w:hideMark/>
                                </w:tcPr>
                                <w:p w14:paraId="73509A7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76,877.0 </w:t>
                                  </w:r>
                                </w:p>
                              </w:tc>
                              <w:tc>
                                <w:tcPr>
                                  <w:tcW w:w="593" w:type="pct"/>
                                  <w:tcBorders>
                                    <w:top w:val="single" w:sz="4" w:space="0" w:color="000000"/>
                                    <w:left w:val="nil"/>
                                    <w:bottom w:val="nil"/>
                                    <w:right w:val="nil"/>
                                  </w:tcBorders>
                                  <w:hideMark/>
                                </w:tcPr>
                                <w:p w14:paraId="7643335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79,458.0 </w:t>
                                  </w:r>
                                </w:p>
                              </w:tc>
                            </w:tr>
                            <w:tr w:rsidR="0014207C" w:rsidRPr="0014207C" w14:paraId="06F35D31" w14:textId="77777777" w:rsidTr="0014207C">
                              <w:trPr>
                                <w:trHeight w:val="204"/>
                              </w:trPr>
                              <w:tc>
                                <w:tcPr>
                                  <w:tcW w:w="1562" w:type="pct"/>
                                  <w:tcBorders>
                                    <w:top w:val="nil"/>
                                    <w:left w:val="nil"/>
                                    <w:bottom w:val="nil"/>
                                    <w:right w:val="nil"/>
                                  </w:tcBorders>
                                  <w:noWrap/>
                                  <w:hideMark/>
                                </w:tcPr>
                                <w:p w14:paraId="4067988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6153468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2C4F6C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93B9B9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ECDAAC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31D7ED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D97E32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11CB1C86" w14:textId="77777777" w:rsidTr="0014207C">
                              <w:trPr>
                                <w:trHeight w:val="204"/>
                              </w:trPr>
                              <w:tc>
                                <w:tcPr>
                                  <w:tcW w:w="1562" w:type="pct"/>
                                  <w:tcBorders>
                                    <w:top w:val="nil"/>
                                    <w:left w:val="nil"/>
                                    <w:bottom w:val="nil"/>
                                    <w:right w:val="nil"/>
                                  </w:tcBorders>
                                  <w:noWrap/>
                                  <w:hideMark/>
                                </w:tcPr>
                                <w:p w14:paraId="414ACF7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Gross Property, Plant &amp; Equipment</w:t>
                                  </w:r>
                                </w:p>
                              </w:tc>
                              <w:tc>
                                <w:tcPr>
                                  <w:tcW w:w="553" w:type="pct"/>
                                  <w:tcBorders>
                                    <w:top w:val="nil"/>
                                    <w:left w:val="nil"/>
                                    <w:bottom w:val="nil"/>
                                    <w:right w:val="nil"/>
                                  </w:tcBorders>
                                  <w:hideMark/>
                                </w:tcPr>
                                <w:p w14:paraId="6E0681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217,349.0 </w:t>
                                  </w:r>
                                </w:p>
                              </w:tc>
                              <w:tc>
                                <w:tcPr>
                                  <w:tcW w:w="553" w:type="pct"/>
                                  <w:tcBorders>
                                    <w:top w:val="nil"/>
                                    <w:left w:val="nil"/>
                                    <w:bottom w:val="nil"/>
                                    <w:right w:val="nil"/>
                                  </w:tcBorders>
                                  <w:hideMark/>
                                </w:tcPr>
                                <w:p w14:paraId="0AAC2A9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198,218.0 </w:t>
                                  </w:r>
                                </w:p>
                              </w:tc>
                              <w:tc>
                                <w:tcPr>
                                  <w:tcW w:w="553" w:type="pct"/>
                                  <w:tcBorders>
                                    <w:top w:val="nil"/>
                                    <w:left w:val="nil"/>
                                    <w:bottom w:val="nil"/>
                                    <w:right w:val="nil"/>
                                  </w:tcBorders>
                                  <w:hideMark/>
                                </w:tcPr>
                                <w:p w14:paraId="09EBCC1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207,433.0 </w:t>
                                  </w:r>
                                </w:p>
                              </w:tc>
                              <w:tc>
                                <w:tcPr>
                                  <w:tcW w:w="593" w:type="pct"/>
                                  <w:tcBorders>
                                    <w:top w:val="nil"/>
                                    <w:left w:val="nil"/>
                                    <w:bottom w:val="nil"/>
                                    <w:right w:val="nil"/>
                                  </w:tcBorders>
                                  <w:hideMark/>
                                </w:tcPr>
                                <w:p w14:paraId="360135E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220,844.0 </w:t>
                                  </w:r>
                                </w:p>
                              </w:tc>
                              <w:tc>
                                <w:tcPr>
                                  <w:tcW w:w="593" w:type="pct"/>
                                  <w:tcBorders>
                                    <w:top w:val="nil"/>
                                    <w:left w:val="nil"/>
                                    <w:bottom w:val="nil"/>
                                    <w:right w:val="nil"/>
                                  </w:tcBorders>
                                  <w:hideMark/>
                                </w:tcPr>
                                <w:p w14:paraId="677E4E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239,387.0 </w:t>
                                  </w:r>
                                </w:p>
                              </w:tc>
                              <w:tc>
                                <w:tcPr>
                                  <w:tcW w:w="593" w:type="pct"/>
                                  <w:tcBorders>
                                    <w:top w:val="nil"/>
                                    <w:left w:val="nil"/>
                                    <w:bottom w:val="nil"/>
                                    <w:right w:val="nil"/>
                                  </w:tcBorders>
                                  <w:hideMark/>
                                </w:tcPr>
                                <w:p w14:paraId="739AB9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263,350.0 </w:t>
                                  </w:r>
                                </w:p>
                              </w:tc>
                            </w:tr>
                            <w:tr w:rsidR="0014207C" w:rsidRPr="0014207C" w14:paraId="12FB41B1" w14:textId="77777777" w:rsidTr="0014207C">
                              <w:trPr>
                                <w:trHeight w:val="204"/>
                              </w:trPr>
                              <w:tc>
                                <w:tcPr>
                                  <w:tcW w:w="1562" w:type="pct"/>
                                  <w:tcBorders>
                                    <w:top w:val="nil"/>
                                    <w:left w:val="nil"/>
                                    <w:bottom w:val="nil"/>
                                    <w:right w:val="nil"/>
                                  </w:tcBorders>
                                  <w:noWrap/>
                                  <w:hideMark/>
                                </w:tcPr>
                                <w:p w14:paraId="3811FCF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Accumulated Depreciation</w:t>
                                  </w:r>
                                </w:p>
                              </w:tc>
                              <w:tc>
                                <w:tcPr>
                                  <w:tcW w:w="553" w:type="pct"/>
                                  <w:tcBorders>
                                    <w:top w:val="nil"/>
                                    <w:left w:val="nil"/>
                                    <w:bottom w:val="nil"/>
                                    <w:right w:val="nil"/>
                                  </w:tcBorders>
                                  <w:hideMark/>
                                </w:tcPr>
                                <w:p w14:paraId="2523A4F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(90,300.0)  </w:t>
                                  </w:r>
                                </w:p>
                              </w:tc>
                              <w:tc>
                                <w:tcPr>
                                  <w:tcW w:w="553" w:type="pct"/>
                                  <w:tcBorders>
                                    <w:top w:val="nil"/>
                                    <w:left w:val="nil"/>
                                    <w:bottom w:val="nil"/>
                                    <w:right w:val="nil"/>
                                  </w:tcBorders>
                                  <w:hideMark/>
                                </w:tcPr>
                                <w:p w14:paraId="637B976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(88,370.0)  </w:t>
                                  </w:r>
                                </w:p>
                              </w:tc>
                              <w:tc>
                                <w:tcPr>
                                  <w:tcW w:w="553" w:type="pct"/>
                                  <w:tcBorders>
                                    <w:top w:val="nil"/>
                                    <w:left w:val="nil"/>
                                    <w:bottom w:val="nil"/>
                                    <w:right w:val="nil"/>
                                  </w:tcBorders>
                                  <w:hideMark/>
                                </w:tcPr>
                                <w:p w14:paraId="176B38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(94,809.0)  </w:t>
                                  </w:r>
                                </w:p>
                              </w:tc>
                              <w:tc>
                                <w:tcPr>
                                  <w:tcW w:w="593" w:type="pct"/>
                                  <w:tcBorders>
                                    <w:top w:val="nil"/>
                                    <w:left w:val="nil"/>
                                    <w:bottom w:val="nil"/>
                                    <w:right w:val="nil"/>
                                  </w:tcBorders>
                                  <w:hideMark/>
                                </w:tcPr>
                                <w:p w14:paraId="075C00E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(101,610.0)  </w:t>
                                  </w:r>
                                </w:p>
                              </w:tc>
                              <w:tc>
                                <w:tcPr>
                                  <w:tcW w:w="593" w:type="pct"/>
                                  <w:tcBorders>
                                    <w:top w:val="nil"/>
                                    <w:left w:val="nil"/>
                                    <w:bottom w:val="nil"/>
                                    <w:right w:val="nil"/>
                                  </w:tcBorders>
                                  <w:hideMark/>
                                </w:tcPr>
                                <w:p w14:paraId="6F9B34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(109,049.0)  </w:t>
                                  </w:r>
                                </w:p>
                              </w:tc>
                              <w:tc>
                                <w:tcPr>
                                  <w:tcW w:w="593" w:type="pct"/>
                                  <w:tcBorders>
                                    <w:top w:val="nil"/>
                                    <w:left w:val="nil"/>
                                    <w:bottom w:val="nil"/>
                                    <w:right w:val="nil"/>
                                  </w:tcBorders>
                                  <w:hideMark/>
                                </w:tcPr>
                                <w:p w14:paraId="304CF2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(123,646.0)  </w:t>
                                  </w:r>
                                </w:p>
                              </w:tc>
                            </w:tr>
                            <w:tr w:rsidR="0014207C" w:rsidRPr="0014207C" w14:paraId="27ED8C9B" w14:textId="77777777" w:rsidTr="0014207C">
                              <w:trPr>
                                <w:trHeight w:val="204"/>
                              </w:trPr>
                              <w:tc>
                                <w:tcPr>
                                  <w:tcW w:w="1562" w:type="pct"/>
                                  <w:tcBorders>
                                    <w:top w:val="nil"/>
                                    <w:left w:val="nil"/>
                                    <w:bottom w:val="nil"/>
                                    <w:right w:val="nil"/>
                                  </w:tcBorders>
                                  <w:noWrap/>
                                  <w:hideMark/>
                                </w:tcPr>
                                <w:p w14:paraId="4C13DD98"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Property, Plant &amp; Equipment</w:t>
                                  </w:r>
                                </w:p>
                              </w:tc>
                              <w:tc>
                                <w:tcPr>
                                  <w:tcW w:w="553" w:type="pct"/>
                                  <w:tcBorders>
                                    <w:top w:val="single" w:sz="4" w:space="0" w:color="000000"/>
                                    <w:left w:val="nil"/>
                                    <w:bottom w:val="nil"/>
                                    <w:right w:val="nil"/>
                                  </w:tcBorders>
                                  <w:hideMark/>
                                </w:tcPr>
                                <w:p w14:paraId="3128F63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127,049.0 </w:t>
                                  </w:r>
                                </w:p>
                              </w:tc>
                              <w:tc>
                                <w:tcPr>
                                  <w:tcW w:w="553" w:type="pct"/>
                                  <w:tcBorders>
                                    <w:top w:val="single" w:sz="4" w:space="0" w:color="000000"/>
                                    <w:left w:val="nil"/>
                                    <w:bottom w:val="nil"/>
                                    <w:right w:val="nil"/>
                                  </w:tcBorders>
                                  <w:hideMark/>
                                </w:tcPr>
                                <w:p w14:paraId="0B79BE2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109,848.0 </w:t>
                                  </w:r>
                                </w:p>
                              </w:tc>
                              <w:tc>
                                <w:tcPr>
                                  <w:tcW w:w="553" w:type="pct"/>
                                  <w:tcBorders>
                                    <w:top w:val="single" w:sz="4" w:space="0" w:color="000000"/>
                                    <w:left w:val="nil"/>
                                    <w:bottom w:val="nil"/>
                                    <w:right w:val="nil"/>
                                  </w:tcBorders>
                                  <w:hideMark/>
                                </w:tcPr>
                                <w:p w14:paraId="588167F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112,624.0 </w:t>
                                  </w:r>
                                </w:p>
                              </w:tc>
                              <w:tc>
                                <w:tcPr>
                                  <w:tcW w:w="593" w:type="pct"/>
                                  <w:tcBorders>
                                    <w:top w:val="single" w:sz="4" w:space="0" w:color="000000"/>
                                    <w:left w:val="nil"/>
                                    <w:bottom w:val="nil"/>
                                    <w:right w:val="nil"/>
                                  </w:tcBorders>
                                  <w:hideMark/>
                                </w:tcPr>
                                <w:p w14:paraId="777D46B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119,234.0 </w:t>
                                  </w:r>
                                </w:p>
                              </w:tc>
                              <w:tc>
                                <w:tcPr>
                                  <w:tcW w:w="593" w:type="pct"/>
                                  <w:tcBorders>
                                    <w:top w:val="single" w:sz="4" w:space="0" w:color="000000"/>
                                    <w:left w:val="nil"/>
                                    <w:bottom w:val="nil"/>
                                    <w:right w:val="nil"/>
                                  </w:tcBorders>
                                  <w:hideMark/>
                                </w:tcPr>
                                <w:p w14:paraId="1C0FB7B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130,338.0 </w:t>
                                  </w:r>
                                </w:p>
                              </w:tc>
                              <w:tc>
                                <w:tcPr>
                                  <w:tcW w:w="593" w:type="pct"/>
                                  <w:tcBorders>
                                    <w:top w:val="single" w:sz="4" w:space="0" w:color="000000"/>
                                    <w:left w:val="nil"/>
                                    <w:bottom w:val="nil"/>
                                    <w:right w:val="nil"/>
                                  </w:tcBorders>
                                  <w:hideMark/>
                                </w:tcPr>
                                <w:p w14:paraId="2207FFD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139,704.0 </w:t>
                                  </w:r>
                                </w:p>
                              </w:tc>
                            </w:tr>
                            <w:tr w:rsidR="0014207C" w:rsidRPr="0014207C" w14:paraId="4D676593" w14:textId="77777777" w:rsidTr="0014207C">
                              <w:trPr>
                                <w:trHeight w:val="204"/>
                              </w:trPr>
                              <w:tc>
                                <w:tcPr>
                                  <w:tcW w:w="1562" w:type="pct"/>
                                  <w:tcBorders>
                                    <w:top w:val="nil"/>
                                    <w:left w:val="nil"/>
                                    <w:bottom w:val="nil"/>
                                    <w:right w:val="nil"/>
                                  </w:tcBorders>
                                  <w:noWrap/>
                                  <w:hideMark/>
                                </w:tcPr>
                                <w:p w14:paraId="5F37D91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7C8F5B4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2AEC26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5641DF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CDE69F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B931AE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57B7C9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749E7BB" w14:textId="77777777" w:rsidTr="0014207C">
                              <w:trPr>
                                <w:trHeight w:val="204"/>
                              </w:trPr>
                              <w:tc>
                                <w:tcPr>
                                  <w:tcW w:w="1562" w:type="pct"/>
                                  <w:tcBorders>
                                    <w:top w:val="nil"/>
                                    <w:left w:val="nil"/>
                                    <w:bottom w:val="nil"/>
                                    <w:right w:val="nil"/>
                                  </w:tcBorders>
                                  <w:noWrap/>
                                  <w:hideMark/>
                                </w:tcPr>
                                <w:p w14:paraId="12B0A58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Investments</w:t>
                                  </w:r>
                                </w:p>
                              </w:tc>
                              <w:tc>
                                <w:tcPr>
                                  <w:tcW w:w="553" w:type="pct"/>
                                  <w:tcBorders>
                                    <w:top w:val="nil"/>
                                    <w:left w:val="nil"/>
                                    <w:bottom w:val="nil"/>
                                    <w:right w:val="nil"/>
                                  </w:tcBorders>
                                  <w:hideMark/>
                                </w:tcPr>
                                <w:p w14:paraId="1DC9E4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5,990.0 </w:t>
                                  </w:r>
                                </w:p>
                              </w:tc>
                              <w:tc>
                                <w:tcPr>
                                  <w:tcW w:w="553" w:type="pct"/>
                                  <w:tcBorders>
                                    <w:top w:val="nil"/>
                                    <w:left w:val="nil"/>
                                    <w:bottom w:val="nil"/>
                                    <w:right w:val="nil"/>
                                  </w:tcBorders>
                                  <w:hideMark/>
                                </w:tcPr>
                                <w:p w14:paraId="656173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14,899.0 </w:t>
                                  </w:r>
                                </w:p>
                              </w:tc>
                              <w:tc>
                                <w:tcPr>
                                  <w:tcW w:w="553" w:type="pct"/>
                                  <w:tcBorders>
                                    <w:top w:val="nil"/>
                                    <w:left w:val="nil"/>
                                    <w:bottom w:val="nil"/>
                                    <w:right w:val="nil"/>
                                  </w:tcBorders>
                                  <w:hideMark/>
                                </w:tcPr>
                                <w:p w14:paraId="66970A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12,888.0 </w:t>
                                  </w:r>
                                </w:p>
                              </w:tc>
                              <w:tc>
                                <w:tcPr>
                                  <w:tcW w:w="593" w:type="pct"/>
                                  <w:tcBorders>
                                    <w:top w:val="nil"/>
                                    <w:left w:val="nil"/>
                                    <w:bottom w:val="nil"/>
                                    <w:right w:val="nil"/>
                                  </w:tcBorders>
                                  <w:hideMark/>
                                </w:tcPr>
                                <w:p w14:paraId="4B8ADB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11,169.0 </w:t>
                                  </w:r>
                                </w:p>
                              </w:tc>
                              <w:tc>
                                <w:tcPr>
                                  <w:tcW w:w="593" w:type="pct"/>
                                  <w:tcBorders>
                                    <w:top w:val="nil"/>
                                    <w:left w:val="nil"/>
                                    <w:bottom w:val="nil"/>
                                    <w:right w:val="nil"/>
                                  </w:tcBorders>
                                  <w:hideMark/>
                                </w:tcPr>
                                <w:p w14:paraId="29060B5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8,449.0 </w:t>
                                  </w:r>
                                </w:p>
                              </w:tc>
                              <w:tc>
                                <w:tcPr>
                                  <w:tcW w:w="593" w:type="pct"/>
                                  <w:tcBorders>
                                    <w:top w:val="nil"/>
                                    <w:left w:val="nil"/>
                                    <w:bottom w:val="nil"/>
                                    <w:right w:val="nil"/>
                                  </w:tcBorders>
                                  <w:hideMark/>
                                </w:tcPr>
                                <w:p w14:paraId="67EE97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BE22D2A" w14:textId="77777777" w:rsidTr="0014207C">
                              <w:trPr>
                                <w:trHeight w:val="204"/>
                              </w:trPr>
                              <w:tc>
                                <w:tcPr>
                                  <w:tcW w:w="1562" w:type="pct"/>
                                  <w:tcBorders>
                                    <w:top w:val="nil"/>
                                    <w:left w:val="nil"/>
                                    <w:bottom w:val="nil"/>
                                    <w:right w:val="nil"/>
                                  </w:tcBorders>
                                  <w:noWrap/>
                                  <w:hideMark/>
                                </w:tcPr>
                                <w:p w14:paraId="794BBF7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Goodwill</w:t>
                                  </w:r>
                                </w:p>
                              </w:tc>
                              <w:tc>
                                <w:tcPr>
                                  <w:tcW w:w="553" w:type="pct"/>
                                  <w:tcBorders>
                                    <w:top w:val="nil"/>
                                    <w:left w:val="nil"/>
                                    <w:bottom w:val="nil"/>
                                    <w:right w:val="nil"/>
                                  </w:tcBorders>
                                  <w:hideMark/>
                                </w:tcPr>
                                <w:p w14:paraId="69FCD32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31,073.0 </w:t>
                                  </w:r>
                                </w:p>
                              </w:tc>
                              <w:tc>
                                <w:tcPr>
                                  <w:tcW w:w="553" w:type="pct"/>
                                  <w:tcBorders>
                                    <w:top w:val="nil"/>
                                    <w:left w:val="nil"/>
                                    <w:bottom w:val="nil"/>
                                    <w:right w:val="nil"/>
                                  </w:tcBorders>
                                  <w:hideMark/>
                                </w:tcPr>
                                <w:p w14:paraId="233C7A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28,983.0 </w:t>
                                  </w:r>
                                </w:p>
                              </w:tc>
                              <w:tc>
                                <w:tcPr>
                                  <w:tcW w:w="553" w:type="pct"/>
                                  <w:tcBorders>
                                    <w:top w:val="nil"/>
                                    <w:left w:val="nil"/>
                                    <w:bottom w:val="nil"/>
                                    <w:right w:val="nil"/>
                                  </w:tcBorders>
                                  <w:hideMark/>
                                </w:tcPr>
                                <w:p w14:paraId="624472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29,014.0 </w:t>
                                  </w:r>
                                </w:p>
                              </w:tc>
                              <w:tc>
                                <w:tcPr>
                                  <w:tcW w:w="593" w:type="pct"/>
                                  <w:tcBorders>
                                    <w:top w:val="nil"/>
                                    <w:left w:val="nil"/>
                                    <w:bottom w:val="nil"/>
                                    <w:right w:val="nil"/>
                                  </w:tcBorders>
                                  <w:hideMark/>
                                </w:tcPr>
                                <w:p w14:paraId="76F1E58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28,174.0 </w:t>
                                  </w:r>
                                </w:p>
                              </w:tc>
                              <w:tc>
                                <w:tcPr>
                                  <w:tcW w:w="593" w:type="pct"/>
                                  <w:tcBorders>
                                    <w:top w:val="nil"/>
                                    <w:left w:val="nil"/>
                                    <w:bottom w:val="nil"/>
                                    <w:right w:val="nil"/>
                                  </w:tcBorders>
                                  <w:hideMark/>
                                </w:tcPr>
                                <w:p w14:paraId="38FEEFA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28,113.0 </w:t>
                                  </w:r>
                                </w:p>
                              </w:tc>
                              <w:tc>
                                <w:tcPr>
                                  <w:tcW w:w="593" w:type="pct"/>
                                  <w:tcBorders>
                                    <w:top w:val="nil"/>
                                    <w:left w:val="nil"/>
                                    <w:bottom w:val="nil"/>
                                    <w:right w:val="nil"/>
                                  </w:tcBorders>
                                  <w:hideMark/>
                                </w:tcPr>
                                <w:p w14:paraId="273C35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28,792.0 </w:t>
                                  </w:r>
                                </w:p>
                              </w:tc>
                            </w:tr>
                            <w:tr w:rsidR="0014207C" w:rsidRPr="0014207C" w14:paraId="62F233C6" w14:textId="77777777" w:rsidTr="0014207C">
                              <w:trPr>
                                <w:trHeight w:val="204"/>
                              </w:trPr>
                              <w:tc>
                                <w:tcPr>
                                  <w:tcW w:w="1562" w:type="pct"/>
                                  <w:tcBorders>
                                    <w:top w:val="nil"/>
                                    <w:left w:val="nil"/>
                                    <w:bottom w:val="nil"/>
                                    <w:right w:val="nil"/>
                                  </w:tcBorders>
                                  <w:noWrap/>
                                  <w:hideMark/>
                                </w:tcPr>
                                <w:p w14:paraId="3EEB8FA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Intangibles</w:t>
                                  </w:r>
                                </w:p>
                              </w:tc>
                              <w:tc>
                                <w:tcPr>
                                  <w:tcW w:w="553" w:type="pct"/>
                                  <w:tcBorders>
                                    <w:top w:val="nil"/>
                                    <w:left w:val="nil"/>
                                    <w:bottom w:val="nil"/>
                                    <w:right w:val="nil"/>
                                  </w:tcBorders>
                                  <w:hideMark/>
                                </w:tcPr>
                                <w:p w14:paraId="6DF1F8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5,200.0 </w:t>
                                  </w:r>
                                </w:p>
                              </w:tc>
                              <w:tc>
                                <w:tcPr>
                                  <w:tcW w:w="553" w:type="pct"/>
                                  <w:tcBorders>
                                    <w:top w:val="nil"/>
                                    <w:left w:val="nil"/>
                                    <w:bottom w:val="nil"/>
                                    <w:right w:val="nil"/>
                                  </w:tcBorders>
                                  <w:hideMark/>
                                </w:tcPr>
                                <w:p w14:paraId="76D6CDE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4,900.0 </w:t>
                                  </w:r>
                                </w:p>
                              </w:tc>
                              <w:tc>
                                <w:tcPr>
                                  <w:tcW w:w="553" w:type="pct"/>
                                  <w:tcBorders>
                                    <w:top w:val="nil"/>
                                    <w:left w:val="nil"/>
                                    <w:bottom w:val="nil"/>
                                    <w:right w:val="nil"/>
                                  </w:tcBorders>
                                  <w:hideMark/>
                                </w:tcPr>
                                <w:p w14:paraId="29A689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4,800.0 </w:t>
                                  </w:r>
                                </w:p>
                              </w:tc>
                              <w:tc>
                                <w:tcPr>
                                  <w:tcW w:w="593" w:type="pct"/>
                                  <w:tcBorders>
                                    <w:top w:val="nil"/>
                                    <w:left w:val="nil"/>
                                    <w:bottom w:val="nil"/>
                                    <w:right w:val="nil"/>
                                  </w:tcBorders>
                                  <w:hideMark/>
                                </w:tcPr>
                                <w:p w14:paraId="74FA0C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4,300.0 </w:t>
                                  </w:r>
                                </w:p>
                              </w:tc>
                              <w:tc>
                                <w:tcPr>
                                  <w:tcW w:w="593" w:type="pct"/>
                                  <w:tcBorders>
                                    <w:top w:val="nil"/>
                                    <w:left w:val="nil"/>
                                    <w:bottom w:val="nil"/>
                                    <w:right w:val="nil"/>
                                  </w:tcBorders>
                                  <w:hideMark/>
                                </w:tcPr>
                                <w:p w14:paraId="37BA80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4,100.0 </w:t>
                                  </w:r>
                                </w:p>
                              </w:tc>
                              <w:tc>
                                <w:tcPr>
                                  <w:tcW w:w="593" w:type="pct"/>
                                  <w:tcBorders>
                                    <w:top w:val="nil"/>
                                    <w:left w:val="nil"/>
                                    <w:bottom w:val="nil"/>
                                    <w:right w:val="nil"/>
                                  </w:tcBorders>
                                  <w:hideMark/>
                                </w:tcPr>
                                <w:p w14:paraId="08CE071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536A1D22" w14:textId="77777777" w:rsidTr="0014207C">
                              <w:trPr>
                                <w:trHeight w:val="204"/>
                              </w:trPr>
                              <w:tc>
                                <w:tcPr>
                                  <w:tcW w:w="1562" w:type="pct"/>
                                  <w:tcBorders>
                                    <w:top w:val="nil"/>
                                    <w:left w:val="nil"/>
                                    <w:bottom w:val="nil"/>
                                    <w:right w:val="nil"/>
                                  </w:tcBorders>
                                  <w:noWrap/>
                                  <w:hideMark/>
                                </w:tcPr>
                                <w:p w14:paraId="00B924E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Deferred Tax Assets, LT</w:t>
                                  </w:r>
                                </w:p>
                              </w:tc>
                              <w:tc>
                                <w:tcPr>
                                  <w:tcW w:w="553" w:type="pct"/>
                                  <w:tcBorders>
                                    <w:top w:val="nil"/>
                                    <w:left w:val="nil"/>
                                    <w:bottom w:val="nil"/>
                                    <w:right w:val="nil"/>
                                  </w:tcBorders>
                                  <w:hideMark/>
                                </w:tcPr>
                                <w:p w14:paraId="59C949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1,914.0 </w:t>
                                  </w:r>
                                </w:p>
                              </w:tc>
                              <w:tc>
                                <w:tcPr>
                                  <w:tcW w:w="553" w:type="pct"/>
                                  <w:tcBorders>
                                    <w:top w:val="nil"/>
                                    <w:left w:val="nil"/>
                                    <w:bottom w:val="nil"/>
                                    <w:right w:val="nil"/>
                                  </w:tcBorders>
                                  <w:hideMark/>
                                </w:tcPr>
                                <w:p w14:paraId="1A1935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1,836.0 </w:t>
                                  </w:r>
                                </w:p>
                              </w:tc>
                              <w:tc>
                                <w:tcPr>
                                  <w:tcW w:w="553" w:type="pct"/>
                                  <w:tcBorders>
                                    <w:top w:val="nil"/>
                                    <w:left w:val="nil"/>
                                    <w:bottom w:val="nil"/>
                                    <w:right w:val="nil"/>
                                  </w:tcBorders>
                                  <w:hideMark/>
                                </w:tcPr>
                                <w:p w14:paraId="5420503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1,473.0 </w:t>
                                  </w:r>
                                </w:p>
                              </w:tc>
                              <w:tc>
                                <w:tcPr>
                                  <w:tcW w:w="593" w:type="pct"/>
                                  <w:tcBorders>
                                    <w:top w:val="nil"/>
                                    <w:left w:val="nil"/>
                                    <w:bottom w:val="nil"/>
                                    <w:right w:val="nil"/>
                                  </w:tcBorders>
                                  <w:hideMark/>
                                </w:tcPr>
                                <w:p w14:paraId="76B1AF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1,503.0 </w:t>
                                  </w:r>
                                </w:p>
                              </w:tc>
                              <w:tc>
                                <w:tcPr>
                                  <w:tcW w:w="593" w:type="pct"/>
                                  <w:tcBorders>
                                    <w:top w:val="nil"/>
                                    <w:left w:val="nil"/>
                                    <w:bottom w:val="nil"/>
                                    <w:right w:val="nil"/>
                                  </w:tcBorders>
                                  <w:hideMark/>
                                </w:tcPr>
                                <w:p w14:paraId="19A8E4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1,663.0 </w:t>
                                  </w:r>
                                </w:p>
                              </w:tc>
                              <w:tc>
                                <w:tcPr>
                                  <w:tcW w:w="593" w:type="pct"/>
                                  <w:tcBorders>
                                    <w:top w:val="nil"/>
                                    <w:left w:val="nil"/>
                                    <w:bottom w:val="nil"/>
                                    <w:right w:val="nil"/>
                                  </w:tcBorders>
                                  <w:hideMark/>
                                </w:tcPr>
                                <w:p w14:paraId="7F53F8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471C4F7" w14:textId="77777777" w:rsidTr="0014207C">
                              <w:trPr>
                                <w:trHeight w:val="204"/>
                              </w:trPr>
                              <w:tc>
                                <w:tcPr>
                                  <w:tcW w:w="1562" w:type="pct"/>
                                  <w:tcBorders>
                                    <w:top w:val="nil"/>
                                    <w:left w:val="nil"/>
                                    <w:bottom w:val="nil"/>
                                    <w:right w:val="nil"/>
                                  </w:tcBorders>
                                  <w:noWrap/>
                                  <w:hideMark/>
                                </w:tcPr>
                                <w:p w14:paraId="28EC75C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Long-Term Assets</w:t>
                                  </w:r>
                                </w:p>
                              </w:tc>
                              <w:tc>
                                <w:tcPr>
                                  <w:tcW w:w="553" w:type="pct"/>
                                  <w:tcBorders>
                                    <w:top w:val="nil"/>
                                    <w:left w:val="nil"/>
                                    <w:bottom w:val="nil"/>
                                    <w:right w:val="nil"/>
                                  </w:tcBorders>
                                  <w:hideMark/>
                                </w:tcPr>
                                <w:p w14:paraId="126FE1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3,463.0 </w:t>
                                  </w:r>
                                </w:p>
                              </w:tc>
                              <w:tc>
                                <w:tcPr>
                                  <w:tcW w:w="553" w:type="pct"/>
                                  <w:tcBorders>
                                    <w:top w:val="nil"/>
                                    <w:left w:val="nil"/>
                                    <w:bottom w:val="nil"/>
                                    <w:right w:val="nil"/>
                                  </w:tcBorders>
                                  <w:hideMark/>
                                </w:tcPr>
                                <w:p w14:paraId="6935AB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1,963.0 </w:t>
                                  </w:r>
                                </w:p>
                              </w:tc>
                              <w:tc>
                                <w:tcPr>
                                  <w:tcW w:w="553" w:type="pct"/>
                                  <w:tcBorders>
                                    <w:top w:val="nil"/>
                                    <w:left w:val="nil"/>
                                    <w:bottom w:val="nil"/>
                                    <w:right w:val="nil"/>
                                  </w:tcBorders>
                                  <w:hideMark/>
                                </w:tcPr>
                                <w:p w14:paraId="4AF65CF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2,991.0 </w:t>
                                  </w:r>
                                </w:p>
                              </w:tc>
                              <w:tc>
                                <w:tcPr>
                                  <w:tcW w:w="593" w:type="pct"/>
                                  <w:tcBorders>
                                    <w:top w:val="nil"/>
                                    <w:left w:val="nil"/>
                                    <w:bottom w:val="nil"/>
                                    <w:right w:val="nil"/>
                                  </w:tcBorders>
                                  <w:hideMark/>
                                </w:tcPr>
                                <w:p w14:paraId="6859062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3,162.0 </w:t>
                                  </w:r>
                                </w:p>
                              </w:tc>
                              <w:tc>
                                <w:tcPr>
                                  <w:tcW w:w="593" w:type="pct"/>
                                  <w:tcBorders>
                                    <w:top w:val="nil"/>
                                    <w:left w:val="nil"/>
                                    <w:bottom w:val="nil"/>
                                    <w:right w:val="nil"/>
                                  </w:tcBorders>
                                  <w:hideMark/>
                                </w:tcPr>
                                <w:p w14:paraId="3A4D2C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2,859.0 </w:t>
                                  </w:r>
                                </w:p>
                              </w:tc>
                              <w:tc>
                                <w:tcPr>
                                  <w:tcW w:w="593" w:type="pct"/>
                                  <w:tcBorders>
                                    <w:top w:val="nil"/>
                                    <w:left w:val="nil"/>
                                    <w:bottom w:val="nil"/>
                                    <w:right w:val="nil"/>
                                  </w:tcBorders>
                                  <w:hideMark/>
                                </w:tcPr>
                                <w:p w14:paraId="3DA1D4E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12,869.0 </w:t>
                                  </w:r>
                                </w:p>
                              </w:tc>
                            </w:tr>
                            <w:tr w:rsidR="0014207C" w:rsidRPr="0014207C" w14:paraId="78D609B9" w14:textId="77777777" w:rsidTr="0014207C">
                              <w:trPr>
                                <w:trHeight w:val="204"/>
                              </w:trPr>
                              <w:tc>
                                <w:tcPr>
                                  <w:tcW w:w="1562" w:type="pct"/>
                                  <w:tcBorders>
                                    <w:top w:val="nil"/>
                                    <w:left w:val="nil"/>
                                    <w:bottom w:val="nil"/>
                                    <w:right w:val="nil"/>
                                  </w:tcBorders>
                                  <w:noWrap/>
                                  <w:hideMark/>
                                </w:tcPr>
                                <w:p w14:paraId="1B9DF4C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Assets</w:t>
                                  </w:r>
                                </w:p>
                              </w:tc>
                              <w:tc>
                                <w:tcPr>
                                  <w:tcW w:w="553" w:type="pct"/>
                                  <w:tcBorders>
                                    <w:top w:val="single" w:sz="4" w:space="0" w:color="000000"/>
                                    <w:left w:val="nil"/>
                                    <w:bottom w:val="nil"/>
                                    <w:right w:val="nil"/>
                                  </w:tcBorders>
                                  <w:hideMark/>
                                </w:tcPr>
                                <w:p w14:paraId="15C5116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236,495.0 </w:t>
                                  </w:r>
                                </w:p>
                              </w:tc>
                              <w:tc>
                                <w:tcPr>
                                  <w:tcW w:w="553" w:type="pct"/>
                                  <w:tcBorders>
                                    <w:top w:val="single" w:sz="4" w:space="0" w:color="000000"/>
                                    <w:left w:val="nil"/>
                                    <w:bottom w:val="nil"/>
                                    <w:right w:val="nil"/>
                                  </w:tcBorders>
                                  <w:hideMark/>
                                </w:tcPr>
                                <w:p w14:paraId="44384C7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252,496.0 </w:t>
                                  </w:r>
                                </w:p>
                              </w:tc>
                              <w:tc>
                                <w:tcPr>
                                  <w:tcW w:w="553" w:type="pct"/>
                                  <w:tcBorders>
                                    <w:top w:val="single" w:sz="4" w:space="0" w:color="000000"/>
                                    <w:left w:val="nil"/>
                                    <w:bottom w:val="nil"/>
                                    <w:right w:val="nil"/>
                                  </w:tcBorders>
                                  <w:hideMark/>
                                </w:tcPr>
                                <w:p w14:paraId="3EDB559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244,860.0 </w:t>
                                  </w:r>
                                </w:p>
                              </w:tc>
                              <w:tc>
                                <w:tcPr>
                                  <w:tcW w:w="593" w:type="pct"/>
                                  <w:tcBorders>
                                    <w:top w:val="single" w:sz="4" w:space="0" w:color="000000"/>
                                    <w:left w:val="nil"/>
                                    <w:bottom w:val="nil"/>
                                    <w:right w:val="nil"/>
                                  </w:tcBorders>
                                  <w:hideMark/>
                                </w:tcPr>
                                <w:p w14:paraId="7F6F573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243,197.0 </w:t>
                                  </w:r>
                                </w:p>
                              </w:tc>
                              <w:tc>
                                <w:tcPr>
                                  <w:tcW w:w="593" w:type="pct"/>
                                  <w:tcBorders>
                                    <w:top w:val="single" w:sz="4" w:space="0" w:color="000000"/>
                                    <w:left w:val="nil"/>
                                    <w:bottom w:val="nil"/>
                                    <w:right w:val="nil"/>
                                  </w:tcBorders>
                                  <w:hideMark/>
                                </w:tcPr>
                                <w:p w14:paraId="6D71151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252,399.0 </w:t>
                                  </w:r>
                                </w:p>
                              </w:tc>
                              <w:tc>
                                <w:tcPr>
                                  <w:tcW w:w="593" w:type="pct"/>
                                  <w:tcBorders>
                                    <w:top w:val="single" w:sz="4" w:space="0" w:color="000000"/>
                                    <w:left w:val="nil"/>
                                    <w:bottom w:val="nil"/>
                                    <w:right w:val="nil"/>
                                  </w:tcBorders>
                                  <w:hideMark/>
                                </w:tcPr>
                                <w:p w14:paraId="2643245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260,823.0 </w:t>
                                  </w:r>
                                </w:p>
                              </w:tc>
                            </w:tr>
                            <w:tr w:rsidR="0014207C" w:rsidRPr="0014207C" w14:paraId="78BA1A18" w14:textId="77777777" w:rsidTr="0014207C">
                              <w:trPr>
                                <w:trHeight w:val="204"/>
                              </w:trPr>
                              <w:tc>
                                <w:tcPr>
                                  <w:tcW w:w="1562" w:type="pct"/>
                                  <w:tcBorders>
                                    <w:top w:val="nil"/>
                                    <w:left w:val="nil"/>
                                    <w:bottom w:val="nil"/>
                                    <w:right w:val="nil"/>
                                  </w:tcBorders>
                                  <w:noWrap/>
                                  <w:hideMark/>
                                </w:tcPr>
                                <w:p w14:paraId="4640028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p>
                              </w:tc>
                              <w:tc>
                                <w:tcPr>
                                  <w:tcW w:w="553" w:type="pct"/>
                                  <w:tcBorders>
                                    <w:top w:val="nil"/>
                                    <w:left w:val="nil"/>
                                    <w:bottom w:val="nil"/>
                                    <w:right w:val="nil"/>
                                  </w:tcBorders>
                                  <w:noWrap/>
                                  <w:hideMark/>
                                </w:tcPr>
                                <w:p w14:paraId="20ADECD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B64520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2AC4A9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6B62720"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507A6C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96FEC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291D1FF8" w14:textId="77777777" w:rsidTr="0014207C">
                              <w:trPr>
                                <w:trHeight w:val="204"/>
                              </w:trPr>
                              <w:tc>
                                <w:tcPr>
                                  <w:tcW w:w="1562" w:type="pct"/>
                                  <w:tcBorders>
                                    <w:top w:val="nil"/>
                                    <w:left w:val="nil"/>
                                    <w:bottom w:val="nil"/>
                                    <w:right w:val="nil"/>
                                  </w:tcBorders>
                                  <w:noWrap/>
                                  <w:hideMark/>
                                </w:tcPr>
                                <w:p w14:paraId="16881530"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LIABILITIES</w:t>
                                  </w:r>
                                </w:p>
                              </w:tc>
                              <w:tc>
                                <w:tcPr>
                                  <w:tcW w:w="553" w:type="pct"/>
                                  <w:tcBorders>
                                    <w:top w:val="nil"/>
                                    <w:left w:val="nil"/>
                                    <w:bottom w:val="nil"/>
                                    <w:right w:val="nil"/>
                                  </w:tcBorders>
                                  <w:noWrap/>
                                  <w:hideMark/>
                                </w:tcPr>
                                <w:p w14:paraId="7DA19FA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3C78073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3B8BE2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1632EAA"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502037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94B4ED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704D031A" w14:textId="77777777" w:rsidTr="0014207C">
                              <w:trPr>
                                <w:trHeight w:val="204"/>
                              </w:trPr>
                              <w:tc>
                                <w:tcPr>
                                  <w:tcW w:w="1562" w:type="pct"/>
                                  <w:tcBorders>
                                    <w:top w:val="nil"/>
                                    <w:left w:val="nil"/>
                                    <w:bottom w:val="nil"/>
                                    <w:right w:val="nil"/>
                                  </w:tcBorders>
                                  <w:noWrap/>
                                  <w:hideMark/>
                                </w:tcPr>
                                <w:p w14:paraId="5D6042F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Accounts Payable</w:t>
                                  </w:r>
                                </w:p>
                              </w:tc>
                              <w:tc>
                                <w:tcPr>
                                  <w:tcW w:w="553" w:type="pct"/>
                                  <w:tcBorders>
                                    <w:top w:val="nil"/>
                                    <w:left w:val="nil"/>
                                    <w:bottom w:val="nil"/>
                                    <w:right w:val="nil"/>
                                  </w:tcBorders>
                                  <w:hideMark/>
                                </w:tcPr>
                                <w:p w14:paraId="50F5B75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46,973.0 </w:t>
                                  </w:r>
                                </w:p>
                              </w:tc>
                              <w:tc>
                                <w:tcPr>
                                  <w:tcW w:w="553" w:type="pct"/>
                                  <w:tcBorders>
                                    <w:top w:val="nil"/>
                                    <w:left w:val="nil"/>
                                    <w:bottom w:val="nil"/>
                                    <w:right w:val="nil"/>
                                  </w:tcBorders>
                                  <w:hideMark/>
                                </w:tcPr>
                                <w:p w14:paraId="7D87C5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49,141.0 </w:t>
                                  </w:r>
                                </w:p>
                              </w:tc>
                              <w:tc>
                                <w:tcPr>
                                  <w:tcW w:w="553" w:type="pct"/>
                                  <w:tcBorders>
                                    <w:top w:val="nil"/>
                                    <w:left w:val="nil"/>
                                    <w:bottom w:val="nil"/>
                                    <w:right w:val="nil"/>
                                  </w:tcBorders>
                                  <w:hideMark/>
                                </w:tcPr>
                                <w:p w14:paraId="5CA9BB8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55,261.0 </w:t>
                                  </w:r>
                                </w:p>
                              </w:tc>
                              <w:tc>
                                <w:tcPr>
                                  <w:tcW w:w="593" w:type="pct"/>
                                  <w:tcBorders>
                                    <w:top w:val="nil"/>
                                    <w:left w:val="nil"/>
                                    <w:bottom w:val="nil"/>
                                    <w:right w:val="nil"/>
                                  </w:tcBorders>
                                  <w:hideMark/>
                                </w:tcPr>
                                <w:p w14:paraId="768BCA5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53,742.0 </w:t>
                                  </w:r>
                                </w:p>
                              </w:tc>
                              <w:tc>
                                <w:tcPr>
                                  <w:tcW w:w="593" w:type="pct"/>
                                  <w:tcBorders>
                                    <w:top w:val="nil"/>
                                    <w:left w:val="nil"/>
                                    <w:bottom w:val="nil"/>
                                    <w:right w:val="nil"/>
                                  </w:tcBorders>
                                  <w:hideMark/>
                                </w:tcPr>
                                <w:p w14:paraId="6BDE2A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56,812.0 </w:t>
                                  </w:r>
                                </w:p>
                              </w:tc>
                              <w:tc>
                                <w:tcPr>
                                  <w:tcW w:w="593" w:type="pct"/>
                                  <w:tcBorders>
                                    <w:top w:val="nil"/>
                                    <w:left w:val="nil"/>
                                    <w:bottom w:val="nil"/>
                                    <w:right w:val="nil"/>
                                  </w:tcBorders>
                                  <w:hideMark/>
                                </w:tcPr>
                                <w:p w14:paraId="4501C77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58,666.0 </w:t>
                                  </w:r>
                                </w:p>
                              </w:tc>
                            </w:tr>
                            <w:tr w:rsidR="0014207C" w:rsidRPr="0014207C" w14:paraId="45BD649D" w14:textId="77777777" w:rsidTr="0014207C">
                              <w:trPr>
                                <w:trHeight w:val="204"/>
                              </w:trPr>
                              <w:tc>
                                <w:tcPr>
                                  <w:tcW w:w="1562" w:type="pct"/>
                                  <w:tcBorders>
                                    <w:top w:val="nil"/>
                                    <w:left w:val="nil"/>
                                    <w:bottom w:val="nil"/>
                                    <w:right w:val="nil"/>
                                  </w:tcBorders>
                                  <w:noWrap/>
                                  <w:hideMark/>
                                </w:tcPr>
                                <w:p w14:paraId="557D007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Accrued Exp.</w:t>
                                  </w:r>
                                </w:p>
                              </w:tc>
                              <w:tc>
                                <w:tcPr>
                                  <w:tcW w:w="553" w:type="pct"/>
                                  <w:tcBorders>
                                    <w:top w:val="nil"/>
                                    <w:left w:val="nil"/>
                                    <w:bottom w:val="nil"/>
                                    <w:right w:val="nil"/>
                                  </w:tcBorders>
                                  <w:hideMark/>
                                </w:tcPr>
                                <w:p w14:paraId="3787D7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13,601.0 </w:t>
                                  </w:r>
                                </w:p>
                              </w:tc>
                              <w:tc>
                                <w:tcPr>
                                  <w:tcW w:w="553" w:type="pct"/>
                                  <w:tcBorders>
                                    <w:top w:val="nil"/>
                                    <w:left w:val="nil"/>
                                    <w:bottom w:val="nil"/>
                                    <w:right w:val="nil"/>
                                  </w:tcBorders>
                                  <w:hideMark/>
                                </w:tcPr>
                                <w:p w14:paraId="7164515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22,922.0 </w:t>
                                  </w:r>
                                </w:p>
                              </w:tc>
                              <w:tc>
                                <w:tcPr>
                                  <w:tcW w:w="553" w:type="pct"/>
                                  <w:tcBorders>
                                    <w:top w:val="nil"/>
                                    <w:left w:val="nil"/>
                                    <w:bottom w:val="nil"/>
                                    <w:right w:val="nil"/>
                                  </w:tcBorders>
                                  <w:hideMark/>
                                </w:tcPr>
                                <w:p w14:paraId="3092A8F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23,501.0 </w:t>
                                  </w:r>
                                </w:p>
                              </w:tc>
                              <w:tc>
                                <w:tcPr>
                                  <w:tcW w:w="593" w:type="pct"/>
                                  <w:tcBorders>
                                    <w:top w:val="nil"/>
                                    <w:left w:val="nil"/>
                                    <w:bottom w:val="nil"/>
                                    <w:right w:val="nil"/>
                                  </w:tcBorders>
                                  <w:hideMark/>
                                </w:tcPr>
                                <w:p w14:paraId="0568E48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25,689.0 </w:t>
                                  </w:r>
                                </w:p>
                              </w:tc>
                              <w:tc>
                                <w:tcPr>
                                  <w:tcW w:w="593" w:type="pct"/>
                                  <w:tcBorders>
                                    <w:top w:val="nil"/>
                                    <w:left w:val="nil"/>
                                    <w:bottom w:val="nil"/>
                                    <w:right w:val="nil"/>
                                  </w:tcBorders>
                                  <w:hideMark/>
                                </w:tcPr>
                                <w:p w14:paraId="2413A58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26,095.0 </w:t>
                                  </w:r>
                                </w:p>
                              </w:tc>
                              <w:tc>
                                <w:tcPr>
                                  <w:tcW w:w="593" w:type="pct"/>
                                  <w:tcBorders>
                                    <w:top w:val="nil"/>
                                    <w:left w:val="nil"/>
                                    <w:bottom w:val="nil"/>
                                    <w:right w:val="nil"/>
                                  </w:tcBorders>
                                  <w:hideMark/>
                                </w:tcPr>
                                <w:p w14:paraId="20C1CC0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29,345.0 </w:t>
                                  </w:r>
                                </w:p>
                              </w:tc>
                            </w:tr>
                            <w:tr w:rsidR="0014207C" w:rsidRPr="0014207C" w14:paraId="39BAC503" w14:textId="77777777" w:rsidTr="0014207C">
                              <w:trPr>
                                <w:trHeight w:val="204"/>
                              </w:trPr>
                              <w:tc>
                                <w:tcPr>
                                  <w:tcW w:w="1562" w:type="pct"/>
                                  <w:tcBorders>
                                    <w:top w:val="nil"/>
                                    <w:left w:val="nil"/>
                                    <w:bottom w:val="nil"/>
                                    <w:right w:val="nil"/>
                                  </w:tcBorders>
                                  <w:noWrap/>
                                  <w:hideMark/>
                                </w:tcPr>
                                <w:p w14:paraId="0DC9B1B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Short-term Borrowings</w:t>
                                  </w:r>
                                </w:p>
                              </w:tc>
                              <w:tc>
                                <w:tcPr>
                                  <w:tcW w:w="553" w:type="pct"/>
                                  <w:tcBorders>
                                    <w:top w:val="nil"/>
                                    <w:left w:val="nil"/>
                                    <w:bottom w:val="nil"/>
                                    <w:right w:val="nil"/>
                                  </w:tcBorders>
                                  <w:hideMark/>
                                </w:tcPr>
                                <w:p w14:paraId="0DB40C7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575.0 </w:t>
                                  </w:r>
                                </w:p>
                              </w:tc>
                              <w:tc>
                                <w:tcPr>
                                  <w:tcW w:w="553" w:type="pct"/>
                                  <w:tcBorders>
                                    <w:top w:val="nil"/>
                                    <w:left w:val="nil"/>
                                    <w:bottom w:val="nil"/>
                                    <w:right w:val="nil"/>
                                  </w:tcBorders>
                                  <w:hideMark/>
                                </w:tcPr>
                                <w:p w14:paraId="4F4F91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224.0 </w:t>
                                  </w:r>
                                </w:p>
                              </w:tc>
                              <w:tc>
                                <w:tcPr>
                                  <w:tcW w:w="553" w:type="pct"/>
                                  <w:tcBorders>
                                    <w:top w:val="nil"/>
                                    <w:left w:val="nil"/>
                                    <w:bottom w:val="nil"/>
                                    <w:right w:val="nil"/>
                                  </w:tcBorders>
                                  <w:hideMark/>
                                </w:tcPr>
                                <w:p w14:paraId="3A879B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410.0 </w:t>
                                  </w:r>
                                </w:p>
                              </w:tc>
                              <w:tc>
                                <w:tcPr>
                                  <w:tcW w:w="593" w:type="pct"/>
                                  <w:tcBorders>
                                    <w:top w:val="nil"/>
                                    <w:left w:val="nil"/>
                                    <w:bottom w:val="nil"/>
                                    <w:right w:val="nil"/>
                                  </w:tcBorders>
                                  <w:hideMark/>
                                </w:tcPr>
                                <w:p w14:paraId="7F63C41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372.0 </w:t>
                                  </w:r>
                                </w:p>
                              </w:tc>
                              <w:tc>
                                <w:tcPr>
                                  <w:tcW w:w="593" w:type="pct"/>
                                  <w:tcBorders>
                                    <w:top w:val="nil"/>
                                    <w:left w:val="nil"/>
                                    <w:bottom w:val="nil"/>
                                    <w:right w:val="nil"/>
                                  </w:tcBorders>
                                  <w:hideMark/>
                                </w:tcPr>
                                <w:p w14:paraId="3165EE4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878.0 </w:t>
                                  </w:r>
                                </w:p>
                              </w:tc>
                              <w:tc>
                                <w:tcPr>
                                  <w:tcW w:w="593" w:type="pct"/>
                                  <w:tcBorders>
                                    <w:top w:val="nil"/>
                                    <w:left w:val="nil"/>
                                    <w:bottom w:val="nil"/>
                                    <w:right w:val="nil"/>
                                  </w:tcBorders>
                                  <w:hideMark/>
                                </w:tcPr>
                                <w:p w14:paraId="2E742BA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3,068.0 </w:t>
                                  </w:r>
                                </w:p>
                              </w:tc>
                            </w:tr>
                            <w:tr w:rsidR="0014207C" w:rsidRPr="0014207C" w14:paraId="23876663" w14:textId="77777777" w:rsidTr="0014207C">
                              <w:trPr>
                                <w:trHeight w:val="204"/>
                              </w:trPr>
                              <w:tc>
                                <w:tcPr>
                                  <w:tcW w:w="1562" w:type="pct"/>
                                  <w:tcBorders>
                                    <w:top w:val="nil"/>
                                    <w:left w:val="nil"/>
                                    <w:bottom w:val="nil"/>
                                    <w:right w:val="nil"/>
                                  </w:tcBorders>
                                  <w:noWrap/>
                                  <w:hideMark/>
                                </w:tcPr>
                                <w:p w14:paraId="4D24D1C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Port. of LT Debt</w:t>
                                  </w:r>
                                </w:p>
                              </w:tc>
                              <w:tc>
                                <w:tcPr>
                                  <w:tcW w:w="553" w:type="pct"/>
                                  <w:tcBorders>
                                    <w:top w:val="nil"/>
                                    <w:left w:val="nil"/>
                                    <w:bottom w:val="nil"/>
                                    <w:right w:val="nil"/>
                                  </w:tcBorders>
                                  <w:hideMark/>
                                </w:tcPr>
                                <w:p w14:paraId="18911A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5,362.0 </w:t>
                                  </w:r>
                                </w:p>
                              </w:tc>
                              <w:tc>
                                <w:tcPr>
                                  <w:tcW w:w="553" w:type="pct"/>
                                  <w:tcBorders>
                                    <w:top w:val="nil"/>
                                    <w:left w:val="nil"/>
                                    <w:bottom w:val="nil"/>
                                    <w:right w:val="nil"/>
                                  </w:tcBorders>
                                  <w:hideMark/>
                                </w:tcPr>
                                <w:p w14:paraId="11A2807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3,115.0 </w:t>
                                  </w:r>
                                </w:p>
                              </w:tc>
                              <w:tc>
                                <w:tcPr>
                                  <w:tcW w:w="553" w:type="pct"/>
                                  <w:tcBorders>
                                    <w:top w:val="nil"/>
                                    <w:left w:val="nil"/>
                                    <w:bottom w:val="nil"/>
                                    <w:right w:val="nil"/>
                                  </w:tcBorders>
                                  <w:hideMark/>
                                </w:tcPr>
                                <w:p w14:paraId="2226C06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2,803.0 </w:t>
                                  </w:r>
                                </w:p>
                              </w:tc>
                              <w:tc>
                                <w:tcPr>
                                  <w:tcW w:w="593" w:type="pct"/>
                                  <w:tcBorders>
                                    <w:top w:val="nil"/>
                                    <w:left w:val="nil"/>
                                    <w:bottom w:val="nil"/>
                                    <w:right w:val="nil"/>
                                  </w:tcBorders>
                                  <w:hideMark/>
                                </w:tcPr>
                                <w:p w14:paraId="43AFF63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4,191.0 </w:t>
                                  </w:r>
                                </w:p>
                              </w:tc>
                              <w:tc>
                                <w:tcPr>
                                  <w:tcW w:w="593" w:type="pct"/>
                                  <w:tcBorders>
                                    <w:top w:val="nil"/>
                                    <w:left w:val="nil"/>
                                    <w:bottom w:val="nil"/>
                                    <w:right w:val="nil"/>
                                  </w:tcBorders>
                                  <w:hideMark/>
                                </w:tcPr>
                                <w:p w14:paraId="5085DB7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3,447.0 </w:t>
                                  </w:r>
                                </w:p>
                              </w:tc>
                              <w:tc>
                                <w:tcPr>
                                  <w:tcW w:w="593" w:type="pct"/>
                                  <w:tcBorders>
                                    <w:top w:val="nil"/>
                                    <w:left w:val="nil"/>
                                    <w:bottom w:val="nil"/>
                                    <w:right w:val="nil"/>
                                  </w:tcBorders>
                                  <w:hideMark/>
                                </w:tcPr>
                                <w:p w14:paraId="3A427B7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2,598.0 </w:t>
                                  </w:r>
                                </w:p>
                              </w:tc>
                            </w:tr>
                            <w:tr w:rsidR="0014207C" w:rsidRPr="0014207C" w14:paraId="5E5C2B31" w14:textId="77777777" w:rsidTr="0014207C">
                              <w:trPr>
                                <w:trHeight w:val="204"/>
                              </w:trPr>
                              <w:tc>
                                <w:tcPr>
                                  <w:tcW w:w="1562" w:type="pct"/>
                                  <w:tcBorders>
                                    <w:top w:val="nil"/>
                                    <w:left w:val="nil"/>
                                    <w:bottom w:val="nil"/>
                                    <w:right w:val="nil"/>
                                  </w:tcBorders>
                                  <w:noWrap/>
                                  <w:hideMark/>
                                </w:tcPr>
                                <w:p w14:paraId="1C6FBBD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Port. of Leases</w:t>
                                  </w:r>
                                </w:p>
                              </w:tc>
                              <w:tc>
                                <w:tcPr>
                                  <w:tcW w:w="553" w:type="pct"/>
                                  <w:tcBorders>
                                    <w:top w:val="nil"/>
                                    <w:left w:val="nil"/>
                                    <w:bottom w:val="nil"/>
                                    <w:right w:val="nil"/>
                                  </w:tcBorders>
                                  <w:hideMark/>
                                </w:tcPr>
                                <w:p w14:paraId="05869C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2,304.0 </w:t>
                                  </w:r>
                                </w:p>
                              </w:tc>
                              <w:tc>
                                <w:tcPr>
                                  <w:tcW w:w="553" w:type="pct"/>
                                  <w:tcBorders>
                                    <w:top w:val="nil"/>
                                    <w:left w:val="nil"/>
                                    <w:bottom w:val="nil"/>
                                    <w:right w:val="nil"/>
                                  </w:tcBorders>
                                  <w:hideMark/>
                                </w:tcPr>
                                <w:p w14:paraId="183CE8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1,957.0 </w:t>
                                  </w:r>
                                </w:p>
                              </w:tc>
                              <w:tc>
                                <w:tcPr>
                                  <w:tcW w:w="553" w:type="pct"/>
                                  <w:tcBorders>
                                    <w:top w:val="nil"/>
                                    <w:left w:val="nil"/>
                                    <w:bottom w:val="nil"/>
                                    <w:right w:val="nil"/>
                                  </w:tcBorders>
                                  <w:hideMark/>
                                </w:tcPr>
                                <w:p w14:paraId="73AEB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1,994.0 </w:t>
                                  </w:r>
                                </w:p>
                              </w:tc>
                              <w:tc>
                                <w:tcPr>
                                  <w:tcW w:w="593" w:type="pct"/>
                                  <w:tcBorders>
                                    <w:top w:val="nil"/>
                                    <w:left w:val="nil"/>
                                    <w:bottom w:val="nil"/>
                                    <w:right w:val="nil"/>
                                  </w:tcBorders>
                                  <w:hideMark/>
                                </w:tcPr>
                                <w:p w14:paraId="115646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2,040.0 </w:t>
                                  </w:r>
                                </w:p>
                              </w:tc>
                              <w:tc>
                                <w:tcPr>
                                  <w:tcW w:w="593" w:type="pct"/>
                                  <w:tcBorders>
                                    <w:top w:val="nil"/>
                                    <w:left w:val="nil"/>
                                    <w:bottom w:val="nil"/>
                                    <w:right w:val="nil"/>
                                  </w:tcBorders>
                                  <w:hideMark/>
                                </w:tcPr>
                                <w:p w14:paraId="35D329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2,212.0 </w:t>
                                  </w:r>
                                </w:p>
                              </w:tc>
                              <w:tc>
                                <w:tcPr>
                                  <w:tcW w:w="593" w:type="pct"/>
                                  <w:tcBorders>
                                    <w:top w:val="nil"/>
                                    <w:left w:val="nil"/>
                                    <w:bottom w:val="nil"/>
                                    <w:right w:val="nil"/>
                                  </w:tcBorders>
                                  <w:hideMark/>
                                </w:tcPr>
                                <w:p w14:paraId="00E14D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2,299.0 </w:t>
                                  </w:r>
                                </w:p>
                              </w:tc>
                            </w:tr>
                            <w:tr w:rsidR="0014207C" w:rsidRPr="0014207C" w14:paraId="388DC301" w14:textId="77777777" w:rsidTr="0014207C">
                              <w:trPr>
                                <w:trHeight w:val="204"/>
                              </w:trPr>
                              <w:tc>
                                <w:tcPr>
                                  <w:tcW w:w="1562" w:type="pct"/>
                                  <w:tcBorders>
                                    <w:top w:val="nil"/>
                                    <w:left w:val="nil"/>
                                    <w:bottom w:val="nil"/>
                                    <w:right w:val="nil"/>
                                  </w:tcBorders>
                                  <w:noWrap/>
                                  <w:hideMark/>
                                </w:tcPr>
                                <w:p w14:paraId="10F1EC7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Income Taxes Payable</w:t>
                                  </w:r>
                                </w:p>
                              </w:tc>
                              <w:tc>
                                <w:tcPr>
                                  <w:tcW w:w="553" w:type="pct"/>
                                  <w:tcBorders>
                                    <w:top w:val="nil"/>
                                    <w:left w:val="nil"/>
                                    <w:bottom w:val="nil"/>
                                    <w:right w:val="nil"/>
                                  </w:tcBorders>
                                  <w:hideMark/>
                                </w:tcPr>
                                <w:p w14:paraId="2C0870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280.0 </w:t>
                                  </w:r>
                                </w:p>
                              </w:tc>
                              <w:tc>
                                <w:tcPr>
                                  <w:tcW w:w="553" w:type="pct"/>
                                  <w:tcBorders>
                                    <w:top w:val="nil"/>
                                    <w:left w:val="nil"/>
                                    <w:bottom w:val="nil"/>
                                    <w:right w:val="nil"/>
                                  </w:tcBorders>
                                  <w:hideMark/>
                                </w:tcPr>
                                <w:p w14:paraId="5AD9B34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242.0 </w:t>
                                  </w:r>
                                </w:p>
                              </w:tc>
                              <w:tc>
                                <w:tcPr>
                                  <w:tcW w:w="553" w:type="pct"/>
                                  <w:tcBorders>
                                    <w:top w:val="nil"/>
                                    <w:left w:val="nil"/>
                                    <w:bottom w:val="nil"/>
                                    <w:right w:val="nil"/>
                                  </w:tcBorders>
                                  <w:hideMark/>
                                </w:tcPr>
                                <w:p w14:paraId="6CBFF34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851.0 </w:t>
                                  </w:r>
                                </w:p>
                              </w:tc>
                              <w:tc>
                                <w:tcPr>
                                  <w:tcW w:w="593" w:type="pct"/>
                                  <w:tcBorders>
                                    <w:top w:val="nil"/>
                                    <w:left w:val="nil"/>
                                    <w:bottom w:val="nil"/>
                                    <w:right w:val="nil"/>
                                  </w:tcBorders>
                                  <w:hideMark/>
                                </w:tcPr>
                                <w:p w14:paraId="1AE5AD8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727.0 </w:t>
                                  </w:r>
                                </w:p>
                              </w:tc>
                              <w:tc>
                                <w:tcPr>
                                  <w:tcW w:w="593" w:type="pct"/>
                                  <w:tcBorders>
                                    <w:top w:val="nil"/>
                                    <w:left w:val="nil"/>
                                    <w:bottom w:val="nil"/>
                                    <w:right w:val="nil"/>
                                  </w:tcBorders>
                                  <w:hideMark/>
                                </w:tcPr>
                                <w:p w14:paraId="783E3AA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307.0 </w:t>
                                  </w:r>
                                </w:p>
                              </w:tc>
                              <w:tc>
                                <w:tcPr>
                                  <w:tcW w:w="593" w:type="pct"/>
                                  <w:tcBorders>
                                    <w:top w:val="nil"/>
                                    <w:left w:val="nil"/>
                                    <w:bottom w:val="nil"/>
                                    <w:right w:val="nil"/>
                                  </w:tcBorders>
                                  <w:hideMark/>
                                </w:tcPr>
                                <w:p w14:paraId="065CFE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608.0 </w:t>
                                  </w:r>
                                </w:p>
                              </w:tc>
                            </w:tr>
                            <w:tr w:rsidR="0014207C" w:rsidRPr="0014207C" w14:paraId="5DD383DE" w14:textId="77777777" w:rsidTr="0014207C">
                              <w:trPr>
                                <w:trHeight w:val="204"/>
                              </w:trPr>
                              <w:tc>
                                <w:tcPr>
                                  <w:tcW w:w="1562" w:type="pct"/>
                                  <w:tcBorders>
                                    <w:top w:val="nil"/>
                                    <w:left w:val="nil"/>
                                    <w:bottom w:val="nil"/>
                                    <w:right w:val="nil"/>
                                  </w:tcBorders>
                                  <w:noWrap/>
                                  <w:hideMark/>
                                </w:tcPr>
                                <w:p w14:paraId="317ECBB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Unearned Revenue, Current</w:t>
                                  </w:r>
                                </w:p>
                              </w:tc>
                              <w:tc>
                                <w:tcPr>
                                  <w:tcW w:w="553" w:type="pct"/>
                                  <w:tcBorders>
                                    <w:top w:val="nil"/>
                                    <w:left w:val="nil"/>
                                    <w:bottom w:val="nil"/>
                                    <w:right w:val="nil"/>
                                  </w:tcBorders>
                                  <w:hideMark/>
                                </w:tcPr>
                                <w:p w14:paraId="685AE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1,990.0 </w:t>
                                  </w:r>
                                </w:p>
                              </w:tc>
                              <w:tc>
                                <w:tcPr>
                                  <w:tcW w:w="553" w:type="pct"/>
                                  <w:tcBorders>
                                    <w:top w:val="nil"/>
                                    <w:left w:val="nil"/>
                                    <w:bottom w:val="nil"/>
                                    <w:right w:val="nil"/>
                                  </w:tcBorders>
                                  <w:hideMark/>
                                </w:tcPr>
                                <w:p w14:paraId="03039F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2,310.0 </w:t>
                                  </w:r>
                                </w:p>
                              </w:tc>
                              <w:tc>
                                <w:tcPr>
                                  <w:tcW w:w="553" w:type="pct"/>
                                  <w:tcBorders>
                                    <w:top w:val="nil"/>
                                    <w:left w:val="nil"/>
                                    <w:bottom w:val="nil"/>
                                    <w:right w:val="nil"/>
                                  </w:tcBorders>
                                  <w:hideMark/>
                                </w:tcPr>
                                <w:p w14:paraId="3D0820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2,559.0 </w:t>
                                  </w:r>
                                </w:p>
                              </w:tc>
                              <w:tc>
                                <w:tcPr>
                                  <w:tcW w:w="593" w:type="pct"/>
                                  <w:tcBorders>
                                    <w:top w:val="nil"/>
                                    <w:left w:val="nil"/>
                                    <w:bottom w:val="nil"/>
                                    <w:right w:val="nil"/>
                                  </w:tcBorders>
                                  <w:hideMark/>
                                </w:tcPr>
                                <w:p w14:paraId="7BD734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2,488.0 </w:t>
                                  </w:r>
                                </w:p>
                              </w:tc>
                              <w:tc>
                                <w:tcPr>
                                  <w:tcW w:w="593" w:type="pct"/>
                                  <w:tcBorders>
                                    <w:top w:val="nil"/>
                                    <w:left w:val="nil"/>
                                    <w:bottom w:val="nil"/>
                                    <w:right w:val="nil"/>
                                  </w:tcBorders>
                                  <w:hideMark/>
                                </w:tcPr>
                                <w:p w14:paraId="0A0D7A7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2,664.0 </w:t>
                                  </w:r>
                                </w:p>
                              </w:tc>
                              <w:tc>
                                <w:tcPr>
                                  <w:tcW w:w="593" w:type="pct"/>
                                  <w:tcBorders>
                                    <w:top w:val="nil"/>
                                    <w:left w:val="nil"/>
                                    <w:bottom w:val="nil"/>
                                    <w:right w:val="nil"/>
                                  </w:tcBorders>
                                  <w:hideMark/>
                                </w:tcPr>
                                <w:p w14:paraId="421FECF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98D7B21" w14:textId="77777777" w:rsidTr="0014207C">
                              <w:trPr>
                                <w:trHeight w:val="204"/>
                              </w:trPr>
                              <w:tc>
                                <w:tcPr>
                                  <w:tcW w:w="1562" w:type="pct"/>
                                  <w:tcBorders>
                                    <w:top w:val="nil"/>
                                    <w:left w:val="nil"/>
                                    <w:bottom w:val="nil"/>
                                    <w:right w:val="nil"/>
                                  </w:tcBorders>
                                  <w:noWrap/>
                                  <w:hideMark/>
                                </w:tcPr>
                                <w:p w14:paraId="1676D35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Current Liabilities</w:t>
                                  </w:r>
                                </w:p>
                              </w:tc>
                              <w:tc>
                                <w:tcPr>
                                  <w:tcW w:w="553" w:type="pct"/>
                                  <w:tcBorders>
                                    <w:top w:val="nil"/>
                                    <w:left w:val="nil"/>
                                    <w:bottom w:val="nil"/>
                                    <w:right w:val="nil"/>
                                  </w:tcBorders>
                                  <w:hideMark/>
                                </w:tcPr>
                                <w:p w14:paraId="67955A9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6,705.0 </w:t>
                                  </w:r>
                                </w:p>
                              </w:tc>
                              <w:tc>
                                <w:tcPr>
                                  <w:tcW w:w="553" w:type="pct"/>
                                  <w:tcBorders>
                                    <w:top w:val="nil"/>
                                    <w:left w:val="nil"/>
                                    <w:bottom w:val="nil"/>
                                    <w:right w:val="nil"/>
                                  </w:tcBorders>
                                  <w:hideMark/>
                                </w:tcPr>
                                <w:p w14:paraId="67C1F58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12,734.0 </w:t>
                                  </w:r>
                                </w:p>
                              </w:tc>
                              <w:tc>
                                <w:tcPr>
                                  <w:tcW w:w="553" w:type="pct"/>
                                  <w:tcBorders>
                                    <w:top w:val="nil"/>
                                    <w:left w:val="nil"/>
                                    <w:bottom w:val="nil"/>
                                    <w:right w:val="nil"/>
                                  </w:tcBorders>
                                  <w:hideMark/>
                                </w:tcPr>
                                <w:p w14:paraId="16F41F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2E72999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2,949.0 </w:t>
                                  </w:r>
                                </w:p>
                              </w:tc>
                              <w:tc>
                                <w:tcPr>
                                  <w:tcW w:w="593" w:type="pct"/>
                                  <w:tcBorders>
                                    <w:top w:val="nil"/>
                                    <w:left w:val="nil"/>
                                    <w:bottom w:val="nil"/>
                                    <w:right w:val="nil"/>
                                  </w:tcBorders>
                                  <w:hideMark/>
                                </w:tcPr>
                                <w:p w14:paraId="7D7BCA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11140EE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195AF5" w14:textId="77777777" w:rsidTr="0014207C">
                              <w:trPr>
                                <w:trHeight w:val="204"/>
                              </w:trPr>
                              <w:tc>
                                <w:tcPr>
                                  <w:tcW w:w="1562" w:type="pct"/>
                                  <w:tcBorders>
                                    <w:top w:val="nil"/>
                                    <w:left w:val="nil"/>
                                    <w:bottom w:val="nil"/>
                                    <w:right w:val="nil"/>
                                  </w:tcBorders>
                                  <w:noWrap/>
                                  <w:hideMark/>
                                </w:tcPr>
                                <w:p w14:paraId="53B98371"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Current Liabilities</w:t>
                                  </w:r>
                                </w:p>
                              </w:tc>
                              <w:tc>
                                <w:tcPr>
                                  <w:tcW w:w="553" w:type="pct"/>
                                  <w:tcBorders>
                                    <w:top w:val="single" w:sz="4" w:space="0" w:color="000000"/>
                                    <w:left w:val="nil"/>
                                    <w:bottom w:val="nil"/>
                                    <w:right w:val="nil"/>
                                  </w:tcBorders>
                                  <w:hideMark/>
                                </w:tcPr>
                                <w:p w14:paraId="0EF479D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77,790.0 </w:t>
                                  </w:r>
                                </w:p>
                              </w:tc>
                              <w:tc>
                                <w:tcPr>
                                  <w:tcW w:w="553" w:type="pct"/>
                                  <w:tcBorders>
                                    <w:top w:val="single" w:sz="4" w:space="0" w:color="000000"/>
                                    <w:left w:val="nil"/>
                                    <w:bottom w:val="nil"/>
                                    <w:right w:val="nil"/>
                                  </w:tcBorders>
                                  <w:hideMark/>
                                </w:tcPr>
                                <w:p w14:paraId="53F212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92,645.0 </w:t>
                                  </w:r>
                                </w:p>
                              </w:tc>
                              <w:tc>
                                <w:tcPr>
                                  <w:tcW w:w="553" w:type="pct"/>
                                  <w:tcBorders>
                                    <w:top w:val="single" w:sz="4" w:space="0" w:color="000000"/>
                                    <w:left w:val="nil"/>
                                    <w:bottom w:val="nil"/>
                                    <w:right w:val="nil"/>
                                  </w:tcBorders>
                                  <w:hideMark/>
                                </w:tcPr>
                                <w:p w14:paraId="08C6491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87,379.0 </w:t>
                                  </w:r>
                                </w:p>
                              </w:tc>
                              <w:tc>
                                <w:tcPr>
                                  <w:tcW w:w="593" w:type="pct"/>
                                  <w:tcBorders>
                                    <w:top w:val="single" w:sz="4" w:space="0" w:color="000000"/>
                                    <w:left w:val="nil"/>
                                    <w:bottom w:val="nil"/>
                                    <w:right w:val="nil"/>
                                  </w:tcBorders>
                                  <w:hideMark/>
                                </w:tcPr>
                                <w:p w14:paraId="39EDA13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92,198.0 </w:t>
                                  </w:r>
                                </w:p>
                              </w:tc>
                              <w:tc>
                                <w:tcPr>
                                  <w:tcW w:w="593" w:type="pct"/>
                                  <w:tcBorders>
                                    <w:top w:val="single" w:sz="4" w:space="0" w:color="000000"/>
                                    <w:left w:val="nil"/>
                                    <w:bottom w:val="nil"/>
                                    <w:right w:val="nil"/>
                                  </w:tcBorders>
                                  <w:hideMark/>
                                </w:tcPr>
                                <w:p w14:paraId="6C4E698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92,415.0 </w:t>
                                  </w:r>
                                </w:p>
                              </w:tc>
                              <w:tc>
                                <w:tcPr>
                                  <w:tcW w:w="593" w:type="pct"/>
                                  <w:tcBorders>
                                    <w:top w:val="single" w:sz="4" w:space="0" w:color="000000"/>
                                    <w:left w:val="nil"/>
                                    <w:bottom w:val="nil"/>
                                    <w:right w:val="nil"/>
                                  </w:tcBorders>
                                  <w:hideMark/>
                                </w:tcPr>
                                <w:p w14:paraId="173298B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96,584.0 </w:t>
                                  </w:r>
                                </w:p>
                              </w:tc>
                            </w:tr>
                            <w:tr w:rsidR="0014207C" w:rsidRPr="0014207C" w14:paraId="58E2B56C" w14:textId="77777777" w:rsidTr="0014207C">
                              <w:trPr>
                                <w:trHeight w:val="204"/>
                              </w:trPr>
                              <w:tc>
                                <w:tcPr>
                                  <w:tcW w:w="1562" w:type="pct"/>
                                  <w:tcBorders>
                                    <w:top w:val="nil"/>
                                    <w:left w:val="nil"/>
                                    <w:bottom w:val="nil"/>
                                    <w:right w:val="nil"/>
                                  </w:tcBorders>
                                  <w:noWrap/>
                                  <w:hideMark/>
                                </w:tcPr>
                                <w:p w14:paraId="66C31E8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667608D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93EE37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CAA577A"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DEAC31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24AB55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71C046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6A64F66E" w14:textId="77777777" w:rsidTr="0014207C">
                              <w:trPr>
                                <w:trHeight w:val="204"/>
                              </w:trPr>
                              <w:tc>
                                <w:tcPr>
                                  <w:tcW w:w="1562" w:type="pct"/>
                                  <w:tcBorders>
                                    <w:top w:val="nil"/>
                                    <w:left w:val="nil"/>
                                    <w:bottom w:val="nil"/>
                                    <w:right w:val="nil"/>
                                  </w:tcBorders>
                                  <w:noWrap/>
                                  <w:hideMark/>
                                </w:tcPr>
                                <w:p w14:paraId="0C56C95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Debt</w:t>
                                  </w:r>
                                </w:p>
                              </w:tc>
                              <w:tc>
                                <w:tcPr>
                                  <w:tcW w:w="553" w:type="pct"/>
                                  <w:tcBorders>
                                    <w:top w:val="nil"/>
                                    <w:left w:val="nil"/>
                                    <w:bottom w:val="nil"/>
                                    <w:right w:val="nil"/>
                                  </w:tcBorders>
                                  <w:hideMark/>
                                </w:tcPr>
                                <w:p w14:paraId="7875F1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44,410.0 </w:t>
                                  </w:r>
                                </w:p>
                              </w:tc>
                              <w:tc>
                                <w:tcPr>
                                  <w:tcW w:w="553" w:type="pct"/>
                                  <w:tcBorders>
                                    <w:top w:val="nil"/>
                                    <w:left w:val="nil"/>
                                    <w:bottom w:val="nil"/>
                                    <w:right w:val="nil"/>
                                  </w:tcBorders>
                                  <w:hideMark/>
                                </w:tcPr>
                                <w:p w14:paraId="5FCC38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41,588.0 </w:t>
                                  </w:r>
                                </w:p>
                              </w:tc>
                              <w:tc>
                                <w:tcPr>
                                  <w:tcW w:w="553" w:type="pct"/>
                                  <w:tcBorders>
                                    <w:top w:val="nil"/>
                                    <w:left w:val="nil"/>
                                    <w:bottom w:val="nil"/>
                                    <w:right w:val="nil"/>
                                  </w:tcBorders>
                                  <w:hideMark/>
                                </w:tcPr>
                                <w:p w14:paraId="38A7F2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35,959.0 </w:t>
                                  </w:r>
                                </w:p>
                              </w:tc>
                              <w:tc>
                                <w:tcPr>
                                  <w:tcW w:w="593" w:type="pct"/>
                                  <w:tcBorders>
                                    <w:top w:val="nil"/>
                                    <w:left w:val="nil"/>
                                    <w:bottom w:val="nil"/>
                                    <w:right w:val="nil"/>
                                  </w:tcBorders>
                                  <w:hideMark/>
                                </w:tcPr>
                                <w:p w14:paraId="1E06AA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36,761.0 </w:t>
                                  </w:r>
                                </w:p>
                              </w:tc>
                              <w:tc>
                                <w:tcPr>
                                  <w:tcW w:w="593" w:type="pct"/>
                                  <w:tcBorders>
                                    <w:top w:val="nil"/>
                                    <w:left w:val="nil"/>
                                    <w:bottom w:val="nil"/>
                                    <w:right w:val="nil"/>
                                  </w:tcBorders>
                                  <w:hideMark/>
                                </w:tcPr>
                                <w:p w14:paraId="00C3B04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38,088.0 </w:t>
                                  </w:r>
                                </w:p>
                              </w:tc>
                              <w:tc>
                                <w:tcPr>
                                  <w:tcW w:w="593" w:type="pct"/>
                                  <w:tcBorders>
                                    <w:top w:val="nil"/>
                                    <w:left w:val="nil"/>
                                    <w:bottom w:val="nil"/>
                                    <w:right w:val="nil"/>
                                  </w:tcBorders>
                                  <w:hideMark/>
                                </w:tcPr>
                                <w:p w14:paraId="6E4F11A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33,401.0 </w:t>
                                  </w:r>
                                </w:p>
                              </w:tc>
                            </w:tr>
                            <w:tr w:rsidR="0014207C" w:rsidRPr="0014207C" w14:paraId="348A03E7" w14:textId="77777777" w:rsidTr="0014207C">
                              <w:trPr>
                                <w:trHeight w:val="204"/>
                              </w:trPr>
                              <w:tc>
                                <w:tcPr>
                                  <w:tcW w:w="1562" w:type="pct"/>
                                  <w:tcBorders>
                                    <w:top w:val="nil"/>
                                    <w:left w:val="nil"/>
                                    <w:bottom w:val="nil"/>
                                    <w:right w:val="nil"/>
                                  </w:tcBorders>
                                  <w:noWrap/>
                                  <w:hideMark/>
                                </w:tcPr>
                                <w:p w14:paraId="3E4EB9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Leases</w:t>
                                  </w:r>
                                </w:p>
                              </w:tc>
                              <w:tc>
                                <w:tcPr>
                                  <w:tcW w:w="553" w:type="pct"/>
                                  <w:tcBorders>
                                    <w:top w:val="nil"/>
                                    <w:left w:val="nil"/>
                                    <w:bottom w:val="nil"/>
                                    <w:right w:val="nil"/>
                                  </w:tcBorders>
                                  <w:hideMark/>
                                </w:tcPr>
                                <w:p w14:paraId="6D29479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20,478.0 </w:t>
                                  </w:r>
                                </w:p>
                              </w:tc>
                              <w:tc>
                                <w:tcPr>
                                  <w:tcW w:w="553" w:type="pct"/>
                                  <w:tcBorders>
                                    <w:top w:val="nil"/>
                                    <w:left w:val="nil"/>
                                    <w:bottom w:val="nil"/>
                                    <w:right w:val="nil"/>
                                  </w:tcBorders>
                                  <w:hideMark/>
                                </w:tcPr>
                                <w:p w14:paraId="63ABAD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16,756.0 </w:t>
                                  </w:r>
                                </w:p>
                              </w:tc>
                              <w:tc>
                                <w:tcPr>
                                  <w:tcW w:w="553" w:type="pct"/>
                                  <w:tcBorders>
                                    <w:top w:val="nil"/>
                                    <w:left w:val="nil"/>
                                    <w:bottom w:val="nil"/>
                                    <w:right w:val="nil"/>
                                  </w:tcBorders>
                                  <w:hideMark/>
                                </w:tcPr>
                                <w:p w14:paraId="4C3515A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17,252.0 </w:t>
                                  </w:r>
                                </w:p>
                              </w:tc>
                              <w:tc>
                                <w:tcPr>
                                  <w:tcW w:w="593" w:type="pct"/>
                                  <w:tcBorders>
                                    <w:top w:val="nil"/>
                                    <w:left w:val="nil"/>
                                    <w:bottom w:val="nil"/>
                                    <w:right w:val="nil"/>
                                  </w:tcBorders>
                                  <w:hideMark/>
                                </w:tcPr>
                                <w:p w14:paraId="2B8DB5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17,671.0 </w:t>
                                  </w:r>
                                </w:p>
                              </w:tc>
                              <w:tc>
                                <w:tcPr>
                                  <w:tcW w:w="593" w:type="pct"/>
                                  <w:tcBorders>
                                    <w:top w:val="nil"/>
                                    <w:left w:val="nil"/>
                                    <w:bottom w:val="nil"/>
                                    <w:right w:val="nil"/>
                                  </w:tcBorders>
                                  <w:hideMark/>
                                </w:tcPr>
                                <w:p w14:paraId="766EB6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18,652.0 </w:t>
                                  </w:r>
                                </w:p>
                              </w:tc>
                              <w:tc>
                                <w:tcPr>
                                  <w:tcW w:w="593" w:type="pct"/>
                                  <w:tcBorders>
                                    <w:top w:val="nil"/>
                                    <w:left w:val="nil"/>
                                    <w:bottom w:val="nil"/>
                                    <w:right w:val="nil"/>
                                  </w:tcBorders>
                                  <w:hideMark/>
                                </w:tcPr>
                                <w:p w14:paraId="106602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18,748.0 </w:t>
                                  </w:r>
                                </w:p>
                              </w:tc>
                            </w:tr>
                            <w:tr w:rsidR="0014207C" w:rsidRPr="0014207C" w14:paraId="1F4F4309" w14:textId="77777777" w:rsidTr="0014207C">
                              <w:trPr>
                                <w:trHeight w:val="204"/>
                              </w:trPr>
                              <w:tc>
                                <w:tcPr>
                                  <w:tcW w:w="1562" w:type="pct"/>
                                  <w:tcBorders>
                                    <w:top w:val="nil"/>
                                    <w:left w:val="nil"/>
                                    <w:bottom w:val="nil"/>
                                    <w:right w:val="nil"/>
                                  </w:tcBorders>
                                  <w:noWrap/>
                                  <w:hideMark/>
                                </w:tcPr>
                                <w:p w14:paraId="2DC4804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Def. Tax Liability, Non-Curr.</w:t>
                                  </w:r>
                                </w:p>
                              </w:tc>
                              <w:tc>
                                <w:tcPr>
                                  <w:tcW w:w="553" w:type="pct"/>
                                  <w:tcBorders>
                                    <w:top w:val="nil"/>
                                    <w:left w:val="nil"/>
                                    <w:bottom w:val="nil"/>
                                    <w:right w:val="nil"/>
                                  </w:tcBorders>
                                  <w:hideMark/>
                                </w:tcPr>
                                <w:p w14:paraId="667AB3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6,204.0 </w:t>
                                  </w:r>
                                </w:p>
                              </w:tc>
                              <w:tc>
                                <w:tcPr>
                                  <w:tcW w:w="553" w:type="pct"/>
                                  <w:tcBorders>
                                    <w:top w:val="nil"/>
                                    <w:left w:val="nil"/>
                                    <w:bottom w:val="nil"/>
                                    <w:right w:val="nil"/>
                                  </w:tcBorders>
                                  <w:hideMark/>
                                </w:tcPr>
                                <w:p w14:paraId="0C3608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8,445.0 </w:t>
                                  </w:r>
                                </w:p>
                              </w:tc>
                              <w:tc>
                                <w:tcPr>
                                  <w:tcW w:w="553" w:type="pct"/>
                                  <w:tcBorders>
                                    <w:top w:val="nil"/>
                                    <w:left w:val="nil"/>
                                    <w:bottom w:val="nil"/>
                                    <w:right w:val="nil"/>
                                  </w:tcBorders>
                                  <w:hideMark/>
                                </w:tcPr>
                                <w:p w14:paraId="0FE91E4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6,917.0 </w:t>
                                  </w:r>
                                </w:p>
                              </w:tc>
                              <w:tc>
                                <w:tcPr>
                                  <w:tcW w:w="593" w:type="pct"/>
                                  <w:tcBorders>
                                    <w:top w:val="nil"/>
                                    <w:left w:val="nil"/>
                                    <w:bottom w:val="nil"/>
                                    <w:right w:val="nil"/>
                                  </w:tcBorders>
                                  <w:hideMark/>
                                </w:tcPr>
                                <w:p w14:paraId="7D3A8AD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11,976.0 </w:t>
                                  </w:r>
                                </w:p>
                              </w:tc>
                              <w:tc>
                                <w:tcPr>
                                  <w:tcW w:w="593" w:type="pct"/>
                                  <w:tcBorders>
                                    <w:top w:val="nil"/>
                                    <w:left w:val="nil"/>
                                    <w:bottom w:val="nil"/>
                                    <w:right w:val="nil"/>
                                  </w:tcBorders>
                                  <w:hideMark/>
                                </w:tcPr>
                                <w:p w14:paraId="49EE25A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11,973.0 </w:t>
                                  </w:r>
                                </w:p>
                              </w:tc>
                              <w:tc>
                                <w:tcPr>
                                  <w:tcW w:w="593" w:type="pct"/>
                                  <w:tcBorders>
                                    <w:top w:val="nil"/>
                                    <w:left w:val="nil"/>
                                    <w:bottom w:val="nil"/>
                                    <w:right w:val="nil"/>
                                  </w:tcBorders>
                                  <w:hideMark/>
                                </w:tcPr>
                                <w:p w14:paraId="5027BB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14,398.0 </w:t>
                                  </w:r>
                                </w:p>
                              </w:tc>
                            </w:tr>
                            <w:tr w:rsidR="0014207C" w:rsidRPr="0014207C" w14:paraId="4DD7B962" w14:textId="77777777" w:rsidTr="0014207C">
                              <w:trPr>
                                <w:trHeight w:val="204"/>
                              </w:trPr>
                              <w:tc>
                                <w:tcPr>
                                  <w:tcW w:w="1562" w:type="pct"/>
                                  <w:tcBorders>
                                    <w:top w:val="nil"/>
                                    <w:left w:val="nil"/>
                                    <w:bottom w:val="nil"/>
                                    <w:right w:val="nil"/>
                                  </w:tcBorders>
                                  <w:noWrap/>
                                  <w:hideMark/>
                                </w:tcPr>
                                <w:p w14:paraId="3ECB67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Non-Current Liabilities</w:t>
                                  </w:r>
                                </w:p>
                              </w:tc>
                              <w:tc>
                                <w:tcPr>
                                  <w:tcW w:w="553" w:type="pct"/>
                                  <w:tcBorders>
                                    <w:top w:val="nil"/>
                                    <w:left w:val="nil"/>
                                    <w:bottom w:val="nil"/>
                                    <w:right w:val="nil"/>
                                  </w:tcBorders>
                                  <w:hideMark/>
                                </w:tcPr>
                                <w:p w14:paraId="1C4861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6,061.0 </w:t>
                                  </w:r>
                                </w:p>
                              </w:tc>
                              <w:tc>
                                <w:tcPr>
                                  <w:tcW w:w="553" w:type="pct"/>
                                  <w:tcBorders>
                                    <w:top w:val="nil"/>
                                    <w:left w:val="nil"/>
                                    <w:bottom w:val="nil"/>
                                    <w:right w:val="nil"/>
                                  </w:tcBorders>
                                  <w:hideMark/>
                                </w:tcPr>
                                <w:p w14:paraId="1FDEBB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5,531.0 </w:t>
                                  </w:r>
                                </w:p>
                              </w:tc>
                              <w:tc>
                                <w:tcPr>
                                  <w:tcW w:w="553" w:type="pct"/>
                                  <w:tcBorders>
                                    <w:top w:val="nil"/>
                                    <w:left w:val="nil"/>
                                    <w:bottom w:val="nil"/>
                                    <w:right w:val="nil"/>
                                  </w:tcBorders>
                                  <w:hideMark/>
                                </w:tcPr>
                                <w:p w14:paraId="3ECF701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5,462.0 </w:t>
                                  </w:r>
                                </w:p>
                              </w:tc>
                              <w:tc>
                                <w:tcPr>
                                  <w:tcW w:w="593" w:type="pct"/>
                                  <w:tcBorders>
                                    <w:top w:val="nil"/>
                                    <w:left w:val="nil"/>
                                    <w:bottom w:val="nil"/>
                                    <w:right w:val="nil"/>
                                  </w:tcBorders>
                                  <w:hideMark/>
                                </w:tcPr>
                                <w:p w14:paraId="370AF85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600.0 </w:t>
                                  </w:r>
                                </w:p>
                              </w:tc>
                              <w:tc>
                                <w:tcPr>
                                  <w:tcW w:w="593" w:type="pct"/>
                                  <w:tcBorders>
                                    <w:top w:val="nil"/>
                                    <w:left w:val="nil"/>
                                    <w:bottom w:val="nil"/>
                                    <w:right w:val="nil"/>
                                  </w:tcBorders>
                                  <w:hideMark/>
                                </w:tcPr>
                                <w:p w14:paraId="3AE61C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700.0 </w:t>
                                  </w:r>
                                </w:p>
                              </w:tc>
                              <w:tc>
                                <w:tcPr>
                                  <w:tcW w:w="593" w:type="pct"/>
                                  <w:tcBorders>
                                    <w:top w:val="nil"/>
                                    <w:left w:val="nil"/>
                                    <w:bottom w:val="nil"/>
                                    <w:right w:val="nil"/>
                                  </w:tcBorders>
                                  <w:hideMark/>
                                </w:tcPr>
                                <w:p w14:paraId="28D9FD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5C031BCF" w14:textId="77777777" w:rsidTr="0014207C">
                              <w:trPr>
                                <w:trHeight w:val="204"/>
                              </w:trPr>
                              <w:tc>
                                <w:tcPr>
                                  <w:tcW w:w="1562" w:type="pct"/>
                                  <w:tcBorders>
                                    <w:top w:val="nil"/>
                                    <w:left w:val="nil"/>
                                    <w:bottom w:val="nil"/>
                                    <w:right w:val="nil"/>
                                  </w:tcBorders>
                                  <w:noWrap/>
                                  <w:hideMark/>
                                </w:tcPr>
                                <w:p w14:paraId="67EFBDD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Liabilities</w:t>
                                  </w:r>
                                </w:p>
                              </w:tc>
                              <w:tc>
                                <w:tcPr>
                                  <w:tcW w:w="553" w:type="pct"/>
                                  <w:tcBorders>
                                    <w:top w:val="single" w:sz="4" w:space="0" w:color="000000"/>
                                    <w:left w:val="nil"/>
                                    <w:bottom w:val="nil"/>
                                    <w:right w:val="nil"/>
                                  </w:tcBorders>
                                  <w:hideMark/>
                                </w:tcPr>
                                <w:p w14:paraId="7352C7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154,943.0 </w:t>
                                  </w:r>
                                </w:p>
                              </w:tc>
                              <w:tc>
                                <w:tcPr>
                                  <w:tcW w:w="553" w:type="pct"/>
                                  <w:tcBorders>
                                    <w:top w:val="single" w:sz="4" w:space="0" w:color="000000"/>
                                    <w:left w:val="nil"/>
                                    <w:bottom w:val="nil"/>
                                    <w:right w:val="nil"/>
                                  </w:tcBorders>
                                  <w:hideMark/>
                                </w:tcPr>
                                <w:p w14:paraId="49C6317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164,965.0 </w:t>
                                  </w:r>
                                </w:p>
                              </w:tc>
                              <w:tc>
                                <w:tcPr>
                                  <w:tcW w:w="553" w:type="pct"/>
                                  <w:tcBorders>
                                    <w:top w:val="single" w:sz="4" w:space="0" w:color="000000"/>
                                    <w:left w:val="nil"/>
                                    <w:bottom w:val="nil"/>
                                    <w:right w:val="nil"/>
                                  </w:tcBorders>
                                  <w:hideMark/>
                                </w:tcPr>
                                <w:p w14:paraId="5364BA4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152,969.0 </w:t>
                                  </w:r>
                                </w:p>
                              </w:tc>
                              <w:tc>
                                <w:tcPr>
                                  <w:tcW w:w="593" w:type="pct"/>
                                  <w:tcBorders>
                                    <w:top w:val="single" w:sz="4" w:space="0" w:color="000000"/>
                                    <w:left w:val="nil"/>
                                    <w:bottom w:val="nil"/>
                                    <w:right w:val="nil"/>
                                  </w:tcBorders>
                                  <w:hideMark/>
                                </w:tcPr>
                                <w:p w14:paraId="5A4A64D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159,206.0 </w:t>
                                  </w:r>
                                </w:p>
                              </w:tc>
                              <w:tc>
                                <w:tcPr>
                                  <w:tcW w:w="593" w:type="pct"/>
                                  <w:tcBorders>
                                    <w:top w:val="single" w:sz="4" w:space="0" w:color="000000"/>
                                    <w:left w:val="nil"/>
                                    <w:bottom w:val="nil"/>
                                    <w:right w:val="nil"/>
                                  </w:tcBorders>
                                  <w:hideMark/>
                                </w:tcPr>
                                <w:p w14:paraId="730C924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161,828.0 </w:t>
                                  </w:r>
                                </w:p>
                              </w:tc>
                              <w:tc>
                                <w:tcPr>
                                  <w:tcW w:w="593" w:type="pct"/>
                                  <w:tcBorders>
                                    <w:top w:val="single" w:sz="4" w:space="0" w:color="000000"/>
                                    <w:left w:val="nil"/>
                                    <w:bottom w:val="nil"/>
                                    <w:right w:val="nil"/>
                                  </w:tcBorders>
                                  <w:hideMark/>
                                </w:tcPr>
                                <w:p w14:paraId="4453C03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163,131.0 </w:t>
                                  </w:r>
                                </w:p>
                              </w:tc>
                            </w:tr>
                            <w:tr w:rsidR="0014207C" w:rsidRPr="0014207C" w14:paraId="49757B75" w14:textId="77777777" w:rsidTr="0014207C">
                              <w:trPr>
                                <w:trHeight w:val="204"/>
                              </w:trPr>
                              <w:tc>
                                <w:tcPr>
                                  <w:tcW w:w="1562" w:type="pct"/>
                                  <w:tcBorders>
                                    <w:top w:val="nil"/>
                                    <w:left w:val="nil"/>
                                    <w:bottom w:val="nil"/>
                                    <w:right w:val="nil"/>
                                  </w:tcBorders>
                                  <w:noWrap/>
                                  <w:hideMark/>
                                </w:tcPr>
                                <w:p w14:paraId="7E4EB5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2C9F99F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1E32F8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3A3968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5D37BC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D3FBED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886AC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3A86AAF3" w14:textId="77777777" w:rsidTr="0014207C">
                              <w:trPr>
                                <w:trHeight w:val="204"/>
                              </w:trPr>
                              <w:tc>
                                <w:tcPr>
                                  <w:tcW w:w="1562" w:type="pct"/>
                                  <w:tcBorders>
                                    <w:top w:val="nil"/>
                                    <w:left w:val="nil"/>
                                    <w:bottom w:val="nil"/>
                                    <w:right w:val="nil"/>
                                  </w:tcBorders>
                                  <w:noWrap/>
                                  <w:hideMark/>
                                </w:tcPr>
                                <w:p w14:paraId="3B0E1A8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Common Stock</w:t>
                                  </w:r>
                                </w:p>
                              </w:tc>
                              <w:tc>
                                <w:tcPr>
                                  <w:tcW w:w="553" w:type="pct"/>
                                  <w:tcBorders>
                                    <w:top w:val="nil"/>
                                    <w:left w:val="nil"/>
                                    <w:bottom w:val="nil"/>
                                    <w:right w:val="nil"/>
                                  </w:tcBorders>
                                  <w:hideMark/>
                                </w:tcPr>
                                <w:p w14:paraId="271DBE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284.0 </w:t>
                                  </w:r>
                                </w:p>
                              </w:tc>
                              <w:tc>
                                <w:tcPr>
                                  <w:tcW w:w="553" w:type="pct"/>
                                  <w:tcBorders>
                                    <w:top w:val="nil"/>
                                    <w:left w:val="nil"/>
                                    <w:bottom w:val="nil"/>
                                    <w:right w:val="nil"/>
                                  </w:tcBorders>
                                  <w:hideMark/>
                                </w:tcPr>
                                <w:p w14:paraId="3B2B038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282.0 </w:t>
                                  </w:r>
                                </w:p>
                              </w:tc>
                              <w:tc>
                                <w:tcPr>
                                  <w:tcW w:w="553" w:type="pct"/>
                                  <w:tcBorders>
                                    <w:top w:val="nil"/>
                                    <w:left w:val="nil"/>
                                    <w:bottom w:val="nil"/>
                                    <w:right w:val="nil"/>
                                  </w:tcBorders>
                                  <w:hideMark/>
                                </w:tcPr>
                                <w:p w14:paraId="7C32DB4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276.0 </w:t>
                                  </w:r>
                                </w:p>
                              </w:tc>
                              <w:tc>
                                <w:tcPr>
                                  <w:tcW w:w="593" w:type="pct"/>
                                  <w:tcBorders>
                                    <w:top w:val="nil"/>
                                    <w:left w:val="nil"/>
                                    <w:bottom w:val="nil"/>
                                    <w:right w:val="nil"/>
                                  </w:tcBorders>
                                  <w:hideMark/>
                                </w:tcPr>
                                <w:p w14:paraId="461259E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808.0 </w:t>
                                  </w:r>
                                </w:p>
                              </w:tc>
                              <w:tc>
                                <w:tcPr>
                                  <w:tcW w:w="593" w:type="pct"/>
                                  <w:tcBorders>
                                    <w:top w:val="nil"/>
                                    <w:left w:val="nil"/>
                                    <w:bottom w:val="nil"/>
                                    <w:right w:val="nil"/>
                                  </w:tcBorders>
                                  <w:hideMark/>
                                </w:tcPr>
                                <w:p w14:paraId="4910C91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805.0 </w:t>
                                  </w:r>
                                </w:p>
                              </w:tc>
                              <w:tc>
                                <w:tcPr>
                                  <w:tcW w:w="593" w:type="pct"/>
                                  <w:tcBorders>
                                    <w:top w:val="nil"/>
                                    <w:left w:val="nil"/>
                                    <w:bottom w:val="nil"/>
                                    <w:right w:val="nil"/>
                                  </w:tcBorders>
                                  <w:hideMark/>
                                </w:tcPr>
                                <w:p w14:paraId="24004C9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802.0 </w:t>
                                  </w:r>
                                </w:p>
                              </w:tc>
                            </w:tr>
                            <w:tr w:rsidR="0014207C" w:rsidRPr="0014207C" w14:paraId="5D7717D4" w14:textId="77777777" w:rsidTr="0014207C">
                              <w:trPr>
                                <w:trHeight w:val="204"/>
                              </w:trPr>
                              <w:tc>
                                <w:tcPr>
                                  <w:tcW w:w="1562" w:type="pct"/>
                                  <w:tcBorders>
                                    <w:top w:val="nil"/>
                                    <w:left w:val="nil"/>
                                    <w:bottom w:val="nil"/>
                                    <w:right w:val="nil"/>
                                  </w:tcBorders>
                                  <w:noWrap/>
                                  <w:hideMark/>
                                </w:tcPr>
                                <w:p w14:paraId="5B58F64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Additional Paid In Capital</w:t>
                                  </w:r>
                                </w:p>
                              </w:tc>
                              <w:tc>
                                <w:tcPr>
                                  <w:tcW w:w="553" w:type="pct"/>
                                  <w:tcBorders>
                                    <w:top w:val="nil"/>
                                    <w:left w:val="nil"/>
                                    <w:bottom w:val="nil"/>
                                    <w:right w:val="nil"/>
                                  </w:tcBorders>
                                  <w:hideMark/>
                                </w:tcPr>
                                <w:p w14:paraId="7EEDF9D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3,247.0 </w:t>
                                  </w:r>
                                </w:p>
                              </w:tc>
                              <w:tc>
                                <w:tcPr>
                                  <w:tcW w:w="553" w:type="pct"/>
                                  <w:tcBorders>
                                    <w:top w:val="nil"/>
                                    <w:left w:val="nil"/>
                                    <w:bottom w:val="nil"/>
                                    <w:right w:val="nil"/>
                                  </w:tcBorders>
                                  <w:hideMark/>
                                </w:tcPr>
                                <w:p w14:paraId="0A97398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3,646.0 </w:t>
                                  </w:r>
                                </w:p>
                              </w:tc>
                              <w:tc>
                                <w:tcPr>
                                  <w:tcW w:w="553" w:type="pct"/>
                                  <w:tcBorders>
                                    <w:top w:val="nil"/>
                                    <w:left w:val="nil"/>
                                    <w:bottom w:val="nil"/>
                                    <w:right w:val="nil"/>
                                  </w:tcBorders>
                                  <w:hideMark/>
                                </w:tcPr>
                                <w:p w14:paraId="6685AF8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4,839.0 </w:t>
                                  </w:r>
                                </w:p>
                              </w:tc>
                              <w:tc>
                                <w:tcPr>
                                  <w:tcW w:w="593" w:type="pct"/>
                                  <w:tcBorders>
                                    <w:top w:val="nil"/>
                                    <w:left w:val="nil"/>
                                    <w:bottom w:val="nil"/>
                                    <w:right w:val="nil"/>
                                  </w:tcBorders>
                                  <w:hideMark/>
                                </w:tcPr>
                                <w:p w14:paraId="31AC9C1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4,430.0 </w:t>
                                  </w:r>
                                </w:p>
                              </w:tc>
                              <w:tc>
                                <w:tcPr>
                                  <w:tcW w:w="593" w:type="pct"/>
                                  <w:tcBorders>
                                    <w:top w:val="nil"/>
                                    <w:left w:val="nil"/>
                                    <w:bottom w:val="nil"/>
                                    <w:right w:val="nil"/>
                                  </w:tcBorders>
                                  <w:hideMark/>
                                </w:tcPr>
                                <w:p w14:paraId="45EC55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4,544.0 </w:t>
                                  </w:r>
                                </w:p>
                              </w:tc>
                              <w:tc>
                                <w:tcPr>
                                  <w:tcW w:w="593" w:type="pct"/>
                                  <w:tcBorders>
                                    <w:top w:val="nil"/>
                                    <w:left w:val="nil"/>
                                    <w:bottom w:val="nil"/>
                                    <w:right w:val="nil"/>
                                  </w:tcBorders>
                                  <w:hideMark/>
                                </w:tcPr>
                                <w:p w14:paraId="169140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5,503.0 </w:t>
                                  </w:r>
                                </w:p>
                              </w:tc>
                            </w:tr>
                            <w:tr w:rsidR="0014207C" w:rsidRPr="0014207C" w14:paraId="300EB1FE" w14:textId="77777777" w:rsidTr="0014207C">
                              <w:trPr>
                                <w:trHeight w:val="204"/>
                              </w:trPr>
                              <w:tc>
                                <w:tcPr>
                                  <w:tcW w:w="1562" w:type="pct"/>
                                  <w:tcBorders>
                                    <w:top w:val="nil"/>
                                    <w:left w:val="nil"/>
                                    <w:bottom w:val="nil"/>
                                    <w:right w:val="nil"/>
                                  </w:tcBorders>
                                  <w:noWrap/>
                                  <w:hideMark/>
                                </w:tcPr>
                                <w:p w14:paraId="3CDA0BC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Retained Earnings</w:t>
                                  </w:r>
                                </w:p>
                              </w:tc>
                              <w:tc>
                                <w:tcPr>
                                  <w:tcW w:w="553" w:type="pct"/>
                                  <w:tcBorders>
                                    <w:top w:val="nil"/>
                                    <w:left w:val="nil"/>
                                    <w:bottom w:val="nil"/>
                                    <w:right w:val="nil"/>
                                  </w:tcBorders>
                                  <w:hideMark/>
                                </w:tcPr>
                                <w:p w14:paraId="1402195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83,943.0 </w:t>
                                  </w:r>
                                </w:p>
                              </w:tc>
                              <w:tc>
                                <w:tcPr>
                                  <w:tcW w:w="553" w:type="pct"/>
                                  <w:tcBorders>
                                    <w:top w:val="nil"/>
                                    <w:left w:val="nil"/>
                                    <w:bottom w:val="nil"/>
                                    <w:right w:val="nil"/>
                                  </w:tcBorders>
                                  <w:hideMark/>
                                </w:tcPr>
                                <w:p w14:paraId="2F9244B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88,763.0 </w:t>
                                  </w:r>
                                </w:p>
                              </w:tc>
                              <w:tc>
                                <w:tcPr>
                                  <w:tcW w:w="553" w:type="pct"/>
                                  <w:tcBorders>
                                    <w:top w:val="nil"/>
                                    <w:left w:val="nil"/>
                                    <w:bottom w:val="nil"/>
                                    <w:right w:val="nil"/>
                                  </w:tcBorders>
                                  <w:hideMark/>
                                </w:tcPr>
                                <w:p w14:paraId="196215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86,904.0 </w:t>
                                  </w:r>
                                </w:p>
                              </w:tc>
                              <w:tc>
                                <w:tcPr>
                                  <w:tcW w:w="593" w:type="pct"/>
                                  <w:tcBorders>
                                    <w:top w:val="nil"/>
                                    <w:left w:val="nil"/>
                                    <w:bottom w:val="nil"/>
                                    <w:right w:val="nil"/>
                                  </w:tcBorders>
                                  <w:hideMark/>
                                </w:tcPr>
                                <w:p w14:paraId="62D978A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83,135.0 </w:t>
                                  </w:r>
                                </w:p>
                              </w:tc>
                              <w:tc>
                                <w:tcPr>
                                  <w:tcW w:w="593" w:type="pct"/>
                                  <w:tcBorders>
                                    <w:top w:val="nil"/>
                                    <w:left w:val="nil"/>
                                    <w:bottom w:val="nil"/>
                                    <w:right w:val="nil"/>
                                  </w:tcBorders>
                                  <w:hideMark/>
                                </w:tcPr>
                                <w:p w14:paraId="4BF78F6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89,814.0 </w:t>
                                  </w:r>
                                </w:p>
                              </w:tc>
                              <w:tc>
                                <w:tcPr>
                                  <w:tcW w:w="593" w:type="pct"/>
                                  <w:tcBorders>
                                    <w:top w:val="nil"/>
                                    <w:left w:val="nil"/>
                                    <w:bottom w:val="nil"/>
                                    <w:right w:val="nil"/>
                                  </w:tcBorders>
                                  <w:hideMark/>
                                </w:tcPr>
                                <w:p w14:paraId="7344C38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98,313.0 </w:t>
                                  </w:r>
                                </w:p>
                              </w:tc>
                            </w:tr>
                            <w:tr w:rsidR="0014207C" w:rsidRPr="0014207C" w14:paraId="2FE9DBF1" w14:textId="77777777" w:rsidTr="0014207C">
                              <w:trPr>
                                <w:trHeight w:val="204"/>
                              </w:trPr>
                              <w:tc>
                                <w:tcPr>
                                  <w:tcW w:w="1562" w:type="pct"/>
                                  <w:tcBorders>
                                    <w:top w:val="nil"/>
                                    <w:left w:val="nil"/>
                                    <w:bottom w:val="nil"/>
                                    <w:right w:val="nil"/>
                                  </w:tcBorders>
                                  <w:noWrap/>
                                  <w:hideMark/>
                                </w:tcPr>
                                <w:p w14:paraId="3ECF38E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Treasury Stock</w:t>
                                  </w:r>
                                </w:p>
                              </w:tc>
                              <w:tc>
                                <w:tcPr>
                                  <w:tcW w:w="553" w:type="pct"/>
                                  <w:tcBorders>
                                    <w:top w:val="nil"/>
                                    <w:left w:val="nil"/>
                                    <w:bottom w:val="nil"/>
                                    <w:right w:val="nil"/>
                                  </w:tcBorders>
                                  <w:hideMark/>
                                </w:tcPr>
                                <w:p w14:paraId="2EC722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287429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0B567C0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0FE129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4BF78C9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72D9FD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849CC1" w14:textId="77777777" w:rsidTr="0014207C">
                              <w:trPr>
                                <w:trHeight w:val="204"/>
                              </w:trPr>
                              <w:tc>
                                <w:tcPr>
                                  <w:tcW w:w="1562" w:type="pct"/>
                                  <w:tcBorders>
                                    <w:top w:val="nil"/>
                                    <w:left w:val="nil"/>
                                    <w:bottom w:val="nil"/>
                                    <w:right w:val="nil"/>
                                  </w:tcBorders>
                                  <w:noWrap/>
                                  <w:hideMark/>
                                </w:tcPr>
                                <w:p w14:paraId="39A770D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Comprehensive Inc. and Other</w:t>
                                  </w:r>
                                </w:p>
                              </w:tc>
                              <w:tc>
                                <w:tcPr>
                                  <w:tcW w:w="553" w:type="pct"/>
                                  <w:tcBorders>
                                    <w:top w:val="nil"/>
                                    <w:left w:val="nil"/>
                                    <w:bottom w:val="nil"/>
                                    <w:right w:val="nil"/>
                                  </w:tcBorders>
                                  <w:hideMark/>
                                </w:tcPr>
                                <w:p w14:paraId="679FA13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(12,805.0)  </w:t>
                                  </w:r>
                                </w:p>
                              </w:tc>
                              <w:tc>
                                <w:tcPr>
                                  <w:tcW w:w="553" w:type="pct"/>
                                  <w:tcBorders>
                                    <w:top w:val="nil"/>
                                    <w:left w:val="nil"/>
                                    <w:bottom w:val="nil"/>
                                    <w:right w:val="nil"/>
                                  </w:tcBorders>
                                  <w:hideMark/>
                                </w:tcPr>
                                <w:p w14:paraId="71F9C4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(11,766.0)  </w:t>
                                  </w:r>
                                </w:p>
                              </w:tc>
                              <w:tc>
                                <w:tcPr>
                                  <w:tcW w:w="553" w:type="pct"/>
                                  <w:tcBorders>
                                    <w:top w:val="nil"/>
                                    <w:left w:val="nil"/>
                                    <w:bottom w:val="nil"/>
                                    <w:right w:val="nil"/>
                                  </w:tcBorders>
                                  <w:hideMark/>
                                </w:tcPr>
                                <w:p w14:paraId="1602C12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(8,766.0)  </w:t>
                                  </w:r>
                                </w:p>
                              </w:tc>
                              <w:tc>
                                <w:tcPr>
                                  <w:tcW w:w="593" w:type="pct"/>
                                  <w:tcBorders>
                                    <w:top w:val="nil"/>
                                    <w:left w:val="nil"/>
                                    <w:bottom w:val="nil"/>
                                    <w:right w:val="nil"/>
                                  </w:tcBorders>
                                  <w:hideMark/>
                                </w:tcPr>
                                <w:p w14:paraId="02B8F81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(11,680.0)  </w:t>
                                  </w:r>
                                </w:p>
                              </w:tc>
                              <w:tc>
                                <w:tcPr>
                                  <w:tcW w:w="593" w:type="pct"/>
                                  <w:tcBorders>
                                    <w:top w:val="nil"/>
                                    <w:left w:val="nil"/>
                                    <w:bottom w:val="nil"/>
                                    <w:right w:val="nil"/>
                                  </w:tcBorders>
                                  <w:hideMark/>
                                </w:tcPr>
                                <w:p w14:paraId="0D118A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(11,302.0)  </w:t>
                                  </w:r>
                                </w:p>
                              </w:tc>
                              <w:tc>
                                <w:tcPr>
                                  <w:tcW w:w="593" w:type="pct"/>
                                  <w:tcBorders>
                                    <w:top w:val="nil"/>
                                    <w:left w:val="nil"/>
                                    <w:bottom w:val="nil"/>
                                    <w:right w:val="nil"/>
                                  </w:tcBorders>
                                  <w:hideMark/>
                                </w:tcPr>
                                <w:p w14:paraId="74FC3B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(13,605.0)  </w:t>
                                  </w:r>
                                </w:p>
                              </w:tc>
                            </w:tr>
                            <w:tr w:rsidR="0014207C" w:rsidRPr="0014207C" w14:paraId="1EFFF6F9" w14:textId="77777777" w:rsidTr="0014207C">
                              <w:trPr>
                                <w:trHeight w:val="204"/>
                              </w:trPr>
                              <w:tc>
                                <w:tcPr>
                                  <w:tcW w:w="1562" w:type="pct"/>
                                  <w:tcBorders>
                                    <w:top w:val="nil"/>
                                    <w:left w:val="nil"/>
                                    <w:bottom w:val="nil"/>
                                    <w:right w:val="nil"/>
                                  </w:tcBorders>
                                  <w:noWrap/>
                                  <w:hideMark/>
                                </w:tcPr>
                                <w:p w14:paraId="797E3FE6"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Common Equity</w:t>
                                  </w:r>
                                </w:p>
                              </w:tc>
                              <w:tc>
                                <w:tcPr>
                                  <w:tcW w:w="553" w:type="pct"/>
                                  <w:tcBorders>
                                    <w:top w:val="single" w:sz="4" w:space="0" w:color="000000"/>
                                    <w:left w:val="nil"/>
                                    <w:bottom w:val="nil"/>
                                    <w:right w:val="nil"/>
                                  </w:tcBorders>
                                  <w:hideMark/>
                                </w:tcPr>
                                <w:p w14:paraId="7B6645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74,669.0 </w:t>
                                  </w:r>
                                </w:p>
                              </w:tc>
                              <w:tc>
                                <w:tcPr>
                                  <w:tcW w:w="553" w:type="pct"/>
                                  <w:tcBorders>
                                    <w:top w:val="single" w:sz="4" w:space="0" w:color="000000"/>
                                    <w:left w:val="nil"/>
                                    <w:bottom w:val="nil"/>
                                    <w:right w:val="nil"/>
                                  </w:tcBorders>
                                  <w:hideMark/>
                                </w:tcPr>
                                <w:p w14:paraId="1D8CDAA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80,925.0 </w:t>
                                  </w:r>
                                </w:p>
                              </w:tc>
                              <w:tc>
                                <w:tcPr>
                                  <w:tcW w:w="553" w:type="pct"/>
                                  <w:tcBorders>
                                    <w:top w:val="single" w:sz="4" w:space="0" w:color="000000"/>
                                    <w:left w:val="nil"/>
                                    <w:bottom w:val="nil"/>
                                    <w:right w:val="nil"/>
                                  </w:tcBorders>
                                  <w:hideMark/>
                                </w:tcPr>
                                <w:p w14:paraId="3FAC8DB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83,253.0 </w:t>
                                  </w:r>
                                </w:p>
                              </w:tc>
                              <w:tc>
                                <w:tcPr>
                                  <w:tcW w:w="593" w:type="pct"/>
                                  <w:tcBorders>
                                    <w:top w:val="single" w:sz="4" w:space="0" w:color="000000"/>
                                    <w:left w:val="nil"/>
                                    <w:bottom w:val="nil"/>
                                    <w:right w:val="nil"/>
                                  </w:tcBorders>
                                  <w:hideMark/>
                                </w:tcPr>
                                <w:p w14:paraId="59C63C1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76,693.0 </w:t>
                                  </w:r>
                                </w:p>
                              </w:tc>
                              <w:tc>
                                <w:tcPr>
                                  <w:tcW w:w="593" w:type="pct"/>
                                  <w:tcBorders>
                                    <w:top w:val="single" w:sz="4" w:space="0" w:color="000000"/>
                                    <w:left w:val="nil"/>
                                    <w:bottom w:val="nil"/>
                                    <w:right w:val="nil"/>
                                  </w:tcBorders>
                                  <w:hideMark/>
                                </w:tcPr>
                                <w:p w14:paraId="24FB18B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83,861.0 </w:t>
                                  </w:r>
                                </w:p>
                              </w:tc>
                              <w:tc>
                                <w:tcPr>
                                  <w:tcW w:w="593" w:type="pct"/>
                                  <w:tcBorders>
                                    <w:top w:val="single" w:sz="4" w:space="0" w:color="000000"/>
                                    <w:left w:val="nil"/>
                                    <w:bottom w:val="nil"/>
                                    <w:right w:val="nil"/>
                                  </w:tcBorders>
                                  <w:hideMark/>
                                </w:tcPr>
                                <w:p w14:paraId="4FEF00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91,013.0 </w:t>
                                  </w:r>
                                </w:p>
                              </w:tc>
                            </w:tr>
                            <w:tr w:rsidR="0014207C" w:rsidRPr="0014207C" w14:paraId="480B2658" w14:textId="77777777" w:rsidTr="0014207C">
                              <w:trPr>
                                <w:trHeight w:val="204"/>
                              </w:trPr>
                              <w:tc>
                                <w:tcPr>
                                  <w:tcW w:w="1562" w:type="pct"/>
                                  <w:tcBorders>
                                    <w:top w:val="nil"/>
                                    <w:left w:val="nil"/>
                                    <w:bottom w:val="nil"/>
                                    <w:right w:val="nil"/>
                                  </w:tcBorders>
                                  <w:noWrap/>
                                  <w:hideMark/>
                                </w:tcPr>
                                <w:p w14:paraId="5CB2712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44AB653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7E57DC5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BAC766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724833C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6F8112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5B691F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D68274C" w14:textId="77777777" w:rsidTr="0014207C">
                              <w:trPr>
                                <w:trHeight w:val="204"/>
                              </w:trPr>
                              <w:tc>
                                <w:tcPr>
                                  <w:tcW w:w="1562" w:type="pct"/>
                                  <w:tcBorders>
                                    <w:top w:val="nil"/>
                                    <w:left w:val="nil"/>
                                    <w:bottom w:val="nil"/>
                                    <w:right w:val="nil"/>
                                  </w:tcBorders>
                                  <w:noWrap/>
                                  <w:hideMark/>
                                </w:tcPr>
                                <w:p w14:paraId="6ECAE7D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Minority Interest</w:t>
                                  </w:r>
                                </w:p>
                              </w:tc>
                              <w:tc>
                                <w:tcPr>
                                  <w:tcW w:w="553" w:type="pct"/>
                                  <w:tcBorders>
                                    <w:top w:val="nil"/>
                                    <w:left w:val="nil"/>
                                    <w:bottom w:val="nil"/>
                                    <w:right w:val="nil"/>
                                  </w:tcBorders>
                                  <w:hideMark/>
                                </w:tcPr>
                                <w:p w14:paraId="792D16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6,883.0 </w:t>
                                  </w:r>
                                </w:p>
                              </w:tc>
                              <w:tc>
                                <w:tcPr>
                                  <w:tcW w:w="553" w:type="pct"/>
                                  <w:tcBorders>
                                    <w:top w:val="nil"/>
                                    <w:left w:val="nil"/>
                                    <w:bottom w:val="nil"/>
                                    <w:right w:val="nil"/>
                                  </w:tcBorders>
                                  <w:hideMark/>
                                </w:tcPr>
                                <w:p w14:paraId="51B9560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6,606.0 </w:t>
                                  </w:r>
                                </w:p>
                              </w:tc>
                              <w:tc>
                                <w:tcPr>
                                  <w:tcW w:w="553" w:type="pct"/>
                                  <w:tcBorders>
                                    <w:top w:val="nil"/>
                                    <w:left w:val="nil"/>
                                    <w:bottom w:val="nil"/>
                                    <w:right w:val="nil"/>
                                  </w:tcBorders>
                                  <w:hideMark/>
                                </w:tcPr>
                                <w:p w14:paraId="4E25361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8,638.0 </w:t>
                                  </w:r>
                                </w:p>
                              </w:tc>
                              <w:tc>
                                <w:tcPr>
                                  <w:tcW w:w="593" w:type="pct"/>
                                  <w:tcBorders>
                                    <w:top w:val="nil"/>
                                    <w:left w:val="nil"/>
                                    <w:bottom w:val="nil"/>
                                    <w:right w:val="nil"/>
                                  </w:tcBorders>
                                  <w:hideMark/>
                                </w:tcPr>
                                <w:p w14:paraId="0499B08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7,298.0 </w:t>
                                  </w:r>
                                </w:p>
                              </w:tc>
                              <w:tc>
                                <w:tcPr>
                                  <w:tcW w:w="593" w:type="pct"/>
                                  <w:tcBorders>
                                    <w:top w:val="nil"/>
                                    <w:left w:val="nil"/>
                                    <w:bottom w:val="nil"/>
                                    <w:right w:val="nil"/>
                                  </w:tcBorders>
                                  <w:hideMark/>
                                </w:tcPr>
                                <w:p w14:paraId="17161B8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6,710.0 </w:t>
                                  </w:r>
                                </w:p>
                              </w:tc>
                              <w:tc>
                                <w:tcPr>
                                  <w:tcW w:w="593" w:type="pct"/>
                                  <w:tcBorders>
                                    <w:top w:val="nil"/>
                                    <w:left w:val="nil"/>
                                    <w:bottom w:val="nil"/>
                                    <w:right w:val="nil"/>
                                  </w:tcBorders>
                                  <w:hideMark/>
                                </w:tcPr>
                                <w:p w14:paraId="462A3C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6,679.0 </w:t>
                                  </w:r>
                                </w:p>
                              </w:tc>
                            </w:tr>
                            <w:tr w:rsidR="0014207C" w:rsidRPr="0014207C" w14:paraId="3677144B" w14:textId="77777777" w:rsidTr="0014207C">
                              <w:trPr>
                                <w:trHeight w:val="204"/>
                              </w:trPr>
                              <w:tc>
                                <w:tcPr>
                                  <w:tcW w:w="1562" w:type="pct"/>
                                  <w:tcBorders>
                                    <w:top w:val="nil"/>
                                    <w:left w:val="nil"/>
                                    <w:bottom w:val="nil"/>
                                    <w:right w:val="nil"/>
                                  </w:tcBorders>
                                  <w:noWrap/>
                                  <w:hideMark/>
                                </w:tcPr>
                                <w:p w14:paraId="7FB8813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p>
                              </w:tc>
                              <w:tc>
                                <w:tcPr>
                                  <w:tcW w:w="553" w:type="pct"/>
                                  <w:tcBorders>
                                    <w:top w:val="nil"/>
                                    <w:left w:val="nil"/>
                                    <w:bottom w:val="nil"/>
                                    <w:right w:val="nil"/>
                                  </w:tcBorders>
                                  <w:noWrap/>
                                  <w:hideMark/>
                                </w:tcPr>
                                <w:p w14:paraId="64434AA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493600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4D8B0D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804BA9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877EDB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BE6F5F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5898B4A" w14:textId="77777777" w:rsidTr="0014207C">
                              <w:trPr>
                                <w:trHeight w:val="204"/>
                              </w:trPr>
                              <w:tc>
                                <w:tcPr>
                                  <w:tcW w:w="1562" w:type="pct"/>
                                  <w:tcBorders>
                                    <w:top w:val="nil"/>
                                    <w:left w:val="nil"/>
                                    <w:bottom w:val="nil"/>
                                    <w:right w:val="nil"/>
                                  </w:tcBorders>
                                  <w:noWrap/>
                                  <w:hideMark/>
                                </w:tcPr>
                                <w:p w14:paraId="11525BF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Equity</w:t>
                                  </w:r>
                                </w:p>
                              </w:tc>
                              <w:tc>
                                <w:tcPr>
                                  <w:tcW w:w="553" w:type="pct"/>
                                  <w:tcBorders>
                                    <w:top w:val="nil"/>
                                    <w:left w:val="nil"/>
                                    <w:bottom w:val="nil"/>
                                    <w:right w:val="nil"/>
                                  </w:tcBorders>
                                  <w:hideMark/>
                                </w:tcPr>
                                <w:p w14:paraId="1F9FAB1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81,552.0 </w:t>
                                  </w:r>
                                </w:p>
                              </w:tc>
                              <w:tc>
                                <w:tcPr>
                                  <w:tcW w:w="553" w:type="pct"/>
                                  <w:tcBorders>
                                    <w:top w:val="nil"/>
                                    <w:left w:val="nil"/>
                                    <w:bottom w:val="nil"/>
                                    <w:right w:val="nil"/>
                                  </w:tcBorders>
                                  <w:hideMark/>
                                </w:tcPr>
                                <w:p w14:paraId="4B7445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87,531.0 </w:t>
                                  </w:r>
                                </w:p>
                              </w:tc>
                              <w:tc>
                                <w:tcPr>
                                  <w:tcW w:w="553" w:type="pct"/>
                                  <w:tcBorders>
                                    <w:top w:val="nil"/>
                                    <w:left w:val="nil"/>
                                    <w:bottom w:val="nil"/>
                                    <w:right w:val="nil"/>
                                  </w:tcBorders>
                                  <w:hideMark/>
                                </w:tcPr>
                                <w:p w14:paraId="46A7F57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91,891.0 </w:t>
                                  </w:r>
                                </w:p>
                              </w:tc>
                              <w:tc>
                                <w:tcPr>
                                  <w:tcW w:w="593" w:type="pct"/>
                                  <w:tcBorders>
                                    <w:top w:val="nil"/>
                                    <w:left w:val="nil"/>
                                    <w:bottom w:val="nil"/>
                                    <w:right w:val="nil"/>
                                  </w:tcBorders>
                                  <w:hideMark/>
                                </w:tcPr>
                                <w:p w14:paraId="34809E1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83,991.0 </w:t>
                                  </w:r>
                                </w:p>
                              </w:tc>
                              <w:tc>
                                <w:tcPr>
                                  <w:tcW w:w="593" w:type="pct"/>
                                  <w:tcBorders>
                                    <w:top w:val="nil"/>
                                    <w:left w:val="nil"/>
                                    <w:bottom w:val="nil"/>
                                    <w:right w:val="nil"/>
                                  </w:tcBorders>
                                  <w:hideMark/>
                                </w:tcPr>
                                <w:p w14:paraId="453D934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90,571.0 </w:t>
                                  </w:r>
                                </w:p>
                              </w:tc>
                              <w:tc>
                                <w:tcPr>
                                  <w:tcW w:w="593" w:type="pct"/>
                                  <w:tcBorders>
                                    <w:top w:val="nil"/>
                                    <w:left w:val="nil"/>
                                    <w:bottom w:val="nil"/>
                                    <w:right w:val="nil"/>
                                  </w:tcBorders>
                                  <w:hideMark/>
                                </w:tcPr>
                                <w:p w14:paraId="6646CF3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97,692.0 </w:t>
                                  </w:r>
                                </w:p>
                              </w:tc>
                            </w:tr>
                            <w:tr w:rsidR="0014207C" w:rsidRPr="0014207C" w14:paraId="0F36A9B4" w14:textId="77777777" w:rsidTr="0014207C">
                              <w:trPr>
                                <w:trHeight w:val="204"/>
                              </w:trPr>
                              <w:tc>
                                <w:tcPr>
                                  <w:tcW w:w="1562" w:type="pct"/>
                                  <w:tcBorders>
                                    <w:top w:val="nil"/>
                                    <w:left w:val="nil"/>
                                    <w:bottom w:val="nil"/>
                                    <w:right w:val="nil"/>
                                  </w:tcBorders>
                                  <w:noWrap/>
                                  <w:hideMark/>
                                </w:tcPr>
                                <w:p w14:paraId="48B162D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p>
                              </w:tc>
                              <w:tc>
                                <w:tcPr>
                                  <w:tcW w:w="553" w:type="pct"/>
                                  <w:tcBorders>
                                    <w:top w:val="nil"/>
                                    <w:left w:val="nil"/>
                                    <w:bottom w:val="nil"/>
                                    <w:right w:val="nil"/>
                                  </w:tcBorders>
                                  <w:noWrap/>
                                  <w:hideMark/>
                                </w:tcPr>
                                <w:p w14:paraId="5829741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958B4E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B220F5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4B3404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BB54B7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51C069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65B0FAEC" w14:textId="77777777" w:rsidTr="0014207C">
                              <w:trPr>
                                <w:trHeight w:val="204"/>
                              </w:trPr>
                              <w:tc>
                                <w:tcPr>
                                  <w:tcW w:w="1562" w:type="pct"/>
                                  <w:tcBorders>
                                    <w:top w:val="nil"/>
                                    <w:left w:val="nil"/>
                                    <w:bottom w:val="nil"/>
                                    <w:right w:val="nil"/>
                                  </w:tcBorders>
                                  <w:noWrap/>
                                  <w:hideMark/>
                                </w:tcPr>
                                <w:p w14:paraId="3F190AC0" w14:textId="7F1E20A9"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Total Liabilities </w:t>
                                  </w:r>
                                  <w:r w:rsidR="008970CB" w:rsidRPr="0014207C">
                                    <w:rPr>
                                      <w:rFonts w:ascii="Cambria" w:eastAsia="Times New Roman" w:hAnsi="Cambria" w:cs="Arial"/>
                                      <w:b/>
                                      <w:bCs/>
                                      <w:color w:val="000000"/>
                                      <w:kern w:val="0"/>
                                      <w:sz w:val="14"/>
                                      <w:szCs w:val="14"/>
                                      <w:lang w:eastAsia="en-IN"/>
                                      <w14:ligatures w14:val="none"/>
                                    </w:rPr>
                                    <w:t>and</w:t>
                                  </w:r>
                                  <w:r w:rsidRPr="0014207C">
                                    <w:rPr>
                                      <w:rFonts w:ascii="Cambria" w:eastAsia="Times New Roman" w:hAnsi="Cambria" w:cs="Arial"/>
                                      <w:b/>
                                      <w:bCs/>
                                      <w:color w:val="000000"/>
                                      <w:kern w:val="0"/>
                                      <w:sz w:val="14"/>
                                      <w:szCs w:val="14"/>
                                      <w:lang w:eastAsia="en-IN"/>
                                      <w14:ligatures w14:val="none"/>
                                    </w:rPr>
                                    <w:t xml:space="preserve"> Equity</w:t>
                                  </w:r>
                                </w:p>
                              </w:tc>
                              <w:tc>
                                <w:tcPr>
                                  <w:tcW w:w="553" w:type="pct"/>
                                  <w:tcBorders>
                                    <w:top w:val="nil"/>
                                    <w:left w:val="nil"/>
                                    <w:bottom w:val="nil"/>
                                    <w:right w:val="nil"/>
                                  </w:tcBorders>
                                  <w:hideMark/>
                                </w:tcPr>
                                <w:p w14:paraId="3EBE2F9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236,495.0 </w:t>
                                  </w:r>
                                </w:p>
                              </w:tc>
                              <w:tc>
                                <w:tcPr>
                                  <w:tcW w:w="553" w:type="pct"/>
                                  <w:tcBorders>
                                    <w:top w:val="nil"/>
                                    <w:left w:val="nil"/>
                                    <w:bottom w:val="nil"/>
                                    <w:right w:val="nil"/>
                                  </w:tcBorders>
                                  <w:hideMark/>
                                </w:tcPr>
                                <w:p w14:paraId="21352E9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252,496.0 </w:t>
                                  </w:r>
                                </w:p>
                              </w:tc>
                              <w:tc>
                                <w:tcPr>
                                  <w:tcW w:w="553" w:type="pct"/>
                                  <w:tcBorders>
                                    <w:top w:val="nil"/>
                                    <w:left w:val="nil"/>
                                    <w:bottom w:val="nil"/>
                                    <w:right w:val="nil"/>
                                  </w:tcBorders>
                                  <w:hideMark/>
                                </w:tcPr>
                                <w:p w14:paraId="104841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244,860.0 </w:t>
                                  </w:r>
                                </w:p>
                              </w:tc>
                              <w:tc>
                                <w:tcPr>
                                  <w:tcW w:w="593" w:type="pct"/>
                                  <w:tcBorders>
                                    <w:top w:val="nil"/>
                                    <w:left w:val="nil"/>
                                    <w:bottom w:val="nil"/>
                                    <w:right w:val="nil"/>
                                  </w:tcBorders>
                                  <w:hideMark/>
                                </w:tcPr>
                                <w:p w14:paraId="3F0C4AE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243,197.0 </w:t>
                                  </w:r>
                                </w:p>
                              </w:tc>
                              <w:tc>
                                <w:tcPr>
                                  <w:tcW w:w="593" w:type="pct"/>
                                  <w:tcBorders>
                                    <w:top w:val="nil"/>
                                    <w:left w:val="nil"/>
                                    <w:bottom w:val="nil"/>
                                    <w:right w:val="nil"/>
                                  </w:tcBorders>
                                  <w:hideMark/>
                                </w:tcPr>
                                <w:p w14:paraId="55A1B36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252,399.0 </w:t>
                                  </w:r>
                                </w:p>
                              </w:tc>
                              <w:tc>
                                <w:tcPr>
                                  <w:tcW w:w="593" w:type="pct"/>
                                  <w:tcBorders>
                                    <w:top w:val="nil"/>
                                    <w:left w:val="nil"/>
                                    <w:bottom w:val="nil"/>
                                    <w:right w:val="nil"/>
                                  </w:tcBorders>
                                  <w:hideMark/>
                                </w:tcPr>
                                <w:p w14:paraId="376CD84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260,823.0 </w:t>
                                  </w:r>
                                </w:p>
                              </w:tc>
                            </w:tr>
                          </w:tbl>
                          <w:p w14:paraId="3ECD94BA" w14:textId="771FD1AC" w:rsidR="0014207C" w:rsidRDefault="001420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10719" id="_x0000_s1049" type="#_x0000_t202" style="position:absolute;left:0;text-align:left;margin-left:0;margin-top:0;width:7in;height:110.6pt;z-index:251708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" filled="f" stroked="f">
                <v:textbox style="mso-fit-shape-to-text:t">
                  <w:txbxContent>
                    <w:tbl>
                      <w:tblPr>
                        <w:tblW w:w="5000" w:type="pct"/>
                        <w:tblLook w:val="04A0" w:firstRow="1" w:lastRow="0" w:firstColumn="1" w:lastColumn="0" w:noHBand="0" w:noVBand="1"/>
                      </w:tblPr>
                      <w:tblGrid>
                        <w:gridCol w:w="3060"/>
                        <w:gridCol w:w="1084"/>
                        <w:gridCol w:w="1083"/>
                        <w:gridCol w:w="1083"/>
                        <w:gridCol w:w="1161"/>
                        <w:gridCol w:w="1161"/>
                        <w:gridCol w:w="1161"/>
                      </w:tblGrid>
                      <w:tr w:rsidR="0014207C" w:rsidRPr="0014207C" w14:paraId="54E0E0D5" w14:textId="77777777" w:rsidTr="0014207C">
                        <w:trPr>
                          <w:trHeight w:val="204"/>
                        </w:trPr>
                        <w:tc>
                          <w:tcPr>
                            <w:tcW w:w="2667" w:type="pct"/>
                            <w:gridSpan w:val="3"/>
                            <w:tcBorders>
                              <w:top w:val="nil"/>
                              <w:left w:val="nil"/>
                              <w:bottom w:val="nil"/>
                              <w:right w:val="nil"/>
                            </w:tcBorders>
                            <w:noWrap/>
                            <w:vAlign w:val="bottom"/>
                            <w:hideMark/>
                          </w:tcPr>
                          <w:p w14:paraId="3C8692D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Walmart Inc. (</w:t>
                            </w:r>
                            <w:r w:rsidRPr="0014207C">
                              <w:rPr>
                                <w:rFonts w:ascii="Cambria" w:eastAsia="Times New Roman" w:hAnsi="Cambria" w:cs="Arial"/>
                                <w:b/>
                                <w:bCs/>
                                <w:color w:val="000000"/>
                                <w:kern w:val="0"/>
                                <w:sz w:val="14"/>
                                <w:szCs w:val="14"/>
                                <w:lang w:eastAsia="en-IN"/>
                                <w14:ligatures w14:val="none"/>
                              </w:rPr>
                              <w:t>NYSE:WMT) &gt; Financials &gt; Balance Sheet</w:t>
                            </w:r>
                          </w:p>
                        </w:tc>
                        <w:tc>
                          <w:tcPr>
                            <w:tcW w:w="553" w:type="pct"/>
                            <w:tcBorders>
                              <w:top w:val="nil"/>
                              <w:left w:val="nil"/>
                              <w:bottom w:val="nil"/>
                              <w:right w:val="nil"/>
                            </w:tcBorders>
                            <w:noWrap/>
                            <w:vAlign w:val="bottom"/>
                            <w:hideMark/>
                          </w:tcPr>
                          <w:p w14:paraId="11BB59BC"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93" w:type="pct"/>
                            <w:tcBorders>
                              <w:top w:val="nil"/>
                              <w:left w:val="nil"/>
                              <w:bottom w:val="nil"/>
                              <w:right w:val="nil"/>
                            </w:tcBorders>
                            <w:noWrap/>
                            <w:vAlign w:val="bottom"/>
                            <w:hideMark/>
                          </w:tcPr>
                          <w:p w14:paraId="5B6E33C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vAlign w:val="bottom"/>
                            <w:hideMark/>
                          </w:tcPr>
                          <w:p w14:paraId="2DC6034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vAlign w:val="bottom"/>
                            <w:hideMark/>
                          </w:tcPr>
                          <w:p w14:paraId="2078C9C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F72704E" w14:textId="77777777" w:rsidTr="0014207C">
                        <w:trPr>
                          <w:trHeight w:val="204"/>
                        </w:trPr>
                        <w:tc>
                          <w:tcPr>
                            <w:tcW w:w="1562" w:type="pct"/>
                            <w:tcBorders>
                              <w:top w:val="nil"/>
                              <w:left w:val="nil"/>
                              <w:bottom w:val="nil"/>
                              <w:right w:val="nil"/>
                            </w:tcBorders>
                            <w:shd w:val="clear" w:color="000000" w:fill="003366"/>
                            <w:noWrap/>
                            <w:vAlign w:val="bottom"/>
                            <w:hideMark/>
                          </w:tcPr>
                          <w:p w14:paraId="521E1E8C"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Balance Sheet</w:t>
                            </w:r>
                          </w:p>
                        </w:tc>
                        <w:tc>
                          <w:tcPr>
                            <w:tcW w:w="553" w:type="pct"/>
                            <w:tcBorders>
                              <w:top w:val="nil"/>
                              <w:left w:val="nil"/>
                              <w:bottom w:val="nil"/>
                              <w:right w:val="nil"/>
                            </w:tcBorders>
                            <w:shd w:val="clear" w:color="000000" w:fill="003366"/>
                            <w:noWrap/>
                            <w:vAlign w:val="bottom"/>
                            <w:hideMark/>
                          </w:tcPr>
                          <w:p w14:paraId="6886D286"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53" w:type="pct"/>
                            <w:tcBorders>
                              <w:top w:val="nil"/>
                              <w:left w:val="nil"/>
                              <w:bottom w:val="nil"/>
                              <w:right w:val="nil"/>
                            </w:tcBorders>
                            <w:shd w:val="clear" w:color="000000" w:fill="003366"/>
                            <w:noWrap/>
                            <w:vAlign w:val="bottom"/>
                            <w:hideMark/>
                          </w:tcPr>
                          <w:p w14:paraId="17474D94"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53" w:type="pct"/>
                            <w:tcBorders>
                              <w:top w:val="nil"/>
                              <w:left w:val="nil"/>
                              <w:bottom w:val="nil"/>
                              <w:right w:val="nil"/>
                            </w:tcBorders>
                            <w:shd w:val="clear" w:color="000000" w:fill="003366"/>
                            <w:noWrap/>
                            <w:vAlign w:val="bottom"/>
                            <w:hideMark/>
                          </w:tcPr>
                          <w:p w14:paraId="2577D3A6"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00FF5995"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5F1C472C"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c>
                          <w:tcPr>
                            <w:tcW w:w="593" w:type="pct"/>
                            <w:tcBorders>
                              <w:top w:val="nil"/>
                              <w:left w:val="nil"/>
                              <w:bottom w:val="nil"/>
                              <w:right w:val="nil"/>
                            </w:tcBorders>
                            <w:shd w:val="clear" w:color="000000" w:fill="003366"/>
                            <w:noWrap/>
                            <w:vAlign w:val="bottom"/>
                            <w:hideMark/>
                          </w:tcPr>
                          <w:p w14:paraId="5AE35CF8" w14:textId="77777777" w:rsidR="0014207C" w:rsidRPr="0014207C" w:rsidRDefault="0014207C" w:rsidP="0014207C">
                            <w:pPr>
                              <w:spacing w:after="0" w:line="240" w:lineRule="auto"/>
                              <w:rPr>
                                <w:rFonts w:ascii="Cambria" w:eastAsia="Times New Roman" w:hAnsi="Cambria" w:cs="Arial"/>
                                <w:b/>
                                <w:bCs/>
                                <w:color w:val="FFFFFF"/>
                                <w:kern w:val="0"/>
                                <w:sz w:val="14"/>
                                <w:szCs w:val="14"/>
                                <w:lang w:eastAsia="en-IN"/>
                                <w14:ligatures w14:val="none"/>
                              </w:rPr>
                            </w:pPr>
                            <w:r w:rsidRPr="0014207C">
                              <w:rPr>
                                <w:rFonts w:ascii="Cambria" w:eastAsia="Times New Roman" w:hAnsi="Cambria" w:cs="Arial"/>
                                <w:b/>
                                <w:bCs/>
                                <w:color w:val="FFFFFF"/>
                                <w:kern w:val="0"/>
                                <w:sz w:val="14"/>
                                <w:szCs w:val="14"/>
                                <w:lang w:eastAsia="en-IN"/>
                                <w14:ligatures w14:val="none"/>
                              </w:rPr>
                              <w:t> </w:t>
                            </w:r>
                          </w:p>
                        </w:tc>
                      </w:tr>
                      <w:tr w:rsidR="0014207C" w:rsidRPr="0014207C" w14:paraId="58620E8A" w14:textId="77777777" w:rsidTr="0014207C">
                        <w:trPr>
                          <w:trHeight w:val="408"/>
                        </w:trPr>
                        <w:tc>
                          <w:tcPr>
                            <w:tcW w:w="1562" w:type="pct"/>
                            <w:tcBorders>
                              <w:top w:val="nil"/>
                              <w:left w:val="nil"/>
                              <w:bottom w:val="nil"/>
                              <w:right w:val="nil"/>
                            </w:tcBorders>
                            <w:shd w:val="clear" w:color="000000" w:fill="F0F0DC"/>
                            <w:vAlign w:val="bottom"/>
                            <w:hideMark/>
                          </w:tcPr>
                          <w:p w14:paraId="444B54D9"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Balance Sheet as of:</w:t>
                            </w:r>
                          </w:p>
                        </w:tc>
                        <w:tc>
                          <w:tcPr>
                            <w:tcW w:w="553" w:type="pct"/>
                            <w:tcBorders>
                              <w:top w:val="nil"/>
                              <w:left w:val="nil"/>
                              <w:bottom w:val="nil"/>
                              <w:right w:val="nil"/>
                            </w:tcBorders>
                            <w:shd w:val="clear" w:color="000000" w:fill="F0F0DC"/>
                            <w:vAlign w:val="bottom"/>
                            <w:hideMark/>
                          </w:tcPr>
                          <w:p w14:paraId="1902F3F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Jan-31-2020</w:t>
                            </w:r>
                          </w:p>
                        </w:tc>
                        <w:tc>
                          <w:tcPr>
                            <w:tcW w:w="553" w:type="pct"/>
                            <w:tcBorders>
                              <w:top w:val="nil"/>
                              <w:left w:val="nil"/>
                              <w:bottom w:val="nil"/>
                              <w:right w:val="nil"/>
                            </w:tcBorders>
                            <w:shd w:val="clear" w:color="000000" w:fill="F0F0DC"/>
                            <w:vAlign w:val="bottom"/>
                            <w:hideMark/>
                          </w:tcPr>
                          <w:p w14:paraId="2156B44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Jan-31-2021</w:t>
                            </w:r>
                          </w:p>
                        </w:tc>
                        <w:tc>
                          <w:tcPr>
                            <w:tcW w:w="553" w:type="pct"/>
                            <w:tcBorders>
                              <w:top w:val="nil"/>
                              <w:left w:val="nil"/>
                              <w:bottom w:val="nil"/>
                              <w:right w:val="nil"/>
                            </w:tcBorders>
                            <w:shd w:val="clear" w:color="000000" w:fill="F0F0DC"/>
                            <w:vAlign w:val="bottom"/>
                            <w:hideMark/>
                          </w:tcPr>
                          <w:p w14:paraId="164F0EA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Jan-31-2022</w:t>
                            </w:r>
                          </w:p>
                        </w:tc>
                        <w:tc>
                          <w:tcPr>
                            <w:tcW w:w="593" w:type="pct"/>
                            <w:tcBorders>
                              <w:top w:val="nil"/>
                              <w:left w:val="nil"/>
                              <w:bottom w:val="nil"/>
                              <w:right w:val="nil"/>
                            </w:tcBorders>
                            <w:shd w:val="clear" w:color="000000" w:fill="F0F0DC"/>
                            <w:vAlign w:val="bottom"/>
                            <w:hideMark/>
                          </w:tcPr>
                          <w:p w14:paraId="71F267C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Jan-31-2023</w:t>
                            </w:r>
                          </w:p>
                        </w:tc>
                        <w:tc>
                          <w:tcPr>
                            <w:tcW w:w="593" w:type="pct"/>
                            <w:tcBorders>
                              <w:top w:val="nil"/>
                              <w:left w:val="nil"/>
                              <w:bottom w:val="nil"/>
                              <w:right w:val="nil"/>
                            </w:tcBorders>
                            <w:shd w:val="clear" w:color="000000" w:fill="F0F0DC"/>
                            <w:vAlign w:val="bottom"/>
                            <w:hideMark/>
                          </w:tcPr>
                          <w:p w14:paraId="7B84E75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Jan-31-2024</w:t>
                            </w:r>
                          </w:p>
                        </w:tc>
                        <w:tc>
                          <w:tcPr>
                            <w:tcW w:w="593" w:type="pct"/>
                            <w:tcBorders>
                              <w:top w:val="nil"/>
                              <w:left w:val="nil"/>
                              <w:bottom w:val="nil"/>
                              <w:right w:val="nil"/>
                            </w:tcBorders>
                            <w:shd w:val="clear" w:color="000000" w:fill="F0F0DC"/>
                            <w:vAlign w:val="bottom"/>
                            <w:hideMark/>
                          </w:tcPr>
                          <w:p w14:paraId="34AC7DC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Press Release</w:t>
                            </w:r>
                            <w:r w:rsidRPr="0014207C">
                              <w:rPr>
                                <w:rFonts w:ascii="Cambria" w:eastAsia="Times New Roman" w:hAnsi="Cambria" w:cs="Arial"/>
                                <w:b/>
                                <w:bCs/>
                                <w:color w:val="000000"/>
                                <w:kern w:val="0"/>
                                <w:sz w:val="14"/>
                                <w:szCs w:val="14"/>
                                <w:lang w:eastAsia="en-IN"/>
                                <w14:ligatures w14:val="none"/>
                              </w:rPr>
                              <w:br/>
                              <w:t>Jan-31-2025</w:t>
                            </w:r>
                          </w:p>
                        </w:tc>
                      </w:tr>
                      <w:tr w:rsidR="0014207C" w:rsidRPr="0014207C" w14:paraId="5C71C099" w14:textId="77777777" w:rsidTr="0014207C">
                        <w:trPr>
                          <w:trHeight w:val="204"/>
                        </w:trPr>
                        <w:tc>
                          <w:tcPr>
                            <w:tcW w:w="1562" w:type="pct"/>
                            <w:tcBorders>
                              <w:top w:val="nil"/>
                              <w:left w:val="nil"/>
                              <w:bottom w:val="nil"/>
                              <w:right w:val="nil"/>
                            </w:tcBorders>
                            <w:shd w:val="clear" w:color="000000" w:fill="F0F0DC"/>
                            <w:vAlign w:val="bottom"/>
                            <w:hideMark/>
                          </w:tcPr>
                          <w:p w14:paraId="44D49667" w14:textId="77777777" w:rsidR="0014207C" w:rsidRPr="0014207C" w:rsidRDefault="0014207C" w:rsidP="0014207C">
                            <w:pPr>
                              <w:spacing w:after="0" w:line="240" w:lineRule="auto"/>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Currency</w:t>
                            </w:r>
                          </w:p>
                        </w:tc>
                        <w:tc>
                          <w:tcPr>
                            <w:tcW w:w="553" w:type="pct"/>
                            <w:tcBorders>
                              <w:top w:val="nil"/>
                              <w:left w:val="nil"/>
                              <w:bottom w:val="nil"/>
                              <w:right w:val="nil"/>
                            </w:tcBorders>
                            <w:shd w:val="clear" w:color="000000" w:fill="F0F0DC"/>
                            <w:vAlign w:val="bottom"/>
                            <w:hideMark/>
                          </w:tcPr>
                          <w:p w14:paraId="2A9AD831"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53" w:type="pct"/>
                            <w:tcBorders>
                              <w:top w:val="nil"/>
                              <w:left w:val="nil"/>
                              <w:bottom w:val="nil"/>
                              <w:right w:val="nil"/>
                            </w:tcBorders>
                            <w:shd w:val="clear" w:color="000000" w:fill="F0F0DC"/>
                            <w:vAlign w:val="bottom"/>
                            <w:hideMark/>
                          </w:tcPr>
                          <w:p w14:paraId="1164A36D"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53" w:type="pct"/>
                            <w:tcBorders>
                              <w:top w:val="nil"/>
                              <w:left w:val="nil"/>
                              <w:bottom w:val="nil"/>
                              <w:right w:val="nil"/>
                            </w:tcBorders>
                            <w:shd w:val="clear" w:color="000000" w:fill="F0F0DC"/>
                            <w:vAlign w:val="bottom"/>
                            <w:hideMark/>
                          </w:tcPr>
                          <w:p w14:paraId="5CDE34FC"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53A37DB7"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421AAAF9"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c>
                          <w:tcPr>
                            <w:tcW w:w="593" w:type="pct"/>
                            <w:tcBorders>
                              <w:top w:val="nil"/>
                              <w:left w:val="nil"/>
                              <w:bottom w:val="nil"/>
                              <w:right w:val="nil"/>
                            </w:tcBorders>
                            <w:shd w:val="clear" w:color="000000" w:fill="F0F0DC"/>
                            <w:vAlign w:val="bottom"/>
                            <w:hideMark/>
                          </w:tcPr>
                          <w:p w14:paraId="141DF5F7" w14:textId="77777777" w:rsidR="0014207C" w:rsidRPr="0014207C" w:rsidRDefault="0014207C" w:rsidP="0014207C">
                            <w:pPr>
                              <w:spacing w:after="0" w:line="240" w:lineRule="auto"/>
                              <w:jc w:val="right"/>
                              <w:rPr>
                                <w:rFonts w:ascii="Cambria" w:eastAsia="Times New Roman" w:hAnsi="Cambria" w:cs="Arial"/>
                                <w:b/>
                                <w:bCs/>
                                <w:i/>
                                <w:iCs/>
                                <w:color w:val="000000"/>
                                <w:kern w:val="0"/>
                                <w:sz w:val="14"/>
                                <w:szCs w:val="14"/>
                                <w:lang w:eastAsia="en-IN"/>
                                <w14:ligatures w14:val="none"/>
                              </w:rPr>
                            </w:pPr>
                            <w:r w:rsidRPr="0014207C">
                              <w:rPr>
                                <w:rFonts w:ascii="Cambria" w:eastAsia="Times New Roman" w:hAnsi="Cambria" w:cs="Arial"/>
                                <w:b/>
                                <w:bCs/>
                                <w:i/>
                                <w:iCs/>
                                <w:color w:val="000000"/>
                                <w:kern w:val="0"/>
                                <w:sz w:val="14"/>
                                <w:szCs w:val="14"/>
                                <w:lang w:eastAsia="en-IN"/>
                                <w14:ligatures w14:val="none"/>
                              </w:rPr>
                              <w:t>USD</w:t>
                            </w:r>
                          </w:p>
                        </w:tc>
                      </w:tr>
                      <w:tr w:rsidR="0014207C" w:rsidRPr="0014207C" w14:paraId="230DDF1D" w14:textId="77777777" w:rsidTr="0014207C">
                        <w:trPr>
                          <w:trHeight w:val="204"/>
                        </w:trPr>
                        <w:tc>
                          <w:tcPr>
                            <w:tcW w:w="1562" w:type="pct"/>
                            <w:tcBorders>
                              <w:top w:val="nil"/>
                              <w:left w:val="nil"/>
                              <w:bottom w:val="nil"/>
                              <w:right w:val="nil"/>
                            </w:tcBorders>
                            <w:noWrap/>
                            <w:hideMark/>
                          </w:tcPr>
                          <w:p w14:paraId="12F68C72"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ASSETS</w:t>
                            </w:r>
                          </w:p>
                        </w:tc>
                        <w:tc>
                          <w:tcPr>
                            <w:tcW w:w="553" w:type="pct"/>
                            <w:tcBorders>
                              <w:top w:val="nil"/>
                              <w:left w:val="nil"/>
                              <w:bottom w:val="nil"/>
                              <w:right w:val="nil"/>
                            </w:tcBorders>
                            <w:noWrap/>
                            <w:hideMark/>
                          </w:tcPr>
                          <w:p w14:paraId="1776A33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3D61535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9C73E4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BADAF9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3626B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75784C2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A8CABD1" w14:textId="77777777" w:rsidTr="0014207C">
                        <w:trPr>
                          <w:trHeight w:val="204"/>
                        </w:trPr>
                        <w:tc>
                          <w:tcPr>
                            <w:tcW w:w="1562" w:type="pct"/>
                            <w:tcBorders>
                              <w:top w:val="nil"/>
                              <w:left w:val="nil"/>
                              <w:bottom w:val="nil"/>
                              <w:right w:val="nil"/>
                            </w:tcBorders>
                            <w:noWrap/>
                            <w:hideMark/>
                          </w:tcPr>
                          <w:p w14:paraId="663533E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Cash And Equivalents</w:t>
                            </w:r>
                          </w:p>
                        </w:tc>
                        <w:tc>
                          <w:tcPr>
                            <w:tcW w:w="553" w:type="pct"/>
                            <w:tcBorders>
                              <w:top w:val="nil"/>
                              <w:left w:val="nil"/>
                              <w:bottom w:val="nil"/>
                              <w:right w:val="nil"/>
                            </w:tcBorders>
                            <w:hideMark/>
                          </w:tcPr>
                          <w:p w14:paraId="2213F8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9,465.0 </w:t>
                            </w:r>
                          </w:p>
                        </w:tc>
                        <w:tc>
                          <w:tcPr>
                            <w:tcW w:w="553" w:type="pct"/>
                            <w:tcBorders>
                              <w:top w:val="nil"/>
                              <w:left w:val="nil"/>
                              <w:bottom w:val="nil"/>
                              <w:right w:val="nil"/>
                            </w:tcBorders>
                            <w:hideMark/>
                          </w:tcPr>
                          <w:p w14:paraId="73230F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17,741.0 </w:t>
                            </w:r>
                          </w:p>
                        </w:tc>
                        <w:tc>
                          <w:tcPr>
                            <w:tcW w:w="553" w:type="pct"/>
                            <w:tcBorders>
                              <w:top w:val="nil"/>
                              <w:left w:val="nil"/>
                              <w:bottom w:val="nil"/>
                              <w:right w:val="nil"/>
                            </w:tcBorders>
                            <w:hideMark/>
                          </w:tcPr>
                          <w:p w14:paraId="2314026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14,760.0 </w:t>
                            </w:r>
                          </w:p>
                        </w:tc>
                        <w:tc>
                          <w:tcPr>
                            <w:tcW w:w="593" w:type="pct"/>
                            <w:tcBorders>
                              <w:top w:val="nil"/>
                              <w:left w:val="nil"/>
                              <w:bottom w:val="nil"/>
                              <w:right w:val="nil"/>
                            </w:tcBorders>
                            <w:hideMark/>
                          </w:tcPr>
                          <w:p w14:paraId="51ADAEB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8,625.0 </w:t>
                            </w:r>
                          </w:p>
                        </w:tc>
                        <w:tc>
                          <w:tcPr>
                            <w:tcW w:w="593" w:type="pct"/>
                            <w:tcBorders>
                              <w:top w:val="nil"/>
                              <w:left w:val="nil"/>
                              <w:bottom w:val="nil"/>
                              <w:right w:val="nil"/>
                            </w:tcBorders>
                            <w:hideMark/>
                          </w:tcPr>
                          <w:p w14:paraId="0F13A4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9,867.0 </w:t>
                            </w:r>
                          </w:p>
                        </w:tc>
                        <w:tc>
                          <w:tcPr>
                            <w:tcW w:w="593" w:type="pct"/>
                            <w:tcBorders>
                              <w:top w:val="nil"/>
                              <w:left w:val="nil"/>
                              <w:bottom w:val="nil"/>
                              <w:right w:val="nil"/>
                            </w:tcBorders>
                            <w:hideMark/>
                          </w:tcPr>
                          <w:p w14:paraId="7FA43B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9,037.0 </w:t>
                            </w:r>
                          </w:p>
                        </w:tc>
                      </w:tr>
                      <w:tr w:rsidR="0014207C" w:rsidRPr="0014207C" w14:paraId="62D4BEF8" w14:textId="77777777" w:rsidTr="0014207C">
                        <w:trPr>
                          <w:trHeight w:val="204"/>
                        </w:trPr>
                        <w:tc>
                          <w:tcPr>
                            <w:tcW w:w="1562" w:type="pct"/>
                            <w:tcBorders>
                              <w:top w:val="nil"/>
                              <w:left w:val="nil"/>
                              <w:bottom w:val="nil"/>
                              <w:right w:val="nil"/>
                            </w:tcBorders>
                            <w:noWrap/>
                            <w:hideMark/>
                          </w:tcPr>
                          <w:p w14:paraId="61A861D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Cash &amp; ST Investments</w:t>
                            </w:r>
                          </w:p>
                        </w:tc>
                        <w:tc>
                          <w:tcPr>
                            <w:tcW w:w="553" w:type="pct"/>
                            <w:tcBorders>
                              <w:top w:val="single" w:sz="4" w:space="0" w:color="000000"/>
                              <w:left w:val="nil"/>
                              <w:bottom w:val="nil"/>
                              <w:right w:val="nil"/>
                            </w:tcBorders>
                            <w:hideMark/>
                          </w:tcPr>
                          <w:p w14:paraId="13BE6B0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9,465.0 </w:t>
                            </w:r>
                          </w:p>
                        </w:tc>
                        <w:tc>
                          <w:tcPr>
                            <w:tcW w:w="553" w:type="pct"/>
                            <w:tcBorders>
                              <w:top w:val="single" w:sz="4" w:space="0" w:color="000000"/>
                              <w:left w:val="nil"/>
                              <w:bottom w:val="nil"/>
                              <w:right w:val="nil"/>
                            </w:tcBorders>
                            <w:hideMark/>
                          </w:tcPr>
                          <w:p w14:paraId="0B1D5B1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17,741.0 </w:t>
                            </w:r>
                          </w:p>
                        </w:tc>
                        <w:tc>
                          <w:tcPr>
                            <w:tcW w:w="553" w:type="pct"/>
                            <w:tcBorders>
                              <w:top w:val="single" w:sz="4" w:space="0" w:color="000000"/>
                              <w:left w:val="nil"/>
                              <w:bottom w:val="nil"/>
                              <w:right w:val="nil"/>
                            </w:tcBorders>
                            <w:hideMark/>
                          </w:tcPr>
                          <w:p w14:paraId="003C4FE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14,760.0 </w:t>
                            </w:r>
                          </w:p>
                        </w:tc>
                        <w:tc>
                          <w:tcPr>
                            <w:tcW w:w="593" w:type="pct"/>
                            <w:tcBorders>
                              <w:top w:val="single" w:sz="4" w:space="0" w:color="000000"/>
                              <w:left w:val="nil"/>
                              <w:bottom w:val="nil"/>
                              <w:right w:val="nil"/>
                            </w:tcBorders>
                            <w:hideMark/>
                          </w:tcPr>
                          <w:p w14:paraId="24D1525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8,625.0 </w:t>
                            </w:r>
                          </w:p>
                        </w:tc>
                        <w:tc>
                          <w:tcPr>
                            <w:tcW w:w="593" w:type="pct"/>
                            <w:tcBorders>
                              <w:top w:val="single" w:sz="4" w:space="0" w:color="000000"/>
                              <w:left w:val="nil"/>
                              <w:bottom w:val="nil"/>
                              <w:right w:val="nil"/>
                            </w:tcBorders>
                            <w:hideMark/>
                          </w:tcPr>
                          <w:p w14:paraId="0D519BA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9,867.0 </w:t>
                            </w:r>
                          </w:p>
                        </w:tc>
                        <w:tc>
                          <w:tcPr>
                            <w:tcW w:w="593" w:type="pct"/>
                            <w:tcBorders>
                              <w:top w:val="single" w:sz="4" w:space="0" w:color="000000"/>
                              <w:left w:val="nil"/>
                              <w:bottom w:val="nil"/>
                              <w:right w:val="nil"/>
                            </w:tcBorders>
                            <w:hideMark/>
                          </w:tcPr>
                          <w:p w14:paraId="0ECCD35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9,037.0 </w:t>
                            </w:r>
                          </w:p>
                        </w:tc>
                      </w:tr>
                      <w:tr w:rsidR="0014207C" w:rsidRPr="0014207C" w14:paraId="10894667" w14:textId="77777777" w:rsidTr="0014207C">
                        <w:trPr>
                          <w:trHeight w:val="204"/>
                        </w:trPr>
                        <w:tc>
                          <w:tcPr>
                            <w:tcW w:w="1562" w:type="pct"/>
                            <w:tcBorders>
                              <w:top w:val="nil"/>
                              <w:left w:val="nil"/>
                              <w:bottom w:val="nil"/>
                              <w:right w:val="nil"/>
                            </w:tcBorders>
                            <w:noWrap/>
                            <w:hideMark/>
                          </w:tcPr>
                          <w:p w14:paraId="16AF0E6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54C95FB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C6A9DF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313AF16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D4D0DF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01D59A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10539D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261D7E9E" w14:textId="77777777" w:rsidTr="0014207C">
                        <w:trPr>
                          <w:trHeight w:val="204"/>
                        </w:trPr>
                        <w:tc>
                          <w:tcPr>
                            <w:tcW w:w="1562" w:type="pct"/>
                            <w:tcBorders>
                              <w:top w:val="nil"/>
                              <w:left w:val="nil"/>
                              <w:bottom w:val="nil"/>
                              <w:right w:val="nil"/>
                            </w:tcBorders>
                            <w:noWrap/>
                            <w:hideMark/>
                          </w:tcPr>
                          <w:p w14:paraId="7D5E879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Accounts Receivable</w:t>
                            </w:r>
                          </w:p>
                        </w:tc>
                        <w:tc>
                          <w:tcPr>
                            <w:tcW w:w="553" w:type="pct"/>
                            <w:tcBorders>
                              <w:top w:val="nil"/>
                              <w:left w:val="nil"/>
                              <w:bottom w:val="nil"/>
                              <w:right w:val="nil"/>
                            </w:tcBorders>
                            <w:hideMark/>
                          </w:tcPr>
                          <w:p w14:paraId="2E8502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6,284.0 </w:t>
                            </w:r>
                          </w:p>
                        </w:tc>
                        <w:tc>
                          <w:tcPr>
                            <w:tcW w:w="553" w:type="pct"/>
                            <w:tcBorders>
                              <w:top w:val="nil"/>
                              <w:left w:val="nil"/>
                              <w:bottom w:val="nil"/>
                              <w:right w:val="nil"/>
                            </w:tcBorders>
                            <w:hideMark/>
                          </w:tcPr>
                          <w:p w14:paraId="3FCD176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6,516.0 </w:t>
                            </w:r>
                          </w:p>
                        </w:tc>
                        <w:tc>
                          <w:tcPr>
                            <w:tcW w:w="553" w:type="pct"/>
                            <w:tcBorders>
                              <w:top w:val="nil"/>
                              <w:left w:val="nil"/>
                              <w:bottom w:val="nil"/>
                              <w:right w:val="nil"/>
                            </w:tcBorders>
                            <w:hideMark/>
                          </w:tcPr>
                          <w:p w14:paraId="3A06DEA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8,280.0 </w:t>
                            </w:r>
                          </w:p>
                        </w:tc>
                        <w:tc>
                          <w:tcPr>
                            <w:tcW w:w="593" w:type="pct"/>
                            <w:tcBorders>
                              <w:top w:val="nil"/>
                              <w:left w:val="nil"/>
                              <w:bottom w:val="nil"/>
                              <w:right w:val="nil"/>
                            </w:tcBorders>
                            <w:hideMark/>
                          </w:tcPr>
                          <w:p w14:paraId="34993EA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7,933.0 </w:t>
                            </w:r>
                          </w:p>
                        </w:tc>
                        <w:tc>
                          <w:tcPr>
                            <w:tcW w:w="593" w:type="pct"/>
                            <w:tcBorders>
                              <w:top w:val="nil"/>
                              <w:left w:val="nil"/>
                              <w:bottom w:val="nil"/>
                              <w:right w:val="nil"/>
                            </w:tcBorders>
                            <w:hideMark/>
                          </w:tcPr>
                          <w:p w14:paraId="76067D0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8,796.0 </w:t>
                            </w:r>
                          </w:p>
                        </w:tc>
                        <w:tc>
                          <w:tcPr>
                            <w:tcW w:w="593" w:type="pct"/>
                            <w:tcBorders>
                              <w:top w:val="nil"/>
                              <w:left w:val="nil"/>
                              <w:bottom w:val="nil"/>
                              <w:right w:val="nil"/>
                            </w:tcBorders>
                            <w:hideMark/>
                          </w:tcPr>
                          <w:p w14:paraId="71F6DA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9,975.0 </w:t>
                            </w:r>
                          </w:p>
                        </w:tc>
                      </w:tr>
                      <w:tr w:rsidR="0014207C" w:rsidRPr="0014207C" w14:paraId="40556273" w14:textId="77777777" w:rsidTr="0014207C">
                        <w:trPr>
                          <w:trHeight w:val="204"/>
                        </w:trPr>
                        <w:tc>
                          <w:tcPr>
                            <w:tcW w:w="1562" w:type="pct"/>
                            <w:tcBorders>
                              <w:top w:val="nil"/>
                              <w:left w:val="nil"/>
                              <w:bottom w:val="nil"/>
                              <w:right w:val="nil"/>
                            </w:tcBorders>
                            <w:noWrap/>
                            <w:hideMark/>
                          </w:tcPr>
                          <w:p w14:paraId="548F2DC4"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Receivables</w:t>
                            </w:r>
                          </w:p>
                        </w:tc>
                        <w:tc>
                          <w:tcPr>
                            <w:tcW w:w="553" w:type="pct"/>
                            <w:tcBorders>
                              <w:top w:val="single" w:sz="4" w:space="0" w:color="000000"/>
                              <w:left w:val="nil"/>
                              <w:bottom w:val="nil"/>
                              <w:right w:val="nil"/>
                            </w:tcBorders>
                            <w:hideMark/>
                          </w:tcPr>
                          <w:p w14:paraId="13DBA52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6,284.0 </w:t>
                            </w:r>
                          </w:p>
                        </w:tc>
                        <w:tc>
                          <w:tcPr>
                            <w:tcW w:w="553" w:type="pct"/>
                            <w:tcBorders>
                              <w:top w:val="single" w:sz="4" w:space="0" w:color="000000"/>
                              <w:left w:val="nil"/>
                              <w:bottom w:val="nil"/>
                              <w:right w:val="nil"/>
                            </w:tcBorders>
                            <w:hideMark/>
                          </w:tcPr>
                          <w:p w14:paraId="6C5B80B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6,516.0 </w:t>
                            </w:r>
                          </w:p>
                        </w:tc>
                        <w:tc>
                          <w:tcPr>
                            <w:tcW w:w="553" w:type="pct"/>
                            <w:tcBorders>
                              <w:top w:val="single" w:sz="4" w:space="0" w:color="000000"/>
                              <w:left w:val="nil"/>
                              <w:bottom w:val="nil"/>
                              <w:right w:val="nil"/>
                            </w:tcBorders>
                            <w:hideMark/>
                          </w:tcPr>
                          <w:p w14:paraId="0D64D0A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8,280.0 </w:t>
                            </w:r>
                          </w:p>
                        </w:tc>
                        <w:tc>
                          <w:tcPr>
                            <w:tcW w:w="593" w:type="pct"/>
                            <w:tcBorders>
                              <w:top w:val="single" w:sz="4" w:space="0" w:color="000000"/>
                              <w:left w:val="nil"/>
                              <w:bottom w:val="nil"/>
                              <w:right w:val="nil"/>
                            </w:tcBorders>
                            <w:hideMark/>
                          </w:tcPr>
                          <w:p w14:paraId="6FA4918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7,933.0 </w:t>
                            </w:r>
                          </w:p>
                        </w:tc>
                        <w:tc>
                          <w:tcPr>
                            <w:tcW w:w="593" w:type="pct"/>
                            <w:tcBorders>
                              <w:top w:val="single" w:sz="4" w:space="0" w:color="000000"/>
                              <w:left w:val="nil"/>
                              <w:bottom w:val="nil"/>
                              <w:right w:val="nil"/>
                            </w:tcBorders>
                            <w:hideMark/>
                          </w:tcPr>
                          <w:p w14:paraId="176F7DC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8,796.0 </w:t>
                            </w:r>
                          </w:p>
                        </w:tc>
                        <w:tc>
                          <w:tcPr>
                            <w:tcW w:w="593" w:type="pct"/>
                            <w:tcBorders>
                              <w:top w:val="single" w:sz="4" w:space="0" w:color="000000"/>
                              <w:left w:val="nil"/>
                              <w:bottom w:val="nil"/>
                              <w:right w:val="nil"/>
                            </w:tcBorders>
                            <w:hideMark/>
                          </w:tcPr>
                          <w:p w14:paraId="2B38E27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9,975.0 </w:t>
                            </w:r>
                          </w:p>
                        </w:tc>
                      </w:tr>
                      <w:tr w:rsidR="0014207C" w:rsidRPr="0014207C" w14:paraId="5117E4E6" w14:textId="77777777" w:rsidTr="0014207C">
                        <w:trPr>
                          <w:trHeight w:val="204"/>
                        </w:trPr>
                        <w:tc>
                          <w:tcPr>
                            <w:tcW w:w="1562" w:type="pct"/>
                            <w:tcBorders>
                              <w:top w:val="nil"/>
                              <w:left w:val="nil"/>
                              <w:bottom w:val="nil"/>
                              <w:right w:val="nil"/>
                            </w:tcBorders>
                            <w:noWrap/>
                            <w:hideMark/>
                          </w:tcPr>
                          <w:p w14:paraId="26AEA07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144F6C3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5F6880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1DCCD0B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5705027"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0BFC72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848EF7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13A66C3C" w14:textId="77777777" w:rsidTr="0014207C">
                        <w:trPr>
                          <w:trHeight w:val="204"/>
                        </w:trPr>
                        <w:tc>
                          <w:tcPr>
                            <w:tcW w:w="1562" w:type="pct"/>
                            <w:tcBorders>
                              <w:top w:val="nil"/>
                              <w:left w:val="nil"/>
                              <w:bottom w:val="nil"/>
                              <w:right w:val="nil"/>
                            </w:tcBorders>
                            <w:noWrap/>
                            <w:hideMark/>
                          </w:tcPr>
                          <w:p w14:paraId="1CB533A2"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Inventory</w:t>
                            </w:r>
                          </w:p>
                        </w:tc>
                        <w:tc>
                          <w:tcPr>
                            <w:tcW w:w="553" w:type="pct"/>
                            <w:tcBorders>
                              <w:top w:val="nil"/>
                              <w:left w:val="nil"/>
                              <w:bottom w:val="nil"/>
                              <w:right w:val="nil"/>
                            </w:tcBorders>
                            <w:hideMark/>
                          </w:tcPr>
                          <w:p w14:paraId="6E8A8C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44,435.0 </w:t>
                            </w:r>
                          </w:p>
                        </w:tc>
                        <w:tc>
                          <w:tcPr>
                            <w:tcW w:w="553" w:type="pct"/>
                            <w:tcBorders>
                              <w:top w:val="nil"/>
                              <w:left w:val="nil"/>
                              <w:bottom w:val="nil"/>
                              <w:right w:val="nil"/>
                            </w:tcBorders>
                            <w:hideMark/>
                          </w:tcPr>
                          <w:p w14:paraId="544811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44,949.0 </w:t>
                            </w:r>
                          </w:p>
                        </w:tc>
                        <w:tc>
                          <w:tcPr>
                            <w:tcW w:w="553" w:type="pct"/>
                            <w:tcBorders>
                              <w:top w:val="nil"/>
                              <w:left w:val="nil"/>
                              <w:bottom w:val="nil"/>
                              <w:right w:val="nil"/>
                            </w:tcBorders>
                            <w:hideMark/>
                          </w:tcPr>
                          <w:p w14:paraId="6BD0652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56,511.0 </w:t>
                            </w:r>
                          </w:p>
                        </w:tc>
                        <w:tc>
                          <w:tcPr>
                            <w:tcW w:w="593" w:type="pct"/>
                            <w:tcBorders>
                              <w:top w:val="nil"/>
                              <w:left w:val="nil"/>
                              <w:bottom w:val="nil"/>
                              <w:right w:val="nil"/>
                            </w:tcBorders>
                            <w:hideMark/>
                          </w:tcPr>
                          <w:p w14:paraId="34C6312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56,576.0 </w:t>
                            </w:r>
                          </w:p>
                        </w:tc>
                        <w:tc>
                          <w:tcPr>
                            <w:tcW w:w="593" w:type="pct"/>
                            <w:tcBorders>
                              <w:top w:val="nil"/>
                              <w:left w:val="nil"/>
                              <w:bottom w:val="nil"/>
                              <w:right w:val="nil"/>
                            </w:tcBorders>
                            <w:hideMark/>
                          </w:tcPr>
                          <w:p w14:paraId="3257D1C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54,892.0 </w:t>
                            </w:r>
                          </w:p>
                        </w:tc>
                        <w:tc>
                          <w:tcPr>
                            <w:tcW w:w="593" w:type="pct"/>
                            <w:tcBorders>
                              <w:top w:val="nil"/>
                              <w:left w:val="nil"/>
                              <w:bottom w:val="nil"/>
                              <w:right w:val="nil"/>
                            </w:tcBorders>
                            <w:hideMark/>
                          </w:tcPr>
                          <w:p w14:paraId="6E176C6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56,435.0 </w:t>
                            </w:r>
                          </w:p>
                        </w:tc>
                      </w:tr>
                      <w:tr w:rsidR="0014207C" w:rsidRPr="0014207C" w14:paraId="1FB9EB99" w14:textId="77777777" w:rsidTr="0014207C">
                        <w:trPr>
                          <w:trHeight w:val="204"/>
                        </w:trPr>
                        <w:tc>
                          <w:tcPr>
                            <w:tcW w:w="1562" w:type="pct"/>
                            <w:tcBorders>
                              <w:top w:val="nil"/>
                              <w:left w:val="nil"/>
                              <w:bottom w:val="nil"/>
                              <w:right w:val="nil"/>
                            </w:tcBorders>
                            <w:noWrap/>
                            <w:hideMark/>
                          </w:tcPr>
                          <w:p w14:paraId="7292F1E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Prepaid Exp.</w:t>
                            </w:r>
                          </w:p>
                        </w:tc>
                        <w:tc>
                          <w:tcPr>
                            <w:tcW w:w="553" w:type="pct"/>
                            <w:tcBorders>
                              <w:top w:val="nil"/>
                              <w:left w:val="nil"/>
                              <w:bottom w:val="nil"/>
                              <w:right w:val="nil"/>
                            </w:tcBorders>
                            <w:hideMark/>
                          </w:tcPr>
                          <w:p w14:paraId="0A57A0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1,622.0 </w:t>
                            </w:r>
                          </w:p>
                        </w:tc>
                        <w:tc>
                          <w:tcPr>
                            <w:tcW w:w="553" w:type="pct"/>
                            <w:tcBorders>
                              <w:top w:val="nil"/>
                              <w:left w:val="nil"/>
                              <w:bottom w:val="nil"/>
                              <w:right w:val="nil"/>
                            </w:tcBorders>
                            <w:hideMark/>
                          </w:tcPr>
                          <w:p w14:paraId="5EA52C0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1,661.0 </w:t>
                            </w:r>
                          </w:p>
                        </w:tc>
                        <w:tc>
                          <w:tcPr>
                            <w:tcW w:w="553" w:type="pct"/>
                            <w:tcBorders>
                              <w:top w:val="nil"/>
                              <w:left w:val="nil"/>
                              <w:bottom w:val="nil"/>
                              <w:right w:val="nil"/>
                            </w:tcBorders>
                            <w:hideMark/>
                          </w:tcPr>
                          <w:p w14:paraId="0197FA8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1,519.0 </w:t>
                            </w:r>
                          </w:p>
                        </w:tc>
                        <w:tc>
                          <w:tcPr>
                            <w:tcW w:w="593" w:type="pct"/>
                            <w:tcBorders>
                              <w:top w:val="nil"/>
                              <w:left w:val="nil"/>
                              <w:bottom w:val="nil"/>
                              <w:right w:val="nil"/>
                            </w:tcBorders>
                            <w:hideMark/>
                          </w:tcPr>
                          <w:p w14:paraId="3E7357B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2,521.0 </w:t>
                            </w:r>
                          </w:p>
                        </w:tc>
                        <w:tc>
                          <w:tcPr>
                            <w:tcW w:w="593" w:type="pct"/>
                            <w:tcBorders>
                              <w:top w:val="nil"/>
                              <w:left w:val="nil"/>
                              <w:bottom w:val="nil"/>
                              <w:right w:val="nil"/>
                            </w:tcBorders>
                            <w:hideMark/>
                          </w:tcPr>
                          <w:p w14:paraId="69F93B0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3,322.0 </w:t>
                            </w:r>
                          </w:p>
                        </w:tc>
                        <w:tc>
                          <w:tcPr>
                            <w:tcW w:w="593" w:type="pct"/>
                            <w:tcBorders>
                              <w:top w:val="nil"/>
                              <w:left w:val="nil"/>
                              <w:bottom w:val="nil"/>
                              <w:right w:val="nil"/>
                            </w:tcBorders>
                            <w:hideMark/>
                          </w:tcPr>
                          <w:p w14:paraId="1959A9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4,011.0 </w:t>
                            </w:r>
                          </w:p>
                        </w:tc>
                      </w:tr>
                      <w:tr w:rsidR="0014207C" w:rsidRPr="0014207C" w14:paraId="31BCEC8F" w14:textId="77777777" w:rsidTr="0014207C">
                        <w:trPr>
                          <w:trHeight w:val="204"/>
                        </w:trPr>
                        <w:tc>
                          <w:tcPr>
                            <w:tcW w:w="1562" w:type="pct"/>
                            <w:tcBorders>
                              <w:top w:val="nil"/>
                              <w:left w:val="nil"/>
                              <w:bottom w:val="nil"/>
                              <w:right w:val="nil"/>
                            </w:tcBorders>
                            <w:noWrap/>
                            <w:hideMark/>
                          </w:tcPr>
                          <w:p w14:paraId="3A8FFE2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Current Assets</w:t>
                            </w:r>
                          </w:p>
                        </w:tc>
                        <w:tc>
                          <w:tcPr>
                            <w:tcW w:w="553" w:type="pct"/>
                            <w:tcBorders>
                              <w:top w:val="nil"/>
                              <w:left w:val="nil"/>
                              <w:bottom w:val="nil"/>
                              <w:right w:val="nil"/>
                            </w:tcBorders>
                            <w:hideMark/>
                          </w:tcPr>
                          <w:p w14:paraId="4117345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3240546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19,200.0 </w:t>
                            </w:r>
                          </w:p>
                        </w:tc>
                        <w:tc>
                          <w:tcPr>
                            <w:tcW w:w="553" w:type="pct"/>
                            <w:tcBorders>
                              <w:top w:val="nil"/>
                              <w:left w:val="nil"/>
                              <w:bottom w:val="nil"/>
                              <w:right w:val="nil"/>
                            </w:tcBorders>
                            <w:hideMark/>
                          </w:tcPr>
                          <w:p w14:paraId="68F21ED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2B955B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1BEC7E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5AB375D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1504D8" w14:textId="77777777" w:rsidTr="0014207C">
                        <w:trPr>
                          <w:trHeight w:val="204"/>
                        </w:trPr>
                        <w:tc>
                          <w:tcPr>
                            <w:tcW w:w="1562" w:type="pct"/>
                            <w:tcBorders>
                              <w:top w:val="nil"/>
                              <w:left w:val="nil"/>
                              <w:bottom w:val="nil"/>
                              <w:right w:val="nil"/>
                            </w:tcBorders>
                            <w:noWrap/>
                            <w:hideMark/>
                          </w:tcPr>
                          <w:p w14:paraId="37CC04EA"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Current Assets</w:t>
                            </w:r>
                          </w:p>
                        </w:tc>
                        <w:tc>
                          <w:tcPr>
                            <w:tcW w:w="553" w:type="pct"/>
                            <w:tcBorders>
                              <w:top w:val="single" w:sz="4" w:space="0" w:color="000000"/>
                              <w:left w:val="nil"/>
                              <w:bottom w:val="nil"/>
                              <w:right w:val="nil"/>
                            </w:tcBorders>
                            <w:hideMark/>
                          </w:tcPr>
                          <w:p w14:paraId="28E54C1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61,806.0 </w:t>
                            </w:r>
                          </w:p>
                        </w:tc>
                        <w:tc>
                          <w:tcPr>
                            <w:tcW w:w="553" w:type="pct"/>
                            <w:tcBorders>
                              <w:top w:val="single" w:sz="4" w:space="0" w:color="000000"/>
                              <w:left w:val="nil"/>
                              <w:bottom w:val="nil"/>
                              <w:right w:val="nil"/>
                            </w:tcBorders>
                            <w:hideMark/>
                          </w:tcPr>
                          <w:p w14:paraId="7FA5DCD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90,067.0 </w:t>
                            </w:r>
                          </w:p>
                        </w:tc>
                        <w:tc>
                          <w:tcPr>
                            <w:tcW w:w="553" w:type="pct"/>
                            <w:tcBorders>
                              <w:top w:val="single" w:sz="4" w:space="0" w:color="000000"/>
                              <w:left w:val="nil"/>
                              <w:bottom w:val="nil"/>
                              <w:right w:val="nil"/>
                            </w:tcBorders>
                            <w:hideMark/>
                          </w:tcPr>
                          <w:p w14:paraId="1915D19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81,070.0 </w:t>
                            </w:r>
                          </w:p>
                        </w:tc>
                        <w:tc>
                          <w:tcPr>
                            <w:tcW w:w="593" w:type="pct"/>
                            <w:tcBorders>
                              <w:top w:val="single" w:sz="4" w:space="0" w:color="000000"/>
                              <w:left w:val="nil"/>
                              <w:bottom w:val="nil"/>
                              <w:right w:val="nil"/>
                            </w:tcBorders>
                            <w:hideMark/>
                          </w:tcPr>
                          <w:p w14:paraId="75164B3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75,655.0 </w:t>
                            </w:r>
                          </w:p>
                        </w:tc>
                        <w:tc>
                          <w:tcPr>
                            <w:tcW w:w="593" w:type="pct"/>
                            <w:tcBorders>
                              <w:top w:val="single" w:sz="4" w:space="0" w:color="000000"/>
                              <w:left w:val="nil"/>
                              <w:bottom w:val="nil"/>
                              <w:right w:val="nil"/>
                            </w:tcBorders>
                            <w:hideMark/>
                          </w:tcPr>
                          <w:p w14:paraId="73509A7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76,877.0 </w:t>
                            </w:r>
                          </w:p>
                        </w:tc>
                        <w:tc>
                          <w:tcPr>
                            <w:tcW w:w="593" w:type="pct"/>
                            <w:tcBorders>
                              <w:top w:val="single" w:sz="4" w:space="0" w:color="000000"/>
                              <w:left w:val="nil"/>
                              <w:bottom w:val="nil"/>
                              <w:right w:val="nil"/>
                            </w:tcBorders>
                            <w:hideMark/>
                          </w:tcPr>
                          <w:p w14:paraId="7643335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79,458.0 </w:t>
                            </w:r>
                          </w:p>
                        </w:tc>
                      </w:tr>
                      <w:tr w:rsidR="0014207C" w:rsidRPr="0014207C" w14:paraId="06F35D31" w14:textId="77777777" w:rsidTr="0014207C">
                        <w:trPr>
                          <w:trHeight w:val="204"/>
                        </w:trPr>
                        <w:tc>
                          <w:tcPr>
                            <w:tcW w:w="1562" w:type="pct"/>
                            <w:tcBorders>
                              <w:top w:val="nil"/>
                              <w:left w:val="nil"/>
                              <w:bottom w:val="nil"/>
                              <w:right w:val="nil"/>
                            </w:tcBorders>
                            <w:noWrap/>
                            <w:hideMark/>
                          </w:tcPr>
                          <w:p w14:paraId="4067988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6153468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2C4F6C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93B9B9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ECDAAC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31D7ED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D97E32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11CB1C86" w14:textId="77777777" w:rsidTr="0014207C">
                        <w:trPr>
                          <w:trHeight w:val="204"/>
                        </w:trPr>
                        <w:tc>
                          <w:tcPr>
                            <w:tcW w:w="1562" w:type="pct"/>
                            <w:tcBorders>
                              <w:top w:val="nil"/>
                              <w:left w:val="nil"/>
                              <w:bottom w:val="nil"/>
                              <w:right w:val="nil"/>
                            </w:tcBorders>
                            <w:noWrap/>
                            <w:hideMark/>
                          </w:tcPr>
                          <w:p w14:paraId="414ACF7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Gross Property, Plant &amp; Equipment</w:t>
                            </w:r>
                          </w:p>
                        </w:tc>
                        <w:tc>
                          <w:tcPr>
                            <w:tcW w:w="553" w:type="pct"/>
                            <w:tcBorders>
                              <w:top w:val="nil"/>
                              <w:left w:val="nil"/>
                              <w:bottom w:val="nil"/>
                              <w:right w:val="nil"/>
                            </w:tcBorders>
                            <w:hideMark/>
                          </w:tcPr>
                          <w:p w14:paraId="6E0681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217,349.0 </w:t>
                            </w:r>
                          </w:p>
                        </w:tc>
                        <w:tc>
                          <w:tcPr>
                            <w:tcW w:w="553" w:type="pct"/>
                            <w:tcBorders>
                              <w:top w:val="nil"/>
                              <w:left w:val="nil"/>
                              <w:bottom w:val="nil"/>
                              <w:right w:val="nil"/>
                            </w:tcBorders>
                            <w:hideMark/>
                          </w:tcPr>
                          <w:p w14:paraId="0AAC2A9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198,218.0 </w:t>
                            </w:r>
                          </w:p>
                        </w:tc>
                        <w:tc>
                          <w:tcPr>
                            <w:tcW w:w="553" w:type="pct"/>
                            <w:tcBorders>
                              <w:top w:val="nil"/>
                              <w:left w:val="nil"/>
                              <w:bottom w:val="nil"/>
                              <w:right w:val="nil"/>
                            </w:tcBorders>
                            <w:hideMark/>
                          </w:tcPr>
                          <w:p w14:paraId="09EBCC1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207,433.0 </w:t>
                            </w:r>
                          </w:p>
                        </w:tc>
                        <w:tc>
                          <w:tcPr>
                            <w:tcW w:w="593" w:type="pct"/>
                            <w:tcBorders>
                              <w:top w:val="nil"/>
                              <w:left w:val="nil"/>
                              <w:bottom w:val="nil"/>
                              <w:right w:val="nil"/>
                            </w:tcBorders>
                            <w:hideMark/>
                          </w:tcPr>
                          <w:p w14:paraId="360135E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220,844.0 </w:t>
                            </w:r>
                          </w:p>
                        </w:tc>
                        <w:tc>
                          <w:tcPr>
                            <w:tcW w:w="593" w:type="pct"/>
                            <w:tcBorders>
                              <w:top w:val="nil"/>
                              <w:left w:val="nil"/>
                              <w:bottom w:val="nil"/>
                              <w:right w:val="nil"/>
                            </w:tcBorders>
                            <w:hideMark/>
                          </w:tcPr>
                          <w:p w14:paraId="677E4E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239,387.0 </w:t>
                            </w:r>
                          </w:p>
                        </w:tc>
                        <w:tc>
                          <w:tcPr>
                            <w:tcW w:w="593" w:type="pct"/>
                            <w:tcBorders>
                              <w:top w:val="nil"/>
                              <w:left w:val="nil"/>
                              <w:bottom w:val="nil"/>
                              <w:right w:val="nil"/>
                            </w:tcBorders>
                            <w:hideMark/>
                          </w:tcPr>
                          <w:p w14:paraId="739AB97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263,350.0 </w:t>
                            </w:r>
                          </w:p>
                        </w:tc>
                      </w:tr>
                      <w:tr w:rsidR="0014207C" w:rsidRPr="0014207C" w14:paraId="12FB41B1" w14:textId="77777777" w:rsidTr="0014207C">
                        <w:trPr>
                          <w:trHeight w:val="204"/>
                        </w:trPr>
                        <w:tc>
                          <w:tcPr>
                            <w:tcW w:w="1562" w:type="pct"/>
                            <w:tcBorders>
                              <w:top w:val="nil"/>
                              <w:left w:val="nil"/>
                              <w:bottom w:val="nil"/>
                              <w:right w:val="nil"/>
                            </w:tcBorders>
                            <w:noWrap/>
                            <w:hideMark/>
                          </w:tcPr>
                          <w:p w14:paraId="3811FCF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Accumulated Depreciation</w:t>
                            </w:r>
                          </w:p>
                        </w:tc>
                        <w:tc>
                          <w:tcPr>
                            <w:tcW w:w="553" w:type="pct"/>
                            <w:tcBorders>
                              <w:top w:val="nil"/>
                              <w:left w:val="nil"/>
                              <w:bottom w:val="nil"/>
                              <w:right w:val="nil"/>
                            </w:tcBorders>
                            <w:hideMark/>
                          </w:tcPr>
                          <w:p w14:paraId="2523A4F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(90,300.0)  </w:t>
                            </w:r>
                          </w:p>
                        </w:tc>
                        <w:tc>
                          <w:tcPr>
                            <w:tcW w:w="553" w:type="pct"/>
                            <w:tcBorders>
                              <w:top w:val="nil"/>
                              <w:left w:val="nil"/>
                              <w:bottom w:val="nil"/>
                              <w:right w:val="nil"/>
                            </w:tcBorders>
                            <w:hideMark/>
                          </w:tcPr>
                          <w:p w14:paraId="637B976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(88,370.0)  </w:t>
                            </w:r>
                          </w:p>
                        </w:tc>
                        <w:tc>
                          <w:tcPr>
                            <w:tcW w:w="553" w:type="pct"/>
                            <w:tcBorders>
                              <w:top w:val="nil"/>
                              <w:left w:val="nil"/>
                              <w:bottom w:val="nil"/>
                              <w:right w:val="nil"/>
                            </w:tcBorders>
                            <w:hideMark/>
                          </w:tcPr>
                          <w:p w14:paraId="176B38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(94,809.0)  </w:t>
                            </w:r>
                          </w:p>
                        </w:tc>
                        <w:tc>
                          <w:tcPr>
                            <w:tcW w:w="593" w:type="pct"/>
                            <w:tcBorders>
                              <w:top w:val="nil"/>
                              <w:left w:val="nil"/>
                              <w:bottom w:val="nil"/>
                              <w:right w:val="nil"/>
                            </w:tcBorders>
                            <w:hideMark/>
                          </w:tcPr>
                          <w:p w14:paraId="075C00E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(101,610.0)  </w:t>
                            </w:r>
                          </w:p>
                        </w:tc>
                        <w:tc>
                          <w:tcPr>
                            <w:tcW w:w="593" w:type="pct"/>
                            <w:tcBorders>
                              <w:top w:val="nil"/>
                              <w:left w:val="nil"/>
                              <w:bottom w:val="nil"/>
                              <w:right w:val="nil"/>
                            </w:tcBorders>
                            <w:hideMark/>
                          </w:tcPr>
                          <w:p w14:paraId="6F9B34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(109,049.0)  </w:t>
                            </w:r>
                          </w:p>
                        </w:tc>
                        <w:tc>
                          <w:tcPr>
                            <w:tcW w:w="593" w:type="pct"/>
                            <w:tcBorders>
                              <w:top w:val="nil"/>
                              <w:left w:val="nil"/>
                              <w:bottom w:val="nil"/>
                              <w:right w:val="nil"/>
                            </w:tcBorders>
                            <w:hideMark/>
                          </w:tcPr>
                          <w:p w14:paraId="304CF26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(123,646.0)  </w:t>
                            </w:r>
                          </w:p>
                        </w:tc>
                      </w:tr>
                      <w:tr w:rsidR="0014207C" w:rsidRPr="0014207C" w14:paraId="27ED8C9B" w14:textId="77777777" w:rsidTr="0014207C">
                        <w:trPr>
                          <w:trHeight w:val="204"/>
                        </w:trPr>
                        <w:tc>
                          <w:tcPr>
                            <w:tcW w:w="1562" w:type="pct"/>
                            <w:tcBorders>
                              <w:top w:val="nil"/>
                              <w:left w:val="nil"/>
                              <w:bottom w:val="nil"/>
                              <w:right w:val="nil"/>
                            </w:tcBorders>
                            <w:noWrap/>
                            <w:hideMark/>
                          </w:tcPr>
                          <w:p w14:paraId="4C13DD98"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Net Property, Plant &amp; Equipment</w:t>
                            </w:r>
                          </w:p>
                        </w:tc>
                        <w:tc>
                          <w:tcPr>
                            <w:tcW w:w="553" w:type="pct"/>
                            <w:tcBorders>
                              <w:top w:val="single" w:sz="4" w:space="0" w:color="000000"/>
                              <w:left w:val="nil"/>
                              <w:bottom w:val="nil"/>
                              <w:right w:val="nil"/>
                            </w:tcBorders>
                            <w:hideMark/>
                          </w:tcPr>
                          <w:p w14:paraId="3128F63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127,049.0 </w:t>
                            </w:r>
                          </w:p>
                        </w:tc>
                        <w:tc>
                          <w:tcPr>
                            <w:tcW w:w="553" w:type="pct"/>
                            <w:tcBorders>
                              <w:top w:val="single" w:sz="4" w:space="0" w:color="000000"/>
                              <w:left w:val="nil"/>
                              <w:bottom w:val="nil"/>
                              <w:right w:val="nil"/>
                            </w:tcBorders>
                            <w:hideMark/>
                          </w:tcPr>
                          <w:p w14:paraId="0B79BE2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109,848.0 </w:t>
                            </w:r>
                          </w:p>
                        </w:tc>
                        <w:tc>
                          <w:tcPr>
                            <w:tcW w:w="553" w:type="pct"/>
                            <w:tcBorders>
                              <w:top w:val="single" w:sz="4" w:space="0" w:color="000000"/>
                              <w:left w:val="nil"/>
                              <w:bottom w:val="nil"/>
                              <w:right w:val="nil"/>
                            </w:tcBorders>
                            <w:hideMark/>
                          </w:tcPr>
                          <w:p w14:paraId="588167F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112,624.0 </w:t>
                            </w:r>
                          </w:p>
                        </w:tc>
                        <w:tc>
                          <w:tcPr>
                            <w:tcW w:w="593" w:type="pct"/>
                            <w:tcBorders>
                              <w:top w:val="single" w:sz="4" w:space="0" w:color="000000"/>
                              <w:left w:val="nil"/>
                              <w:bottom w:val="nil"/>
                              <w:right w:val="nil"/>
                            </w:tcBorders>
                            <w:hideMark/>
                          </w:tcPr>
                          <w:p w14:paraId="777D46B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119,234.0 </w:t>
                            </w:r>
                          </w:p>
                        </w:tc>
                        <w:tc>
                          <w:tcPr>
                            <w:tcW w:w="593" w:type="pct"/>
                            <w:tcBorders>
                              <w:top w:val="single" w:sz="4" w:space="0" w:color="000000"/>
                              <w:left w:val="nil"/>
                              <w:bottom w:val="nil"/>
                              <w:right w:val="nil"/>
                            </w:tcBorders>
                            <w:hideMark/>
                          </w:tcPr>
                          <w:p w14:paraId="1C0FB7B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130,338.0 </w:t>
                            </w:r>
                          </w:p>
                        </w:tc>
                        <w:tc>
                          <w:tcPr>
                            <w:tcW w:w="593" w:type="pct"/>
                            <w:tcBorders>
                              <w:top w:val="single" w:sz="4" w:space="0" w:color="000000"/>
                              <w:left w:val="nil"/>
                              <w:bottom w:val="nil"/>
                              <w:right w:val="nil"/>
                            </w:tcBorders>
                            <w:hideMark/>
                          </w:tcPr>
                          <w:p w14:paraId="2207FFD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139,704.0 </w:t>
                            </w:r>
                          </w:p>
                        </w:tc>
                      </w:tr>
                      <w:tr w:rsidR="0014207C" w:rsidRPr="0014207C" w14:paraId="4D676593" w14:textId="77777777" w:rsidTr="0014207C">
                        <w:trPr>
                          <w:trHeight w:val="204"/>
                        </w:trPr>
                        <w:tc>
                          <w:tcPr>
                            <w:tcW w:w="1562" w:type="pct"/>
                            <w:tcBorders>
                              <w:top w:val="nil"/>
                              <w:left w:val="nil"/>
                              <w:bottom w:val="nil"/>
                              <w:right w:val="nil"/>
                            </w:tcBorders>
                            <w:noWrap/>
                            <w:hideMark/>
                          </w:tcPr>
                          <w:p w14:paraId="5F37D91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7C8F5B4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2AEC26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5641DF8"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CDE69F2"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B931AE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57B7C9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749E7BB" w14:textId="77777777" w:rsidTr="0014207C">
                        <w:trPr>
                          <w:trHeight w:val="204"/>
                        </w:trPr>
                        <w:tc>
                          <w:tcPr>
                            <w:tcW w:w="1562" w:type="pct"/>
                            <w:tcBorders>
                              <w:top w:val="nil"/>
                              <w:left w:val="nil"/>
                              <w:bottom w:val="nil"/>
                              <w:right w:val="nil"/>
                            </w:tcBorders>
                            <w:noWrap/>
                            <w:hideMark/>
                          </w:tcPr>
                          <w:p w14:paraId="12B0A58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Investments</w:t>
                            </w:r>
                          </w:p>
                        </w:tc>
                        <w:tc>
                          <w:tcPr>
                            <w:tcW w:w="553" w:type="pct"/>
                            <w:tcBorders>
                              <w:top w:val="nil"/>
                              <w:left w:val="nil"/>
                              <w:bottom w:val="nil"/>
                              <w:right w:val="nil"/>
                            </w:tcBorders>
                            <w:hideMark/>
                          </w:tcPr>
                          <w:p w14:paraId="1DC9E4F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5,990.0 </w:t>
                            </w:r>
                          </w:p>
                        </w:tc>
                        <w:tc>
                          <w:tcPr>
                            <w:tcW w:w="553" w:type="pct"/>
                            <w:tcBorders>
                              <w:top w:val="nil"/>
                              <w:left w:val="nil"/>
                              <w:bottom w:val="nil"/>
                              <w:right w:val="nil"/>
                            </w:tcBorders>
                            <w:hideMark/>
                          </w:tcPr>
                          <w:p w14:paraId="656173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14,899.0 </w:t>
                            </w:r>
                          </w:p>
                        </w:tc>
                        <w:tc>
                          <w:tcPr>
                            <w:tcW w:w="553" w:type="pct"/>
                            <w:tcBorders>
                              <w:top w:val="nil"/>
                              <w:left w:val="nil"/>
                              <w:bottom w:val="nil"/>
                              <w:right w:val="nil"/>
                            </w:tcBorders>
                            <w:hideMark/>
                          </w:tcPr>
                          <w:p w14:paraId="66970A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12,888.0 </w:t>
                            </w:r>
                          </w:p>
                        </w:tc>
                        <w:tc>
                          <w:tcPr>
                            <w:tcW w:w="593" w:type="pct"/>
                            <w:tcBorders>
                              <w:top w:val="nil"/>
                              <w:left w:val="nil"/>
                              <w:bottom w:val="nil"/>
                              <w:right w:val="nil"/>
                            </w:tcBorders>
                            <w:hideMark/>
                          </w:tcPr>
                          <w:p w14:paraId="4B8ADB2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11,169.0 </w:t>
                            </w:r>
                          </w:p>
                        </w:tc>
                        <w:tc>
                          <w:tcPr>
                            <w:tcW w:w="593" w:type="pct"/>
                            <w:tcBorders>
                              <w:top w:val="nil"/>
                              <w:left w:val="nil"/>
                              <w:bottom w:val="nil"/>
                              <w:right w:val="nil"/>
                            </w:tcBorders>
                            <w:hideMark/>
                          </w:tcPr>
                          <w:p w14:paraId="29060B5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8,449.0 </w:t>
                            </w:r>
                          </w:p>
                        </w:tc>
                        <w:tc>
                          <w:tcPr>
                            <w:tcW w:w="593" w:type="pct"/>
                            <w:tcBorders>
                              <w:top w:val="nil"/>
                              <w:left w:val="nil"/>
                              <w:bottom w:val="nil"/>
                              <w:right w:val="nil"/>
                            </w:tcBorders>
                            <w:hideMark/>
                          </w:tcPr>
                          <w:p w14:paraId="67EE97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BE22D2A" w14:textId="77777777" w:rsidTr="0014207C">
                        <w:trPr>
                          <w:trHeight w:val="204"/>
                        </w:trPr>
                        <w:tc>
                          <w:tcPr>
                            <w:tcW w:w="1562" w:type="pct"/>
                            <w:tcBorders>
                              <w:top w:val="nil"/>
                              <w:left w:val="nil"/>
                              <w:bottom w:val="nil"/>
                              <w:right w:val="nil"/>
                            </w:tcBorders>
                            <w:noWrap/>
                            <w:hideMark/>
                          </w:tcPr>
                          <w:p w14:paraId="794BBF75"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Goodwill</w:t>
                            </w:r>
                          </w:p>
                        </w:tc>
                        <w:tc>
                          <w:tcPr>
                            <w:tcW w:w="553" w:type="pct"/>
                            <w:tcBorders>
                              <w:top w:val="nil"/>
                              <w:left w:val="nil"/>
                              <w:bottom w:val="nil"/>
                              <w:right w:val="nil"/>
                            </w:tcBorders>
                            <w:hideMark/>
                          </w:tcPr>
                          <w:p w14:paraId="69FCD32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31,073.0 </w:t>
                            </w:r>
                          </w:p>
                        </w:tc>
                        <w:tc>
                          <w:tcPr>
                            <w:tcW w:w="553" w:type="pct"/>
                            <w:tcBorders>
                              <w:top w:val="nil"/>
                              <w:left w:val="nil"/>
                              <w:bottom w:val="nil"/>
                              <w:right w:val="nil"/>
                            </w:tcBorders>
                            <w:hideMark/>
                          </w:tcPr>
                          <w:p w14:paraId="233C7AE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28,983.0 </w:t>
                            </w:r>
                          </w:p>
                        </w:tc>
                        <w:tc>
                          <w:tcPr>
                            <w:tcW w:w="553" w:type="pct"/>
                            <w:tcBorders>
                              <w:top w:val="nil"/>
                              <w:left w:val="nil"/>
                              <w:bottom w:val="nil"/>
                              <w:right w:val="nil"/>
                            </w:tcBorders>
                            <w:hideMark/>
                          </w:tcPr>
                          <w:p w14:paraId="624472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29,014.0 </w:t>
                            </w:r>
                          </w:p>
                        </w:tc>
                        <w:tc>
                          <w:tcPr>
                            <w:tcW w:w="593" w:type="pct"/>
                            <w:tcBorders>
                              <w:top w:val="nil"/>
                              <w:left w:val="nil"/>
                              <w:bottom w:val="nil"/>
                              <w:right w:val="nil"/>
                            </w:tcBorders>
                            <w:hideMark/>
                          </w:tcPr>
                          <w:p w14:paraId="76F1E58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28,174.0 </w:t>
                            </w:r>
                          </w:p>
                        </w:tc>
                        <w:tc>
                          <w:tcPr>
                            <w:tcW w:w="593" w:type="pct"/>
                            <w:tcBorders>
                              <w:top w:val="nil"/>
                              <w:left w:val="nil"/>
                              <w:bottom w:val="nil"/>
                              <w:right w:val="nil"/>
                            </w:tcBorders>
                            <w:hideMark/>
                          </w:tcPr>
                          <w:p w14:paraId="38FEEFA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28,113.0 </w:t>
                            </w:r>
                          </w:p>
                        </w:tc>
                        <w:tc>
                          <w:tcPr>
                            <w:tcW w:w="593" w:type="pct"/>
                            <w:tcBorders>
                              <w:top w:val="nil"/>
                              <w:left w:val="nil"/>
                              <w:bottom w:val="nil"/>
                              <w:right w:val="nil"/>
                            </w:tcBorders>
                            <w:hideMark/>
                          </w:tcPr>
                          <w:p w14:paraId="273C35A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28,792.0 </w:t>
                            </w:r>
                          </w:p>
                        </w:tc>
                      </w:tr>
                      <w:tr w:rsidR="0014207C" w:rsidRPr="0014207C" w14:paraId="62F233C6" w14:textId="77777777" w:rsidTr="0014207C">
                        <w:trPr>
                          <w:trHeight w:val="204"/>
                        </w:trPr>
                        <w:tc>
                          <w:tcPr>
                            <w:tcW w:w="1562" w:type="pct"/>
                            <w:tcBorders>
                              <w:top w:val="nil"/>
                              <w:left w:val="nil"/>
                              <w:bottom w:val="nil"/>
                              <w:right w:val="nil"/>
                            </w:tcBorders>
                            <w:noWrap/>
                            <w:hideMark/>
                          </w:tcPr>
                          <w:p w14:paraId="3EEB8FA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Intangibles</w:t>
                            </w:r>
                          </w:p>
                        </w:tc>
                        <w:tc>
                          <w:tcPr>
                            <w:tcW w:w="553" w:type="pct"/>
                            <w:tcBorders>
                              <w:top w:val="nil"/>
                              <w:left w:val="nil"/>
                              <w:bottom w:val="nil"/>
                              <w:right w:val="nil"/>
                            </w:tcBorders>
                            <w:hideMark/>
                          </w:tcPr>
                          <w:p w14:paraId="6DF1F8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5,200.0 </w:t>
                            </w:r>
                          </w:p>
                        </w:tc>
                        <w:tc>
                          <w:tcPr>
                            <w:tcW w:w="553" w:type="pct"/>
                            <w:tcBorders>
                              <w:top w:val="nil"/>
                              <w:left w:val="nil"/>
                              <w:bottom w:val="nil"/>
                              <w:right w:val="nil"/>
                            </w:tcBorders>
                            <w:hideMark/>
                          </w:tcPr>
                          <w:p w14:paraId="76D6CDE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4,900.0 </w:t>
                            </w:r>
                          </w:p>
                        </w:tc>
                        <w:tc>
                          <w:tcPr>
                            <w:tcW w:w="553" w:type="pct"/>
                            <w:tcBorders>
                              <w:top w:val="nil"/>
                              <w:left w:val="nil"/>
                              <w:bottom w:val="nil"/>
                              <w:right w:val="nil"/>
                            </w:tcBorders>
                            <w:hideMark/>
                          </w:tcPr>
                          <w:p w14:paraId="29A6899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4,800.0 </w:t>
                            </w:r>
                          </w:p>
                        </w:tc>
                        <w:tc>
                          <w:tcPr>
                            <w:tcW w:w="593" w:type="pct"/>
                            <w:tcBorders>
                              <w:top w:val="nil"/>
                              <w:left w:val="nil"/>
                              <w:bottom w:val="nil"/>
                              <w:right w:val="nil"/>
                            </w:tcBorders>
                            <w:hideMark/>
                          </w:tcPr>
                          <w:p w14:paraId="74FA0C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4,300.0 </w:t>
                            </w:r>
                          </w:p>
                        </w:tc>
                        <w:tc>
                          <w:tcPr>
                            <w:tcW w:w="593" w:type="pct"/>
                            <w:tcBorders>
                              <w:top w:val="nil"/>
                              <w:left w:val="nil"/>
                              <w:bottom w:val="nil"/>
                              <w:right w:val="nil"/>
                            </w:tcBorders>
                            <w:hideMark/>
                          </w:tcPr>
                          <w:p w14:paraId="37BA80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4,100.0 </w:t>
                            </w:r>
                          </w:p>
                        </w:tc>
                        <w:tc>
                          <w:tcPr>
                            <w:tcW w:w="593" w:type="pct"/>
                            <w:tcBorders>
                              <w:top w:val="nil"/>
                              <w:left w:val="nil"/>
                              <w:bottom w:val="nil"/>
                              <w:right w:val="nil"/>
                            </w:tcBorders>
                            <w:hideMark/>
                          </w:tcPr>
                          <w:p w14:paraId="08CE071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536A1D22" w14:textId="77777777" w:rsidTr="0014207C">
                        <w:trPr>
                          <w:trHeight w:val="204"/>
                        </w:trPr>
                        <w:tc>
                          <w:tcPr>
                            <w:tcW w:w="1562" w:type="pct"/>
                            <w:tcBorders>
                              <w:top w:val="nil"/>
                              <w:left w:val="nil"/>
                              <w:bottom w:val="nil"/>
                              <w:right w:val="nil"/>
                            </w:tcBorders>
                            <w:noWrap/>
                            <w:hideMark/>
                          </w:tcPr>
                          <w:p w14:paraId="00B924E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Deferred Tax Assets, LT</w:t>
                            </w:r>
                          </w:p>
                        </w:tc>
                        <w:tc>
                          <w:tcPr>
                            <w:tcW w:w="553" w:type="pct"/>
                            <w:tcBorders>
                              <w:top w:val="nil"/>
                              <w:left w:val="nil"/>
                              <w:bottom w:val="nil"/>
                              <w:right w:val="nil"/>
                            </w:tcBorders>
                            <w:hideMark/>
                          </w:tcPr>
                          <w:p w14:paraId="59C949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1,914.0 </w:t>
                            </w:r>
                          </w:p>
                        </w:tc>
                        <w:tc>
                          <w:tcPr>
                            <w:tcW w:w="553" w:type="pct"/>
                            <w:tcBorders>
                              <w:top w:val="nil"/>
                              <w:left w:val="nil"/>
                              <w:bottom w:val="nil"/>
                              <w:right w:val="nil"/>
                            </w:tcBorders>
                            <w:hideMark/>
                          </w:tcPr>
                          <w:p w14:paraId="1A1935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1,836.0 </w:t>
                            </w:r>
                          </w:p>
                        </w:tc>
                        <w:tc>
                          <w:tcPr>
                            <w:tcW w:w="553" w:type="pct"/>
                            <w:tcBorders>
                              <w:top w:val="nil"/>
                              <w:left w:val="nil"/>
                              <w:bottom w:val="nil"/>
                              <w:right w:val="nil"/>
                            </w:tcBorders>
                            <w:hideMark/>
                          </w:tcPr>
                          <w:p w14:paraId="5420503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1,473.0 </w:t>
                            </w:r>
                          </w:p>
                        </w:tc>
                        <w:tc>
                          <w:tcPr>
                            <w:tcW w:w="593" w:type="pct"/>
                            <w:tcBorders>
                              <w:top w:val="nil"/>
                              <w:left w:val="nil"/>
                              <w:bottom w:val="nil"/>
                              <w:right w:val="nil"/>
                            </w:tcBorders>
                            <w:hideMark/>
                          </w:tcPr>
                          <w:p w14:paraId="76B1AF8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1,503.0 </w:t>
                            </w:r>
                          </w:p>
                        </w:tc>
                        <w:tc>
                          <w:tcPr>
                            <w:tcW w:w="593" w:type="pct"/>
                            <w:tcBorders>
                              <w:top w:val="nil"/>
                              <w:left w:val="nil"/>
                              <w:bottom w:val="nil"/>
                              <w:right w:val="nil"/>
                            </w:tcBorders>
                            <w:hideMark/>
                          </w:tcPr>
                          <w:p w14:paraId="19A8E4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1,663.0 </w:t>
                            </w:r>
                          </w:p>
                        </w:tc>
                        <w:tc>
                          <w:tcPr>
                            <w:tcW w:w="593" w:type="pct"/>
                            <w:tcBorders>
                              <w:top w:val="nil"/>
                              <w:left w:val="nil"/>
                              <w:bottom w:val="nil"/>
                              <w:right w:val="nil"/>
                            </w:tcBorders>
                            <w:hideMark/>
                          </w:tcPr>
                          <w:p w14:paraId="7F53F8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471C4F7" w14:textId="77777777" w:rsidTr="0014207C">
                        <w:trPr>
                          <w:trHeight w:val="204"/>
                        </w:trPr>
                        <w:tc>
                          <w:tcPr>
                            <w:tcW w:w="1562" w:type="pct"/>
                            <w:tcBorders>
                              <w:top w:val="nil"/>
                              <w:left w:val="nil"/>
                              <w:bottom w:val="nil"/>
                              <w:right w:val="nil"/>
                            </w:tcBorders>
                            <w:noWrap/>
                            <w:hideMark/>
                          </w:tcPr>
                          <w:p w14:paraId="28EC75C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Long-Term Assets</w:t>
                            </w:r>
                          </w:p>
                        </w:tc>
                        <w:tc>
                          <w:tcPr>
                            <w:tcW w:w="553" w:type="pct"/>
                            <w:tcBorders>
                              <w:top w:val="nil"/>
                              <w:left w:val="nil"/>
                              <w:bottom w:val="nil"/>
                              <w:right w:val="nil"/>
                            </w:tcBorders>
                            <w:hideMark/>
                          </w:tcPr>
                          <w:p w14:paraId="126FE1C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3,463.0 </w:t>
                            </w:r>
                          </w:p>
                        </w:tc>
                        <w:tc>
                          <w:tcPr>
                            <w:tcW w:w="553" w:type="pct"/>
                            <w:tcBorders>
                              <w:top w:val="nil"/>
                              <w:left w:val="nil"/>
                              <w:bottom w:val="nil"/>
                              <w:right w:val="nil"/>
                            </w:tcBorders>
                            <w:hideMark/>
                          </w:tcPr>
                          <w:p w14:paraId="6935AB3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1,963.0 </w:t>
                            </w:r>
                          </w:p>
                        </w:tc>
                        <w:tc>
                          <w:tcPr>
                            <w:tcW w:w="553" w:type="pct"/>
                            <w:tcBorders>
                              <w:top w:val="nil"/>
                              <w:left w:val="nil"/>
                              <w:bottom w:val="nil"/>
                              <w:right w:val="nil"/>
                            </w:tcBorders>
                            <w:hideMark/>
                          </w:tcPr>
                          <w:p w14:paraId="4AF65CF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2,991.0 </w:t>
                            </w:r>
                          </w:p>
                        </w:tc>
                        <w:tc>
                          <w:tcPr>
                            <w:tcW w:w="593" w:type="pct"/>
                            <w:tcBorders>
                              <w:top w:val="nil"/>
                              <w:left w:val="nil"/>
                              <w:bottom w:val="nil"/>
                              <w:right w:val="nil"/>
                            </w:tcBorders>
                            <w:hideMark/>
                          </w:tcPr>
                          <w:p w14:paraId="6859062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3,162.0 </w:t>
                            </w:r>
                          </w:p>
                        </w:tc>
                        <w:tc>
                          <w:tcPr>
                            <w:tcW w:w="593" w:type="pct"/>
                            <w:tcBorders>
                              <w:top w:val="nil"/>
                              <w:left w:val="nil"/>
                              <w:bottom w:val="nil"/>
                              <w:right w:val="nil"/>
                            </w:tcBorders>
                            <w:hideMark/>
                          </w:tcPr>
                          <w:p w14:paraId="3A4D2C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2,859.0 </w:t>
                            </w:r>
                          </w:p>
                        </w:tc>
                        <w:tc>
                          <w:tcPr>
                            <w:tcW w:w="593" w:type="pct"/>
                            <w:tcBorders>
                              <w:top w:val="nil"/>
                              <w:left w:val="nil"/>
                              <w:bottom w:val="nil"/>
                              <w:right w:val="nil"/>
                            </w:tcBorders>
                            <w:hideMark/>
                          </w:tcPr>
                          <w:p w14:paraId="3DA1D4E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12,869.0 </w:t>
                            </w:r>
                          </w:p>
                        </w:tc>
                      </w:tr>
                      <w:tr w:rsidR="0014207C" w:rsidRPr="0014207C" w14:paraId="78D609B9" w14:textId="77777777" w:rsidTr="0014207C">
                        <w:trPr>
                          <w:trHeight w:val="204"/>
                        </w:trPr>
                        <w:tc>
                          <w:tcPr>
                            <w:tcW w:w="1562" w:type="pct"/>
                            <w:tcBorders>
                              <w:top w:val="nil"/>
                              <w:left w:val="nil"/>
                              <w:bottom w:val="nil"/>
                              <w:right w:val="nil"/>
                            </w:tcBorders>
                            <w:noWrap/>
                            <w:hideMark/>
                          </w:tcPr>
                          <w:p w14:paraId="1B9DF4C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Assets</w:t>
                            </w:r>
                          </w:p>
                        </w:tc>
                        <w:tc>
                          <w:tcPr>
                            <w:tcW w:w="553" w:type="pct"/>
                            <w:tcBorders>
                              <w:top w:val="single" w:sz="4" w:space="0" w:color="000000"/>
                              <w:left w:val="nil"/>
                              <w:bottom w:val="nil"/>
                              <w:right w:val="nil"/>
                            </w:tcBorders>
                            <w:hideMark/>
                          </w:tcPr>
                          <w:p w14:paraId="15C5116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236,495.0 </w:t>
                            </w:r>
                          </w:p>
                        </w:tc>
                        <w:tc>
                          <w:tcPr>
                            <w:tcW w:w="553" w:type="pct"/>
                            <w:tcBorders>
                              <w:top w:val="single" w:sz="4" w:space="0" w:color="000000"/>
                              <w:left w:val="nil"/>
                              <w:bottom w:val="nil"/>
                              <w:right w:val="nil"/>
                            </w:tcBorders>
                            <w:hideMark/>
                          </w:tcPr>
                          <w:p w14:paraId="44384C7E"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252,496.0 </w:t>
                            </w:r>
                          </w:p>
                        </w:tc>
                        <w:tc>
                          <w:tcPr>
                            <w:tcW w:w="553" w:type="pct"/>
                            <w:tcBorders>
                              <w:top w:val="single" w:sz="4" w:space="0" w:color="000000"/>
                              <w:left w:val="nil"/>
                              <w:bottom w:val="nil"/>
                              <w:right w:val="nil"/>
                            </w:tcBorders>
                            <w:hideMark/>
                          </w:tcPr>
                          <w:p w14:paraId="3EDB559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244,860.0 </w:t>
                            </w:r>
                          </w:p>
                        </w:tc>
                        <w:tc>
                          <w:tcPr>
                            <w:tcW w:w="593" w:type="pct"/>
                            <w:tcBorders>
                              <w:top w:val="single" w:sz="4" w:space="0" w:color="000000"/>
                              <w:left w:val="nil"/>
                              <w:bottom w:val="nil"/>
                              <w:right w:val="nil"/>
                            </w:tcBorders>
                            <w:hideMark/>
                          </w:tcPr>
                          <w:p w14:paraId="7F6F573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243,197.0 </w:t>
                            </w:r>
                          </w:p>
                        </w:tc>
                        <w:tc>
                          <w:tcPr>
                            <w:tcW w:w="593" w:type="pct"/>
                            <w:tcBorders>
                              <w:top w:val="single" w:sz="4" w:space="0" w:color="000000"/>
                              <w:left w:val="nil"/>
                              <w:bottom w:val="nil"/>
                              <w:right w:val="nil"/>
                            </w:tcBorders>
                            <w:hideMark/>
                          </w:tcPr>
                          <w:p w14:paraId="6D71151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252,399.0 </w:t>
                            </w:r>
                          </w:p>
                        </w:tc>
                        <w:tc>
                          <w:tcPr>
                            <w:tcW w:w="593" w:type="pct"/>
                            <w:tcBorders>
                              <w:top w:val="single" w:sz="4" w:space="0" w:color="000000"/>
                              <w:left w:val="nil"/>
                              <w:bottom w:val="nil"/>
                              <w:right w:val="nil"/>
                            </w:tcBorders>
                            <w:hideMark/>
                          </w:tcPr>
                          <w:p w14:paraId="2643245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260,823.0 </w:t>
                            </w:r>
                          </w:p>
                        </w:tc>
                      </w:tr>
                      <w:tr w:rsidR="0014207C" w:rsidRPr="0014207C" w14:paraId="78BA1A18" w14:textId="77777777" w:rsidTr="0014207C">
                        <w:trPr>
                          <w:trHeight w:val="204"/>
                        </w:trPr>
                        <w:tc>
                          <w:tcPr>
                            <w:tcW w:w="1562" w:type="pct"/>
                            <w:tcBorders>
                              <w:top w:val="nil"/>
                              <w:left w:val="nil"/>
                              <w:bottom w:val="nil"/>
                              <w:right w:val="nil"/>
                            </w:tcBorders>
                            <w:noWrap/>
                            <w:hideMark/>
                          </w:tcPr>
                          <w:p w14:paraId="46400288"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p>
                        </w:tc>
                        <w:tc>
                          <w:tcPr>
                            <w:tcW w:w="553" w:type="pct"/>
                            <w:tcBorders>
                              <w:top w:val="nil"/>
                              <w:left w:val="nil"/>
                              <w:bottom w:val="nil"/>
                              <w:right w:val="nil"/>
                            </w:tcBorders>
                            <w:noWrap/>
                            <w:hideMark/>
                          </w:tcPr>
                          <w:p w14:paraId="20ADECD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B64520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2AC4A9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6B62720"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507A6C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96FEC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291D1FF8" w14:textId="77777777" w:rsidTr="0014207C">
                        <w:trPr>
                          <w:trHeight w:val="204"/>
                        </w:trPr>
                        <w:tc>
                          <w:tcPr>
                            <w:tcW w:w="1562" w:type="pct"/>
                            <w:tcBorders>
                              <w:top w:val="nil"/>
                              <w:left w:val="nil"/>
                              <w:bottom w:val="nil"/>
                              <w:right w:val="nil"/>
                            </w:tcBorders>
                            <w:noWrap/>
                            <w:hideMark/>
                          </w:tcPr>
                          <w:p w14:paraId="16881530"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LIABILITIES</w:t>
                            </w:r>
                          </w:p>
                        </w:tc>
                        <w:tc>
                          <w:tcPr>
                            <w:tcW w:w="553" w:type="pct"/>
                            <w:tcBorders>
                              <w:top w:val="nil"/>
                              <w:left w:val="nil"/>
                              <w:bottom w:val="nil"/>
                              <w:right w:val="nil"/>
                            </w:tcBorders>
                            <w:noWrap/>
                            <w:hideMark/>
                          </w:tcPr>
                          <w:p w14:paraId="7DA19FAF"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3C78073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3B8BE2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41632EAA"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502037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94B4ED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704D031A" w14:textId="77777777" w:rsidTr="0014207C">
                        <w:trPr>
                          <w:trHeight w:val="204"/>
                        </w:trPr>
                        <w:tc>
                          <w:tcPr>
                            <w:tcW w:w="1562" w:type="pct"/>
                            <w:tcBorders>
                              <w:top w:val="nil"/>
                              <w:left w:val="nil"/>
                              <w:bottom w:val="nil"/>
                              <w:right w:val="nil"/>
                            </w:tcBorders>
                            <w:noWrap/>
                            <w:hideMark/>
                          </w:tcPr>
                          <w:p w14:paraId="5D6042F6"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Accounts Payable</w:t>
                            </w:r>
                          </w:p>
                        </w:tc>
                        <w:tc>
                          <w:tcPr>
                            <w:tcW w:w="553" w:type="pct"/>
                            <w:tcBorders>
                              <w:top w:val="nil"/>
                              <w:left w:val="nil"/>
                              <w:bottom w:val="nil"/>
                              <w:right w:val="nil"/>
                            </w:tcBorders>
                            <w:hideMark/>
                          </w:tcPr>
                          <w:p w14:paraId="50F5B75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46,973.0 </w:t>
                            </w:r>
                          </w:p>
                        </w:tc>
                        <w:tc>
                          <w:tcPr>
                            <w:tcW w:w="553" w:type="pct"/>
                            <w:tcBorders>
                              <w:top w:val="nil"/>
                              <w:left w:val="nil"/>
                              <w:bottom w:val="nil"/>
                              <w:right w:val="nil"/>
                            </w:tcBorders>
                            <w:hideMark/>
                          </w:tcPr>
                          <w:p w14:paraId="7D87C55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49,141.0 </w:t>
                            </w:r>
                          </w:p>
                        </w:tc>
                        <w:tc>
                          <w:tcPr>
                            <w:tcW w:w="553" w:type="pct"/>
                            <w:tcBorders>
                              <w:top w:val="nil"/>
                              <w:left w:val="nil"/>
                              <w:bottom w:val="nil"/>
                              <w:right w:val="nil"/>
                            </w:tcBorders>
                            <w:hideMark/>
                          </w:tcPr>
                          <w:p w14:paraId="5CA9BB8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55,261.0 </w:t>
                            </w:r>
                          </w:p>
                        </w:tc>
                        <w:tc>
                          <w:tcPr>
                            <w:tcW w:w="593" w:type="pct"/>
                            <w:tcBorders>
                              <w:top w:val="nil"/>
                              <w:left w:val="nil"/>
                              <w:bottom w:val="nil"/>
                              <w:right w:val="nil"/>
                            </w:tcBorders>
                            <w:hideMark/>
                          </w:tcPr>
                          <w:p w14:paraId="768BCA5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53,742.0 </w:t>
                            </w:r>
                          </w:p>
                        </w:tc>
                        <w:tc>
                          <w:tcPr>
                            <w:tcW w:w="593" w:type="pct"/>
                            <w:tcBorders>
                              <w:top w:val="nil"/>
                              <w:left w:val="nil"/>
                              <w:bottom w:val="nil"/>
                              <w:right w:val="nil"/>
                            </w:tcBorders>
                            <w:hideMark/>
                          </w:tcPr>
                          <w:p w14:paraId="6BDE2A1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56,812.0 </w:t>
                            </w:r>
                          </w:p>
                        </w:tc>
                        <w:tc>
                          <w:tcPr>
                            <w:tcW w:w="593" w:type="pct"/>
                            <w:tcBorders>
                              <w:top w:val="nil"/>
                              <w:left w:val="nil"/>
                              <w:bottom w:val="nil"/>
                              <w:right w:val="nil"/>
                            </w:tcBorders>
                            <w:hideMark/>
                          </w:tcPr>
                          <w:p w14:paraId="4501C77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58,666.0 </w:t>
                            </w:r>
                          </w:p>
                        </w:tc>
                      </w:tr>
                      <w:tr w:rsidR="0014207C" w:rsidRPr="0014207C" w14:paraId="45BD649D" w14:textId="77777777" w:rsidTr="0014207C">
                        <w:trPr>
                          <w:trHeight w:val="204"/>
                        </w:trPr>
                        <w:tc>
                          <w:tcPr>
                            <w:tcW w:w="1562" w:type="pct"/>
                            <w:tcBorders>
                              <w:top w:val="nil"/>
                              <w:left w:val="nil"/>
                              <w:bottom w:val="nil"/>
                              <w:right w:val="nil"/>
                            </w:tcBorders>
                            <w:noWrap/>
                            <w:hideMark/>
                          </w:tcPr>
                          <w:p w14:paraId="557D007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Accrued Exp.</w:t>
                            </w:r>
                          </w:p>
                        </w:tc>
                        <w:tc>
                          <w:tcPr>
                            <w:tcW w:w="553" w:type="pct"/>
                            <w:tcBorders>
                              <w:top w:val="nil"/>
                              <w:left w:val="nil"/>
                              <w:bottom w:val="nil"/>
                              <w:right w:val="nil"/>
                            </w:tcBorders>
                            <w:hideMark/>
                          </w:tcPr>
                          <w:p w14:paraId="3787D7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13,601.0 </w:t>
                            </w:r>
                          </w:p>
                        </w:tc>
                        <w:tc>
                          <w:tcPr>
                            <w:tcW w:w="553" w:type="pct"/>
                            <w:tcBorders>
                              <w:top w:val="nil"/>
                              <w:left w:val="nil"/>
                              <w:bottom w:val="nil"/>
                              <w:right w:val="nil"/>
                            </w:tcBorders>
                            <w:hideMark/>
                          </w:tcPr>
                          <w:p w14:paraId="7164515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22,922.0 </w:t>
                            </w:r>
                          </w:p>
                        </w:tc>
                        <w:tc>
                          <w:tcPr>
                            <w:tcW w:w="553" w:type="pct"/>
                            <w:tcBorders>
                              <w:top w:val="nil"/>
                              <w:left w:val="nil"/>
                              <w:bottom w:val="nil"/>
                              <w:right w:val="nil"/>
                            </w:tcBorders>
                            <w:hideMark/>
                          </w:tcPr>
                          <w:p w14:paraId="3092A8F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23,501.0 </w:t>
                            </w:r>
                          </w:p>
                        </w:tc>
                        <w:tc>
                          <w:tcPr>
                            <w:tcW w:w="593" w:type="pct"/>
                            <w:tcBorders>
                              <w:top w:val="nil"/>
                              <w:left w:val="nil"/>
                              <w:bottom w:val="nil"/>
                              <w:right w:val="nil"/>
                            </w:tcBorders>
                            <w:hideMark/>
                          </w:tcPr>
                          <w:p w14:paraId="0568E48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25,689.0 </w:t>
                            </w:r>
                          </w:p>
                        </w:tc>
                        <w:tc>
                          <w:tcPr>
                            <w:tcW w:w="593" w:type="pct"/>
                            <w:tcBorders>
                              <w:top w:val="nil"/>
                              <w:left w:val="nil"/>
                              <w:bottom w:val="nil"/>
                              <w:right w:val="nil"/>
                            </w:tcBorders>
                            <w:hideMark/>
                          </w:tcPr>
                          <w:p w14:paraId="2413A58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26,095.0 </w:t>
                            </w:r>
                          </w:p>
                        </w:tc>
                        <w:tc>
                          <w:tcPr>
                            <w:tcW w:w="593" w:type="pct"/>
                            <w:tcBorders>
                              <w:top w:val="nil"/>
                              <w:left w:val="nil"/>
                              <w:bottom w:val="nil"/>
                              <w:right w:val="nil"/>
                            </w:tcBorders>
                            <w:hideMark/>
                          </w:tcPr>
                          <w:p w14:paraId="20C1CC0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29,345.0 </w:t>
                            </w:r>
                          </w:p>
                        </w:tc>
                      </w:tr>
                      <w:tr w:rsidR="0014207C" w:rsidRPr="0014207C" w14:paraId="39BAC503" w14:textId="77777777" w:rsidTr="0014207C">
                        <w:trPr>
                          <w:trHeight w:val="204"/>
                        </w:trPr>
                        <w:tc>
                          <w:tcPr>
                            <w:tcW w:w="1562" w:type="pct"/>
                            <w:tcBorders>
                              <w:top w:val="nil"/>
                              <w:left w:val="nil"/>
                              <w:bottom w:val="nil"/>
                              <w:right w:val="nil"/>
                            </w:tcBorders>
                            <w:noWrap/>
                            <w:hideMark/>
                          </w:tcPr>
                          <w:p w14:paraId="0DC9B1BB"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Short-term Borrowings</w:t>
                            </w:r>
                          </w:p>
                        </w:tc>
                        <w:tc>
                          <w:tcPr>
                            <w:tcW w:w="553" w:type="pct"/>
                            <w:tcBorders>
                              <w:top w:val="nil"/>
                              <w:left w:val="nil"/>
                              <w:bottom w:val="nil"/>
                              <w:right w:val="nil"/>
                            </w:tcBorders>
                            <w:hideMark/>
                          </w:tcPr>
                          <w:p w14:paraId="0DB40C7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575.0 </w:t>
                            </w:r>
                          </w:p>
                        </w:tc>
                        <w:tc>
                          <w:tcPr>
                            <w:tcW w:w="553" w:type="pct"/>
                            <w:tcBorders>
                              <w:top w:val="nil"/>
                              <w:left w:val="nil"/>
                              <w:bottom w:val="nil"/>
                              <w:right w:val="nil"/>
                            </w:tcBorders>
                            <w:hideMark/>
                          </w:tcPr>
                          <w:p w14:paraId="4F4F91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224.0 </w:t>
                            </w:r>
                          </w:p>
                        </w:tc>
                        <w:tc>
                          <w:tcPr>
                            <w:tcW w:w="553" w:type="pct"/>
                            <w:tcBorders>
                              <w:top w:val="nil"/>
                              <w:left w:val="nil"/>
                              <w:bottom w:val="nil"/>
                              <w:right w:val="nil"/>
                            </w:tcBorders>
                            <w:hideMark/>
                          </w:tcPr>
                          <w:p w14:paraId="3A879B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410.0 </w:t>
                            </w:r>
                          </w:p>
                        </w:tc>
                        <w:tc>
                          <w:tcPr>
                            <w:tcW w:w="593" w:type="pct"/>
                            <w:tcBorders>
                              <w:top w:val="nil"/>
                              <w:left w:val="nil"/>
                              <w:bottom w:val="nil"/>
                              <w:right w:val="nil"/>
                            </w:tcBorders>
                            <w:hideMark/>
                          </w:tcPr>
                          <w:p w14:paraId="7F63C41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372.0 </w:t>
                            </w:r>
                          </w:p>
                        </w:tc>
                        <w:tc>
                          <w:tcPr>
                            <w:tcW w:w="593" w:type="pct"/>
                            <w:tcBorders>
                              <w:top w:val="nil"/>
                              <w:left w:val="nil"/>
                              <w:bottom w:val="nil"/>
                              <w:right w:val="nil"/>
                            </w:tcBorders>
                            <w:hideMark/>
                          </w:tcPr>
                          <w:p w14:paraId="3165EE4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878.0 </w:t>
                            </w:r>
                          </w:p>
                        </w:tc>
                        <w:tc>
                          <w:tcPr>
                            <w:tcW w:w="593" w:type="pct"/>
                            <w:tcBorders>
                              <w:top w:val="nil"/>
                              <w:left w:val="nil"/>
                              <w:bottom w:val="nil"/>
                              <w:right w:val="nil"/>
                            </w:tcBorders>
                            <w:hideMark/>
                          </w:tcPr>
                          <w:p w14:paraId="2E742BA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3,068.0 </w:t>
                            </w:r>
                          </w:p>
                        </w:tc>
                      </w:tr>
                      <w:tr w:rsidR="0014207C" w:rsidRPr="0014207C" w14:paraId="23876663" w14:textId="77777777" w:rsidTr="0014207C">
                        <w:trPr>
                          <w:trHeight w:val="204"/>
                        </w:trPr>
                        <w:tc>
                          <w:tcPr>
                            <w:tcW w:w="1562" w:type="pct"/>
                            <w:tcBorders>
                              <w:top w:val="nil"/>
                              <w:left w:val="nil"/>
                              <w:bottom w:val="nil"/>
                              <w:right w:val="nil"/>
                            </w:tcBorders>
                            <w:noWrap/>
                            <w:hideMark/>
                          </w:tcPr>
                          <w:p w14:paraId="4D24D1CA"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Port. of LT Debt</w:t>
                            </w:r>
                          </w:p>
                        </w:tc>
                        <w:tc>
                          <w:tcPr>
                            <w:tcW w:w="553" w:type="pct"/>
                            <w:tcBorders>
                              <w:top w:val="nil"/>
                              <w:left w:val="nil"/>
                              <w:bottom w:val="nil"/>
                              <w:right w:val="nil"/>
                            </w:tcBorders>
                            <w:hideMark/>
                          </w:tcPr>
                          <w:p w14:paraId="18911A1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5,362.0 </w:t>
                            </w:r>
                          </w:p>
                        </w:tc>
                        <w:tc>
                          <w:tcPr>
                            <w:tcW w:w="553" w:type="pct"/>
                            <w:tcBorders>
                              <w:top w:val="nil"/>
                              <w:left w:val="nil"/>
                              <w:bottom w:val="nil"/>
                              <w:right w:val="nil"/>
                            </w:tcBorders>
                            <w:hideMark/>
                          </w:tcPr>
                          <w:p w14:paraId="11A2807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3,115.0 </w:t>
                            </w:r>
                          </w:p>
                        </w:tc>
                        <w:tc>
                          <w:tcPr>
                            <w:tcW w:w="553" w:type="pct"/>
                            <w:tcBorders>
                              <w:top w:val="nil"/>
                              <w:left w:val="nil"/>
                              <w:bottom w:val="nil"/>
                              <w:right w:val="nil"/>
                            </w:tcBorders>
                            <w:hideMark/>
                          </w:tcPr>
                          <w:p w14:paraId="2226C06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2,803.0 </w:t>
                            </w:r>
                          </w:p>
                        </w:tc>
                        <w:tc>
                          <w:tcPr>
                            <w:tcW w:w="593" w:type="pct"/>
                            <w:tcBorders>
                              <w:top w:val="nil"/>
                              <w:left w:val="nil"/>
                              <w:bottom w:val="nil"/>
                              <w:right w:val="nil"/>
                            </w:tcBorders>
                            <w:hideMark/>
                          </w:tcPr>
                          <w:p w14:paraId="43AFF63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4,191.0 </w:t>
                            </w:r>
                          </w:p>
                        </w:tc>
                        <w:tc>
                          <w:tcPr>
                            <w:tcW w:w="593" w:type="pct"/>
                            <w:tcBorders>
                              <w:top w:val="nil"/>
                              <w:left w:val="nil"/>
                              <w:bottom w:val="nil"/>
                              <w:right w:val="nil"/>
                            </w:tcBorders>
                            <w:hideMark/>
                          </w:tcPr>
                          <w:p w14:paraId="5085DB7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3,447.0 </w:t>
                            </w:r>
                          </w:p>
                        </w:tc>
                        <w:tc>
                          <w:tcPr>
                            <w:tcW w:w="593" w:type="pct"/>
                            <w:tcBorders>
                              <w:top w:val="nil"/>
                              <w:left w:val="nil"/>
                              <w:bottom w:val="nil"/>
                              <w:right w:val="nil"/>
                            </w:tcBorders>
                            <w:hideMark/>
                          </w:tcPr>
                          <w:p w14:paraId="3A427B7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2,598.0 </w:t>
                            </w:r>
                          </w:p>
                        </w:tc>
                      </w:tr>
                      <w:tr w:rsidR="0014207C" w:rsidRPr="0014207C" w14:paraId="5E5C2B31" w14:textId="77777777" w:rsidTr="0014207C">
                        <w:trPr>
                          <w:trHeight w:val="204"/>
                        </w:trPr>
                        <w:tc>
                          <w:tcPr>
                            <w:tcW w:w="1562" w:type="pct"/>
                            <w:tcBorders>
                              <w:top w:val="nil"/>
                              <w:left w:val="nil"/>
                              <w:bottom w:val="nil"/>
                              <w:right w:val="nil"/>
                            </w:tcBorders>
                            <w:noWrap/>
                            <w:hideMark/>
                          </w:tcPr>
                          <w:p w14:paraId="1C6FBBD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Port. of Leases</w:t>
                            </w:r>
                          </w:p>
                        </w:tc>
                        <w:tc>
                          <w:tcPr>
                            <w:tcW w:w="553" w:type="pct"/>
                            <w:tcBorders>
                              <w:top w:val="nil"/>
                              <w:left w:val="nil"/>
                              <w:bottom w:val="nil"/>
                              <w:right w:val="nil"/>
                            </w:tcBorders>
                            <w:hideMark/>
                          </w:tcPr>
                          <w:p w14:paraId="05869C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2,304.0 </w:t>
                            </w:r>
                          </w:p>
                        </w:tc>
                        <w:tc>
                          <w:tcPr>
                            <w:tcW w:w="553" w:type="pct"/>
                            <w:tcBorders>
                              <w:top w:val="nil"/>
                              <w:left w:val="nil"/>
                              <w:bottom w:val="nil"/>
                              <w:right w:val="nil"/>
                            </w:tcBorders>
                            <w:hideMark/>
                          </w:tcPr>
                          <w:p w14:paraId="183CE87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1,957.0 </w:t>
                            </w:r>
                          </w:p>
                        </w:tc>
                        <w:tc>
                          <w:tcPr>
                            <w:tcW w:w="553" w:type="pct"/>
                            <w:tcBorders>
                              <w:top w:val="nil"/>
                              <w:left w:val="nil"/>
                              <w:bottom w:val="nil"/>
                              <w:right w:val="nil"/>
                            </w:tcBorders>
                            <w:hideMark/>
                          </w:tcPr>
                          <w:p w14:paraId="73AEB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1,994.0 </w:t>
                            </w:r>
                          </w:p>
                        </w:tc>
                        <w:tc>
                          <w:tcPr>
                            <w:tcW w:w="593" w:type="pct"/>
                            <w:tcBorders>
                              <w:top w:val="nil"/>
                              <w:left w:val="nil"/>
                              <w:bottom w:val="nil"/>
                              <w:right w:val="nil"/>
                            </w:tcBorders>
                            <w:hideMark/>
                          </w:tcPr>
                          <w:p w14:paraId="115646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2,040.0 </w:t>
                            </w:r>
                          </w:p>
                        </w:tc>
                        <w:tc>
                          <w:tcPr>
                            <w:tcW w:w="593" w:type="pct"/>
                            <w:tcBorders>
                              <w:top w:val="nil"/>
                              <w:left w:val="nil"/>
                              <w:bottom w:val="nil"/>
                              <w:right w:val="nil"/>
                            </w:tcBorders>
                            <w:hideMark/>
                          </w:tcPr>
                          <w:p w14:paraId="35D329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2,212.0 </w:t>
                            </w:r>
                          </w:p>
                        </w:tc>
                        <w:tc>
                          <w:tcPr>
                            <w:tcW w:w="593" w:type="pct"/>
                            <w:tcBorders>
                              <w:top w:val="nil"/>
                              <w:left w:val="nil"/>
                              <w:bottom w:val="nil"/>
                              <w:right w:val="nil"/>
                            </w:tcBorders>
                            <w:hideMark/>
                          </w:tcPr>
                          <w:p w14:paraId="00E14D3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2,299.0 </w:t>
                            </w:r>
                          </w:p>
                        </w:tc>
                      </w:tr>
                      <w:tr w:rsidR="0014207C" w:rsidRPr="0014207C" w14:paraId="388DC301" w14:textId="77777777" w:rsidTr="0014207C">
                        <w:trPr>
                          <w:trHeight w:val="204"/>
                        </w:trPr>
                        <w:tc>
                          <w:tcPr>
                            <w:tcW w:w="1562" w:type="pct"/>
                            <w:tcBorders>
                              <w:top w:val="nil"/>
                              <w:left w:val="nil"/>
                              <w:bottom w:val="nil"/>
                              <w:right w:val="nil"/>
                            </w:tcBorders>
                            <w:noWrap/>
                            <w:hideMark/>
                          </w:tcPr>
                          <w:p w14:paraId="10F1EC7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Curr. Income Taxes Payable</w:t>
                            </w:r>
                          </w:p>
                        </w:tc>
                        <w:tc>
                          <w:tcPr>
                            <w:tcW w:w="553" w:type="pct"/>
                            <w:tcBorders>
                              <w:top w:val="nil"/>
                              <w:left w:val="nil"/>
                              <w:bottom w:val="nil"/>
                              <w:right w:val="nil"/>
                            </w:tcBorders>
                            <w:hideMark/>
                          </w:tcPr>
                          <w:p w14:paraId="2C0870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280.0 </w:t>
                            </w:r>
                          </w:p>
                        </w:tc>
                        <w:tc>
                          <w:tcPr>
                            <w:tcW w:w="553" w:type="pct"/>
                            <w:tcBorders>
                              <w:top w:val="nil"/>
                              <w:left w:val="nil"/>
                              <w:bottom w:val="nil"/>
                              <w:right w:val="nil"/>
                            </w:tcBorders>
                            <w:hideMark/>
                          </w:tcPr>
                          <w:p w14:paraId="5AD9B34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242.0 </w:t>
                            </w:r>
                          </w:p>
                        </w:tc>
                        <w:tc>
                          <w:tcPr>
                            <w:tcW w:w="553" w:type="pct"/>
                            <w:tcBorders>
                              <w:top w:val="nil"/>
                              <w:left w:val="nil"/>
                              <w:bottom w:val="nil"/>
                              <w:right w:val="nil"/>
                            </w:tcBorders>
                            <w:hideMark/>
                          </w:tcPr>
                          <w:p w14:paraId="6CBFF34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851.0 </w:t>
                            </w:r>
                          </w:p>
                        </w:tc>
                        <w:tc>
                          <w:tcPr>
                            <w:tcW w:w="593" w:type="pct"/>
                            <w:tcBorders>
                              <w:top w:val="nil"/>
                              <w:left w:val="nil"/>
                              <w:bottom w:val="nil"/>
                              <w:right w:val="nil"/>
                            </w:tcBorders>
                            <w:hideMark/>
                          </w:tcPr>
                          <w:p w14:paraId="1AE5AD8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727.0 </w:t>
                            </w:r>
                          </w:p>
                        </w:tc>
                        <w:tc>
                          <w:tcPr>
                            <w:tcW w:w="593" w:type="pct"/>
                            <w:tcBorders>
                              <w:top w:val="nil"/>
                              <w:left w:val="nil"/>
                              <w:bottom w:val="nil"/>
                              <w:right w:val="nil"/>
                            </w:tcBorders>
                            <w:hideMark/>
                          </w:tcPr>
                          <w:p w14:paraId="783E3AA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307.0 </w:t>
                            </w:r>
                          </w:p>
                        </w:tc>
                        <w:tc>
                          <w:tcPr>
                            <w:tcW w:w="593" w:type="pct"/>
                            <w:tcBorders>
                              <w:top w:val="nil"/>
                              <w:left w:val="nil"/>
                              <w:bottom w:val="nil"/>
                              <w:right w:val="nil"/>
                            </w:tcBorders>
                            <w:hideMark/>
                          </w:tcPr>
                          <w:p w14:paraId="065CFE2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608.0 </w:t>
                            </w:r>
                          </w:p>
                        </w:tc>
                      </w:tr>
                      <w:tr w:rsidR="0014207C" w:rsidRPr="0014207C" w14:paraId="5DD383DE" w14:textId="77777777" w:rsidTr="0014207C">
                        <w:trPr>
                          <w:trHeight w:val="204"/>
                        </w:trPr>
                        <w:tc>
                          <w:tcPr>
                            <w:tcW w:w="1562" w:type="pct"/>
                            <w:tcBorders>
                              <w:top w:val="nil"/>
                              <w:left w:val="nil"/>
                              <w:bottom w:val="nil"/>
                              <w:right w:val="nil"/>
                            </w:tcBorders>
                            <w:noWrap/>
                            <w:hideMark/>
                          </w:tcPr>
                          <w:p w14:paraId="317ECBBD"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Unearned Revenue, Current</w:t>
                            </w:r>
                          </w:p>
                        </w:tc>
                        <w:tc>
                          <w:tcPr>
                            <w:tcW w:w="553" w:type="pct"/>
                            <w:tcBorders>
                              <w:top w:val="nil"/>
                              <w:left w:val="nil"/>
                              <w:bottom w:val="nil"/>
                              <w:right w:val="nil"/>
                            </w:tcBorders>
                            <w:hideMark/>
                          </w:tcPr>
                          <w:p w14:paraId="685AEB5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1,990.0 </w:t>
                            </w:r>
                          </w:p>
                        </w:tc>
                        <w:tc>
                          <w:tcPr>
                            <w:tcW w:w="553" w:type="pct"/>
                            <w:tcBorders>
                              <w:top w:val="nil"/>
                              <w:left w:val="nil"/>
                              <w:bottom w:val="nil"/>
                              <w:right w:val="nil"/>
                            </w:tcBorders>
                            <w:hideMark/>
                          </w:tcPr>
                          <w:p w14:paraId="03039F6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2,310.0 </w:t>
                            </w:r>
                          </w:p>
                        </w:tc>
                        <w:tc>
                          <w:tcPr>
                            <w:tcW w:w="553" w:type="pct"/>
                            <w:tcBorders>
                              <w:top w:val="nil"/>
                              <w:left w:val="nil"/>
                              <w:bottom w:val="nil"/>
                              <w:right w:val="nil"/>
                            </w:tcBorders>
                            <w:hideMark/>
                          </w:tcPr>
                          <w:p w14:paraId="3D0820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2,559.0 </w:t>
                            </w:r>
                          </w:p>
                        </w:tc>
                        <w:tc>
                          <w:tcPr>
                            <w:tcW w:w="593" w:type="pct"/>
                            <w:tcBorders>
                              <w:top w:val="nil"/>
                              <w:left w:val="nil"/>
                              <w:bottom w:val="nil"/>
                              <w:right w:val="nil"/>
                            </w:tcBorders>
                            <w:hideMark/>
                          </w:tcPr>
                          <w:p w14:paraId="7BD734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2,488.0 </w:t>
                            </w:r>
                          </w:p>
                        </w:tc>
                        <w:tc>
                          <w:tcPr>
                            <w:tcW w:w="593" w:type="pct"/>
                            <w:tcBorders>
                              <w:top w:val="nil"/>
                              <w:left w:val="nil"/>
                              <w:bottom w:val="nil"/>
                              <w:right w:val="nil"/>
                            </w:tcBorders>
                            <w:hideMark/>
                          </w:tcPr>
                          <w:p w14:paraId="0A0D7A7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2,664.0 </w:t>
                            </w:r>
                          </w:p>
                        </w:tc>
                        <w:tc>
                          <w:tcPr>
                            <w:tcW w:w="593" w:type="pct"/>
                            <w:tcBorders>
                              <w:top w:val="nil"/>
                              <w:left w:val="nil"/>
                              <w:bottom w:val="nil"/>
                              <w:right w:val="nil"/>
                            </w:tcBorders>
                            <w:hideMark/>
                          </w:tcPr>
                          <w:p w14:paraId="421FECF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498D7B21" w14:textId="77777777" w:rsidTr="0014207C">
                        <w:trPr>
                          <w:trHeight w:val="204"/>
                        </w:trPr>
                        <w:tc>
                          <w:tcPr>
                            <w:tcW w:w="1562" w:type="pct"/>
                            <w:tcBorders>
                              <w:top w:val="nil"/>
                              <w:left w:val="nil"/>
                              <w:bottom w:val="nil"/>
                              <w:right w:val="nil"/>
                            </w:tcBorders>
                            <w:noWrap/>
                            <w:hideMark/>
                          </w:tcPr>
                          <w:p w14:paraId="1676D35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Current Liabilities</w:t>
                            </w:r>
                          </w:p>
                        </w:tc>
                        <w:tc>
                          <w:tcPr>
                            <w:tcW w:w="553" w:type="pct"/>
                            <w:tcBorders>
                              <w:top w:val="nil"/>
                              <w:left w:val="nil"/>
                              <w:bottom w:val="nil"/>
                              <w:right w:val="nil"/>
                            </w:tcBorders>
                            <w:hideMark/>
                          </w:tcPr>
                          <w:p w14:paraId="67955A9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6,705.0 </w:t>
                            </w:r>
                          </w:p>
                        </w:tc>
                        <w:tc>
                          <w:tcPr>
                            <w:tcW w:w="553" w:type="pct"/>
                            <w:tcBorders>
                              <w:top w:val="nil"/>
                              <w:left w:val="nil"/>
                              <w:bottom w:val="nil"/>
                              <w:right w:val="nil"/>
                            </w:tcBorders>
                            <w:hideMark/>
                          </w:tcPr>
                          <w:p w14:paraId="67C1F58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12,734.0 </w:t>
                            </w:r>
                          </w:p>
                        </w:tc>
                        <w:tc>
                          <w:tcPr>
                            <w:tcW w:w="553" w:type="pct"/>
                            <w:tcBorders>
                              <w:top w:val="nil"/>
                              <w:left w:val="nil"/>
                              <w:bottom w:val="nil"/>
                              <w:right w:val="nil"/>
                            </w:tcBorders>
                            <w:hideMark/>
                          </w:tcPr>
                          <w:p w14:paraId="16F41FB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2E72999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2,949.0 </w:t>
                            </w:r>
                          </w:p>
                        </w:tc>
                        <w:tc>
                          <w:tcPr>
                            <w:tcW w:w="593" w:type="pct"/>
                            <w:tcBorders>
                              <w:top w:val="nil"/>
                              <w:left w:val="nil"/>
                              <w:bottom w:val="nil"/>
                              <w:right w:val="nil"/>
                            </w:tcBorders>
                            <w:hideMark/>
                          </w:tcPr>
                          <w:p w14:paraId="7D7BCA7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11140EE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195AF5" w14:textId="77777777" w:rsidTr="0014207C">
                        <w:trPr>
                          <w:trHeight w:val="204"/>
                        </w:trPr>
                        <w:tc>
                          <w:tcPr>
                            <w:tcW w:w="1562" w:type="pct"/>
                            <w:tcBorders>
                              <w:top w:val="nil"/>
                              <w:left w:val="nil"/>
                              <w:bottom w:val="nil"/>
                              <w:right w:val="nil"/>
                            </w:tcBorders>
                            <w:noWrap/>
                            <w:hideMark/>
                          </w:tcPr>
                          <w:p w14:paraId="53B98371"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Current Liabilities</w:t>
                            </w:r>
                          </w:p>
                        </w:tc>
                        <w:tc>
                          <w:tcPr>
                            <w:tcW w:w="553" w:type="pct"/>
                            <w:tcBorders>
                              <w:top w:val="single" w:sz="4" w:space="0" w:color="000000"/>
                              <w:left w:val="nil"/>
                              <w:bottom w:val="nil"/>
                              <w:right w:val="nil"/>
                            </w:tcBorders>
                            <w:hideMark/>
                          </w:tcPr>
                          <w:p w14:paraId="0EF479D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77,790.0 </w:t>
                            </w:r>
                          </w:p>
                        </w:tc>
                        <w:tc>
                          <w:tcPr>
                            <w:tcW w:w="553" w:type="pct"/>
                            <w:tcBorders>
                              <w:top w:val="single" w:sz="4" w:space="0" w:color="000000"/>
                              <w:left w:val="nil"/>
                              <w:bottom w:val="nil"/>
                              <w:right w:val="nil"/>
                            </w:tcBorders>
                            <w:hideMark/>
                          </w:tcPr>
                          <w:p w14:paraId="53F212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92,645.0 </w:t>
                            </w:r>
                          </w:p>
                        </w:tc>
                        <w:tc>
                          <w:tcPr>
                            <w:tcW w:w="553" w:type="pct"/>
                            <w:tcBorders>
                              <w:top w:val="single" w:sz="4" w:space="0" w:color="000000"/>
                              <w:left w:val="nil"/>
                              <w:bottom w:val="nil"/>
                              <w:right w:val="nil"/>
                            </w:tcBorders>
                            <w:hideMark/>
                          </w:tcPr>
                          <w:p w14:paraId="08C6491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87,379.0 </w:t>
                            </w:r>
                          </w:p>
                        </w:tc>
                        <w:tc>
                          <w:tcPr>
                            <w:tcW w:w="593" w:type="pct"/>
                            <w:tcBorders>
                              <w:top w:val="single" w:sz="4" w:space="0" w:color="000000"/>
                              <w:left w:val="nil"/>
                              <w:bottom w:val="nil"/>
                              <w:right w:val="nil"/>
                            </w:tcBorders>
                            <w:hideMark/>
                          </w:tcPr>
                          <w:p w14:paraId="39EDA13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92,198.0 </w:t>
                            </w:r>
                          </w:p>
                        </w:tc>
                        <w:tc>
                          <w:tcPr>
                            <w:tcW w:w="593" w:type="pct"/>
                            <w:tcBorders>
                              <w:top w:val="single" w:sz="4" w:space="0" w:color="000000"/>
                              <w:left w:val="nil"/>
                              <w:bottom w:val="nil"/>
                              <w:right w:val="nil"/>
                            </w:tcBorders>
                            <w:hideMark/>
                          </w:tcPr>
                          <w:p w14:paraId="6C4E698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92,415.0 </w:t>
                            </w:r>
                          </w:p>
                        </w:tc>
                        <w:tc>
                          <w:tcPr>
                            <w:tcW w:w="593" w:type="pct"/>
                            <w:tcBorders>
                              <w:top w:val="single" w:sz="4" w:space="0" w:color="000000"/>
                              <w:left w:val="nil"/>
                              <w:bottom w:val="nil"/>
                              <w:right w:val="nil"/>
                            </w:tcBorders>
                            <w:hideMark/>
                          </w:tcPr>
                          <w:p w14:paraId="173298B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96,584.0 </w:t>
                            </w:r>
                          </w:p>
                        </w:tc>
                      </w:tr>
                      <w:tr w:rsidR="0014207C" w:rsidRPr="0014207C" w14:paraId="58E2B56C" w14:textId="77777777" w:rsidTr="0014207C">
                        <w:trPr>
                          <w:trHeight w:val="204"/>
                        </w:trPr>
                        <w:tc>
                          <w:tcPr>
                            <w:tcW w:w="1562" w:type="pct"/>
                            <w:tcBorders>
                              <w:top w:val="nil"/>
                              <w:left w:val="nil"/>
                              <w:bottom w:val="nil"/>
                              <w:right w:val="nil"/>
                            </w:tcBorders>
                            <w:noWrap/>
                            <w:hideMark/>
                          </w:tcPr>
                          <w:p w14:paraId="66C31E8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667608D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93EE37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5CAA577A"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DEAC31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24AB55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71C046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6A64F66E" w14:textId="77777777" w:rsidTr="0014207C">
                        <w:trPr>
                          <w:trHeight w:val="204"/>
                        </w:trPr>
                        <w:tc>
                          <w:tcPr>
                            <w:tcW w:w="1562" w:type="pct"/>
                            <w:tcBorders>
                              <w:top w:val="nil"/>
                              <w:left w:val="nil"/>
                              <w:bottom w:val="nil"/>
                              <w:right w:val="nil"/>
                            </w:tcBorders>
                            <w:noWrap/>
                            <w:hideMark/>
                          </w:tcPr>
                          <w:p w14:paraId="0C56C951"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Debt</w:t>
                            </w:r>
                          </w:p>
                        </w:tc>
                        <w:tc>
                          <w:tcPr>
                            <w:tcW w:w="553" w:type="pct"/>
                            <w:tcBorders>
                              <w:top w:val="nil"/>
                              <w:left w:val="nil"/>
                              <w:bottom w:val="nil"/>
                              <w:right w:val="nil"/>
                            </w:tcBorders>
                            <w:hideMark/>
                          </w:tcPr>
                          <w:p w14:paraId="7875F1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44,410.0 </w:t>
                            </w:r>
                          </w:p>
                        </w:tc>
                        <w:tc>
                          <w:tcPr>
                            <w:tcW w:w="553" w:type="pct"/>
                            <w:tcBorders>
                              <w:top w:val="nil"/>
                              <w:left w:val="nil"/>
                              <w:bottom w:val="nil"/>
                              <w:right w:val="nil"/>
                            </w:tcBorders>
                            <w:hideMark/>
                          </w:tcPr>
                          <w:p w14:paraId="5FCC38B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41,588.0 </w:t>
                            </w:r>
                          </w:p>
                        </w:tc>
                        <w:tc>
                          <w:tcPr>
                            <w:tcW w:w="553" w:type="pct"/>
                            <w:tcBorders>
                              <w:top w:val="nil"/>
                              <w:left w:val="nil"/>
                              <w:bottom w:val="nil"/>
                              <w:right w:val="nil"/>
                            </w:tcBorders>
                            <w:hideMark/>
                          </w:tcPr>
                          <w:p w14:paraId="38A7F24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35,959.0 </w:t>
                            </w:r>
                          </w:p>
                        </w:tc>
                        <w:tc>
                          <w:tcPr>
                            <w:tcW w:w="593" w:type="pct"/>
                            <w:tcBorders>
                              <w:top w:val="nil"/>
                              <w:left w:val="nil"/>
                              <w:bottom w:val="nil"/>
                              <w:right w:val="nil"/>
                            </w:tcBorders>
                            <w:hideMark/>
                          </w:tcPr>
                          <w:p w14:paraId="1E06AA6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36,761.0 </w:t>
                            </w:r>
                          </w:p>
                        </w:tc>
                        <w:tc>
                          <w:tcPr>
                            <w:tcW w:w="593" w:type="pct"/>
                            <w:tcBorders>
                              <w:top w:val="nil"/>
                              <w:left w:val="nil"/>
                              <w:bottom w:val="nil"/>
                              <w:right w:val="nil"/>
                            </w:tcBorders>
                            <w:hideMark/>
                          </w:tcPr>
                          <w:p w14:paraId="00C3B04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38,088.0 </w:t>
                            </w:r>
                          </w:p>
                        </w:tc>
                        <w:tc>
                          <w:tcPr>
                            <w:tcW w:w="593" w:type="pct"/>
                            <w:tcBorders>
                              <w:top w:val="nil"/>
                              <w:left w:val="nil"/>
                              <w:bottom w:val="nil"/>
                              <w:right w:val="nil"/>
                            </w:tcBorders>
                            <w:hideMark/>
                          </w:tcPr>
                          <w:p w14:paraId="6E4F11A6"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33,401.0 </w:t>
                            </w:r>
                          </w:p>
                        </w:tc>
                      </w:tr>
                      <w:tr w:rsidR="0014207C" w:rsidRPr="0014207C" w14:paraId="348A03E7" w14:textId="77777777" w:rsidTr="0014207C">
                        <w:trPr>
                          <w:trHeight w:val="204"/>
                        </w:trPr>
                        <w:tc>
                          <w:tcPr>
                            <w:tcW w:w="1562" w:type="pct"/>
                            <w:tcBorders>
                              <w:top w:val="nil"/>
                              <w:left w:val="nil"/>
                              <w:bottom w:val="nil"/>
                              <w:right w:val="nil"/>
                            </w:tcBorders>
                            <w:noWrap/>
                            <w:hideMark/>
                          </w:tcPr>
                          <w:p w14:paraId="3E4EB9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Long-Term Leases</w:t>
                            </w:r>
                          </w:p>
                        </w:tc>
                        <w:tc>
                          <w:tcPr>
                            <w:tcW w:w="553" w:type="pct"/>
                            <w:tcBorders>
                              <w:top w:val="nil"/>
                              <w:left w:val="nil"/>
                              <w:bottom w:val="nil"/>
                              <w:right w:val="nil"/>
                            </w:tcBorders>
                            <w:hideMark/>
                          </w:tcPr>
                          <w:p w14:paraId="6D29479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20,478.0 </w:t>
                            </w:r>
                          </w:p>
                        </w:tc>
                        <w:tc>
                          <w:tcPr>
                            <w:tcW w:w="553" w:type="pct"/>
                            <w:tcBorders>
                              <w:top w:val="nil"/>
                              <w:left w:val="nil"/>
                              <w:bottom w:val="nil"/>
                              <w:right w:val="nil"/>
                            </w:tcBorders>
                            <w:hideMark/>
                          </w:tcPr>
                          <w:p w14:paraId="63ABADB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16,756.0 </w:t>
                            </w:r>
                          </w:p>
                        </w:tc>
                        <w:tc>
                          <w:tcPr>
                            <w:tcW w:w="553" w:type="pct"/>
                            <w:tcBorders>
                              <w:top w:val="nil"/>
                              <w:left w:val="nil"/>
                              <w:bottom w:val="nil"/>
                              <w:right w:val="nil"/>
                            </w:tcBorders>
                            <w:hideMark/>
                          </w:tcPr>
                          <w:p w14:paraId="4C3515A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17,252.0 </w:t>
                            </w:r>
                          </w:p>
                        </w:tc>
                        <w:tc>
                          <w:tcPr>
                            <w:tcW w:w="593" w:type="pct"/>
                            <w:tcBorders>
                              <w:top w:val="nil"/>
                              <w:left w:val="nil"/>
                              <w:bottom w:val="nil"/>
                              <w:right w:val="nil"/>
                            </w:tcBorders>
                            <w:hideMark/>
                          </w:tcPr>
                          <w:p w14:paraId="2B8DB53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17,671.0 </w:t>
                            </w:r>
                          </w:p>
                        </w:tc>
                        <w:tc>
                          <w:tcPr>
                            <w:tcW w:w="593" w:type="pct"/>
                            <w:tcBorders>
                              <w:top w:val="nil"/>
                              <w:left w:val="nil"/>
                              <w:bottom w:val="nil"/>
                              <w:right w:val="nil"/>
                            </w:tcBorders>
                            <w:hideMark/>
                          </w:tcPr>
                          <w:p w14:paraId="766EB6C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18,652.0 </w:t>
                            </w:r>
                          </w:p>
                        </w:tc>
                        <w:tc>
                          <w:tcPr>
                            <w:tcW w:w="593" w:type="pct"/>
                            <w:tcBorders>
                              <w:top w:val="nil"/>
                              <w:left w:val="nil"/>
                              <w:bottom w:val="nil"/>
                              <w:right w:val="nil"/>
                            </w:tcBorders>
                            <w:hideMark/>
                          </w:tcPr>
                          <w:p w14:paraId="106602E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18,748.0 </w:t>
                            </w:r>
                          </w:p>
                        </w:tc>
                      </w:tr>
                      <w:tr w:rsidR="0014207C" w:rsidRPr="0014207C" w14:paraId="1F4F4309" w14:textId="77777777" w:rsidTr="0014207C">
                        <w:trPr>
                          <w:trHeight w:val="204"/>
                        </w:trPr>
                        <w:tc>
                          <w:tcPr>
                            <w:tcW w:w="1562" w:type="pct"/>
                            <w:tcBorders>
                              <w:top w:val="nil"/>
                              <w:left w:val="nil"/>
                              <w:bottom w:val="nil"/>
                              <w:right w:val="nil"/>
                            </w:tcBorders>
                            <w:noWrap/>
                            <w:hideMark/>
                          </w:tcPr>
                          <w:p w14:paraId="2DC4804C"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Def. Tax Liability, Non-Curr.</w:t>
                            </w:r>
                          </w:p>
                        </w:tc>
                        <w:tc>
                          <w:tcPr>
                            <w:tcW w:w="553" w:type="pct"/>
                            <w:tcBorders>
                              <w:top w:val="nil"/>
                              <w:left w:val="nil"/>
                              <w:bottom w:val="nil"/>
                              <w:right w:val="nil"/>
                            </w:tcBorders>
                            <w:hideMark/>
                          </w:tcPr>
                          <w:p w14:paraId="667AB3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6,204.0 </w:t>
                            </w:r>
                          </w:p>
                        </w:tc>
                        <w:tc>
                          <w:tcPr>
                            <w:tcW w:w="553" w:type="pct"/>
                            <w:tcBorders>
                              <w:top w:val="nil"/>
                              <w:left w:val="nil"/>
                              <w:bottom w:val="nil"/>
                              <w:right w:val="nil"/>
                            </w:tcBorders>
                            <w:hideMark/>
                          </w:tcPr>
                          <w:p w14:paraId="0C3608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8,445.0 </w:t>
                            </w:r>
                          </w:p>
                        </w:tc>
                        <w:tc>
                          <w:tcPr>
                            <w:tcW w:w="553" w:type="pct"/>
                            <w:tcBorders>
                              <w:top w:val="nil"/>
                              <w:left w:val="nil"/>
                              <w:bottom w:val="nil"/>
                              <w:right w:val="nil"/>
                            </w:tcBorders>
                            <w:hideMark/>
                          </w:tcPr>
                          <w:p w14:paraId="0FE91E4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6,917.0 </w:t>
                            </w:r>
                          </w:p>
                        </w:tc>
                        <w:tc>
                          <w:tcPr>
                            <w:tcW w:w="593" w:type="pct"/>
                            <w:tcBorders>
                              <w:top w:val="nil"/>
                              <w:left w:val="nil"/>
                              <w:bottom w:val="nil"/>
                              <w:right w:val="nil"/>
                            </w:tcBorders>
                            <w:hideMark/>
                          </w:tcPr>
                          <w:p w14:paraId="7D3A8AD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11,976.0 </w:t>
                            </w:r>
                          </w:p>
                        </w:tc>
                        <w:tc>
                          <w:tcPr>
                            <w:tcW w:w="593" w:type="pct"/>
                            <w:tcBorders>
                              <w:top w:val="nil"/>
                              <w:left w:val="nil"/>
                              <w:bottom w:val="nil"/>
                              <w:right w:val="nil"/>
                            </w:tcBorders>
                            <w:hideMark/>
                          </w:tcPr>
                          <w:p w14:paraId="49EE25A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11,973.0 </w:t>
                            </w:r>
                          </w:p>
                        </w:tc>
                        <w:tc>
                          <w:tcPr>
                            <w:tcW w:w="593" w:type="pct"/>
                            <w:tcBorders>
                              <w:top w:val="nil"/>
                              <w:left w:val="nil"/>
                              <w:bottom w:val="nil"/>
                              <w:right w:val="nil"/>
                            </w:tcBorders>
                            <w:hideMark/>
                          </w:tcPr>
                          <w:p w14:paraId="5027BB7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14,398.0 </w:t>
                            </w:r>
                          </w:p>
                        </w:tc>
                      </w:tr>
                      <w:tr w:rsidR="0014207C" w:rsidRPr="0014207C" w14:paraId="4DD7B962" w14:textId="77777777" w:rsidTr="0014207C">
                        <w:trPr>
                          <w:trHeight w:val="204"/>
                        </w:trPr>
                        <w:tc>
                          <w:tcPr>
                            <w:tcW w:w="1562" w:type="pct"/>
                            <w:tcBorders>
                              <w:top w:val="nil"/>
                              <w:left w:val="nil"/>
                              <w:bottom w:val="nil"/>
                              <w:right w:val="nil"/>
                            </w:tcBorders>
                            <w:noWrap/>
                            <w:hideMark/>
                          </w:tcPr>
                          <w:p w14:paraId="3ECB6758"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Other Non-Current Liabilities</w:t>
                            </w:r>
                          </w:p>
                        </w:tc>
                        <w:tc>
                          <w:tcPr>
                            <w:tcW w:w="553" w:type="pct"/>
                            <w:tcBorders>
                              <w:top w:val="nil"/>
                              <w:left w:val="nil"/>
                              <w:bottom w:val="nil"/>
                              <w:right w:val="nil"/>
                            </w:tcBorders>
                            <w:hideMark/>
                          </w:tcPr>
                          <w:p w14:paraId="1C4861DA"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6,061.0 </w:t>
                            </w:r>
                          </w:p>
                        </w:tc>
                        <w:tc>
                          <w:tcPr>
                            <w:tcW w:w="553" w:type="pct"/>
                            <w:tcBorders>
                              <w:top w:val="nil"/>
                              <w:left w:val="nil"/>
                              <w:bottom w:val="nil"/>
                              <w:right w:val="nil"/>
                            </w:tcBorders>
                            <w:hideMark/>
                          </w:tcPr>
                          <w:p w14:paraId="1FDEBB9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5,531.0 </w:t>
                            </w:r>
                          </w:p>
                        </w:tc>
                        <w:tc>
                          <w:tcPr>
                            <w:tcW w:w="553" w:type="pct"/>
                            <w:tcBorders>
                              <w:top w:val="nil"/>
                              <w:left w:val="nil"/>
                              <w:bottom w:val="nil"/>
                              <w:right w:val="nil"/>
                            </w:tcBorders>
                            <w:hideMark/>
                          </w:tcPr>
                          <w:p w14:paraId="3ECF701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5,462.0 </w:t>
                            </w:r>
                          </w:p>
                        </w:tc>
                        <w:tc>
                          <w:tcPr>
                            <w:tcW w:w="593" w:type="pct"/>
                            <w:tcBorders>
                              <w:top w:val="nil"/>
                              <w:left w:val="nil"/>
                              <w:bottom w:val="nil"/>
                              <w:right w:val="nil"/>
                            </w:tcBorders>
                            <w:hideMark/>
                          </w:tcPr>
                          <w:p w14:paraId="370AF85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600.0 </w:t>
                            </w:r>
                          </w:p>
                        </w:tc>
                        <w:tc>
                          <w:tcPr>
                            <w:tcW w:w="593" w:type="pct"/>
                            <w:tcBorders>
                              <w:top w:val="nil"/>
                              <w:left w:val="nil"/>
                              <w:bottom w:val="nil"/>
                              <w:right w:val="nil"/>
                            </w:tcBorders>
                            <w:hideMark/>
                          </w:tcPr>
                          <w:p w14:paraId="3AE61C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700.0 </w:t>
                            </w:r>
                          </w:p>
                        </w:tc>
                        <w:tc>
                          <w:tcPr>
                            <w:tcW w:w="593" w:type="pct"/>
                            <w:tcBorders>
                              <w:top w:val="nil"/>
                              <w:left w:val="nil"/>
                              <w:bottom w:val="nil"/>
                              <w:right w:val="nil"/>
                            </w:tcBorders>
                            <w:hideMark/>
                          </w:tcPr>
                          <w:p w14:paraId="28D9FD5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5C031BCF" w14:textId="77777777" w:rsidTr="0014207C">
                        <w:trPr>
                          <w:trHeight w:val="204"/>
                        </w:trPr>
                        <w:tc>
                          <w:tcPr>
                            <w:tcW w:w="1562" w:type="pct"/>
                            <w:tcBorders>
                              <w:top w:val="nil"/>
                              <w:left w:val="nil"/>
                              <w:bottom w:val="nil"/>
                              <w:right w:val="nil"/>
                            </w:tcBorders>
                            <w:noWrap/>
                            <w:hideMark/>
                          </w:tcPr>
                          <w:p w14:paraId="67EFBDD7"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Liabilities</w:t>
                            </w:r>
                          </w:p>
                        </w:tc>
                        <w:tc>
                          <w:tcPr>
                            <w:tcW w:w="553" w:type="pct"/>
                            <w:tcBorders>
                              <w:top w:val="single" w:sz="4" w:space="0" w:color="000000"/>
                              <w:left w:val="nil"/>
                              <w:bottom w:val="nil"/>
                              <w:right w:val="nil"/>
                            </w:tcBorders>
                            <w:hideMark/>
                          </w:tcPr>
                          <w:p w14:paraId="7352C7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154,943.0 </w:t>
                            </w:r>
                          </w:p>
                        </w:tc>
                        <w:tc>
                          <w:tcPr>
                            <w:tcW w:w="553" w:type="pct"/>
                            <w:tcBorders>
                              <w:top w:val="single" w:sz="4" w:space="0" w:color="000000"/>
                              <w:left w:val="nil"/>
                              <w:bottom w:val="nil"/>
                              <w:right w:val="nil"/>
                            </w:tcBorders>
                            <w:hideMark/>
                          </w:tcPr>
                          <w:p w14:paraId="49C63179"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164,965.0 </w:t>
                            </w:r>
                          </w:p>
                        </w:tc>
                        <w:tc>
                          <w:tcPr>
                            <w:tcW w:w="553" w:type="pct"/>
                            <w:tcBorders>
                              <w:top w:val="single" w:sz="4" w:space="0" w:color="000000"/>
                              <w:left w:val="nil"/>
                              <w:bottom w:val="nil"/>
                              <w:right w:val="nil"/>
                            </w:tcBorders>
                            <w:hideMark/>
                          </w:tcPr>
                          <w:p w14:paraId="5364BA42"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152,969.0 </w:t>
                            </w:r>
                          </w:p>
                        </w:tc>
                        <w:tc>
                          <w:tcPr>
                            <w:tcW w:w="593" w:type="pct"/>
                            <w:tcBorders>
                              <w:top w:val="single" w:sz="4" w:space="0" w:color="000000"/>
                              <w:left w:val="nil"/>
                              <w:bottom w:val="nil"/>
                              <w:right w:val="nil"/>
                            </w:tcBorders>
                            <w:hideMark/>
                          </w:tcPr>
                          <w:p w14:paraId="5A4A64D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159,206.0 </w:t>
                            </w:r>
                          </w:p>
                        </w:tc>
                        <w:tc>
                          <w:tcPr>
                            <w:tcW w:w="593" w:type="pct"/>
                            <w:tcBorders>
                              <w:top w:val="single" w:sz="4" w:space="0" w:color="000000"/>
                              <w:left w:val="nil"/>
                              <w:bottom w:val="nil"/>
                              <w:right w:val="nil"/>
                            </w:tcBorders>
                            <w:hideMark/>
                          </w:tcPr>
                          <w:p w14:paraId="730C924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161,828.0 </w:t>
                            </w:r>
                          </w:p>
                        </w:tc>
                        <w:tc>
                          <w:tcPr>
                            <w:tcW w:w="593" w:type="pct"/>
                            <w:tcBorders>
                              <w:top w:val="single" w:sz="4" w:space="0" w:color="000000"/>
                              <w:left w:val="nil"/>
                              <w:bottom w:val="nil"/>
                              <w:right w:val="nil"/>
                            </w:tcBorders>
                            <w:hideMark/>
                          </w:tcPr>
                          <w:p w14:paraId="4453C03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163,131.0 </w:t>
                            </w:r>
                          </w:p>
                        </w:tc>
                      </w:tr>
                      <w:tr w:rsidR="0014207C" w:rsidRPr="0014207C" w14:paraId="49757B75" w14:textId="77777777" w:rsidTr="0014207C">
                        <w:trPr>
                          <w:trHeight w:val="204"/>
                        </w:trPr>
                        <w:tc>
                          <w:tcPr>
                            <w:tcW w:w="1562" w:type="pct"/>
                            <w:tcBorders>
                              <w:top w:val="nil"/>
                              <w:left w:val="nil"/>
                              <w:bottom w:val="nil"/>
                              <w:right w:val="nil"/>
                            </w:tcBorders>
                            <w:noWrap/>
                            <w:hideMark/>
                          </w:tcPr>
                          <w:p w14:paraId="7E4EB5C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2C9F99F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1E32F8B"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3A3968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5D37BC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D3FBED3"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61886AC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3A86AAF3" w14:textId="77777777" w:rsidTr="0014207C">
                        <w:trPr>
                          <w:trHeight w:val="204"/>
                        </w:trPr>
                        <w:tc>
                          <w:tcPr>
                            <w:tcW w:w="1562" w:type="pct"/>
                            <w:tcBorders>
                              <w:top w:val="nil"/>
                              <w:left w:val="nil"/>
                              <w:bottom w:val="nil"/>
                              <w:right w:val="nil"/>
                            </w:tcBorders>
                            <w:noWrap/>
                            <w:hideMark/>
                          </w:tcPr>
                          <w:p w14:paraId="3B0E1A8F"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Common Stock</w:t>
                            </w:r>
                          </w:p>
                        </w:tc>
                        <w:tc>
                          <w:tcPr>
                            <w:tcW w:w="553" w:type="pct"/>
                            <w:tcBorders>
                              <w:top w:val="nil"/>
                              <w:left w:val="nil"/>
                              <w:bottom w:val="nil"/>
                              <w:right w:val="nil"/>
                            </w:tcBorders>
                            <w:hideMark/>
                          </w:tcPr>
                          <w:p w14:paraId="271DBEB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284.0 </w:t>
                            </w:r>
                          </w:p>
                        </w:tc>
                        <w:tc>
                          <w:tcPr>
                            <w:tcW w:w="553" w:type="pct"/>
                            <w:tcBorders>
                              <w:top w:val="nil"/>
                              <w:left w:val="nil"/>
                              <w:bottom w:val="nil"/>
                              <w:right w:val="nil"/>
                            </w:tcBorders>
                            <w:hideMark/>
                          </w:tcPr>
                          <w:p w14:paraId="3B2B038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282.0 </w:t>
                            </w:r>
                          </w:p>
                        </w:tc>
                        <w:tc>
                          <w:tcPr>
                            <w:tcW w:w="553" w:type="pct"/>
                            <w:tcBorders>
                              <w:top w:val="nil"/>
                              <w:left w:val="nil"/>
                              <w:bottom w:val="nil"/>
                              <w:right w:val="nil"/>
                            </w:tcBorders>
                            <w:hideMark/>
                          </w:tcPr>
                          <w:p w14:paraId="7C32DB4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276.0 </w:t>
                            </w:r>
                          </w:p>
                        </w:tc>
                        <w:tc>
                          <w:tcPr>
                            <w:tcW w:w="593" w:type="pct"/>
                            <w:tcBorders>
                              <w:top w:val="nil"/>
                              <w:left w:val="nil"/>
                              <w:bottom w:val="nil"/>
                              <w:right w:val="nil"/>
                            </w:tcBorders>
                            <w:hideMark/>
                          </w:tcPr>
                          <w:p w14:paraId="461259E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808.0 </w:t>
                            </w:r>
                          </w:p>
                        </w:tc>
                        <w:tc>
                          <w:tcPr>
                            <w:tcW w:w="593" w:type="pct"/>
                            <w:tcBorders>
                              <w:top w:val="nil"/>
                              <w:left w:val="nil"/>
                              <w:bottom w:val="nil"/>
                              <w:right w:val="nil"/>
                            </w:tcBorders>
                            <w:hideMark/>
                          </w:tcPr>
                          <w:p w14:paraId="4910C91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805.0 </w:t>
                            </w:r>
                          </w:p>
                        </w:tc>
                        <w:tc>
                          <w:tcPr>
                            <w:tcW w:w="593" w:type="pct"/>
                            <w:tcBorders>
                              <w:top w:val="nil"/>
                              <w:left w:val="nil"/>
                              <w:bottom w:val="nil"/>
                              <w:right w:val="nil"/>
                            </w:tcBorders>
                            <w:hideMark/>
                          </w:tcPr>
                          <w:p w14:paraId="24004C9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802.0 </w:t>
                            </w:r>
                          </w:p>
                        </w:tc>
                      </w:tr>
                      <w:tr w:rsidR="0014207C" w:rsidRPr="0014207C" w14:paraId="5D7717D4" w14:textId="77777777" w:rsidTr="0014207C">
                        <w:trPr>
                          <w:trHeight w:val="204"/>
                        </w:trPr>
                        <w:tc>
                          <w:tcPr>
                            <w:tcW w:w="1562" w:type="pct"/>
                            <w:tcBorders>
                              <w:top w:val="nil"/>
                              <w:left w:val="nil"/>
                              <w:bottom w:val="nil"/>
                              <w:right w:val="nil"/>
                            </w:tcBorders>
                            <w:noWrap/>
                            <w:hideMark/>
                          </w:tcPr>
                          <w:p w14:paraId="5B58F64E"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Additional Paid In Capital</w:t>
                            </w:r>
                          </w:p>
                        </w:tc>
                        <w:tc>
                          <w:tcPr>
                            <w:tcW w:w="553" w:type="pct"/>
                            <w:tcBorders>
                              <w:top w:val="nil"/>
                              <w:left w:val="nil"/>
                              <w:bottom w:val="nil"/>
                              <w:right w:val="nil"/>
                            </w:tcBorders>
                            <w:hideMark/>
                          </w:tcPr>
                          <w:p w14:paraId="7EEDF9D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3,247.0 </w:t>
                            </w:r>
                          </w:p>
                        </w:tc>
                        <w:tc>
                          <w:tcPr>
                            <w:tcW w:w="553" w:type="pct"/>
                            <w:tcBorders>
                              <w:top w:val="nil"/>
                              <w:left w:val="nil"/>
                              <w:bottom w:val="nil"/>
                              <w:right w:val="nil"/>
                            </w:tcBorders>
                            <w:hideMark/>
                          </w:tcPr>
                          <w:p w14:paraId="0A97398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3,646.0 </w:t>
                            </w:r>
                          </w:p>
                        </w:tc>
                        <w:tc>
                          <w:tcPr>
                            <w:tcW w:w="553" w:type="pct"/>
                            <w:tcBorders>
                              <w:top w:val="nil"/>
                              <w:left w:val="nil"/>
                              <w:bottom w:val="nil"/>
                              <w:right w:val="nil"/>
                            </w:tcBorders>
                            <w:hideMark/>
                          </w:tcPr>
                          <w:p w14:paraId="6685AF8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4,839.0 </w:t>
                            </w:r>
                          </w:p>
                        </w:tc>
                        <w:tc>
                          <w:tcPr>
                            <w:tcW w:w="593" w:type="pct"/>
                            <w:tcBorders>
                              <w:top w:val="nil"/>
                              <w:left w:val="nil"/>
                              <w:bottom w:val="nil"/>
                              <w:right w:val="nil"/>
                            </w:tcBorders>
                            <w:hideMark/>
                          </w:tcPr>
                          <w:p w14:paraId="31AC9C1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4,430.0 </w:t>
                            </w:r>
                          </w:p>
                        </w:tc>
                        <w:tc>
                          <w:tcPr>
                            <w:tcW w:w="593" w:type="pct"/>
                            <w:tcBorders>
                              <w:top w:val="nil"/>
                              <w:left w:val="nil"/>
                              <w:bottom w:val="nil"/>
                              <w:right w:val="nil"/>
                            </w:tcBorders>
                            <w:hideMark/>
                          </w:tcPr>
                          <w:p w14:paraId="45EC554D"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4,544.0 </w:t>
                            </w:r>
                          </w:p>
                        </w:tc>
                        <w:tc>
                          <w:tcPr>
                            <w:tcW w:w="593" w:type="pct"/>
                            <w:tcBorders>
                              <w:top w:val="nil"/>
                              <w:left w:val="nil"/>
                              <w:bottom w:val="nil"/>
                              <w:right w:val="nil"/>
                            </w:tcBorders>
                            <w:hideMark/>
                          </w:tcPr>
                          <w:p w14:paraId="169140F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5,503.0 </w:t>
                            </w:r>
                          </w:p>
                        </w:tc>
                      </w:tr>
                      <w:tr w:rsidR="0014207C" w:rsidRPr="0014207C" w14:paraId="300EB1FE" w14:textId="77777777" w:rsidTr="0014207C">
                        <w:trPr>
                          <w:trHeight w:val="204"/>
                        </w:trPr>
                        <w:tc>
                          <w:tcPr>
                            <w:tcW w:w="1562" w:type="pct"/>
                            <w:tcBorders>
                              <w:top w:val="nil"/>
                              <w:left w:val="nil"/>
                              <w:bottom w:val="nil"/>
                              <w:right w:val="nil"/>
                            </w:tcBorders>
                            <w:noWrap/>
                            <w:hideMark/>
                          </w:tcPr>
                          <w:p w14:paraId="3CDA0BC3"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Retained Earnings</w:t>
                            </w:r>
                          </w:p>
                        </w:tc>
                        <w:tc>
                          <w:tcPr>
                            <w:tcW w:w="553" w:type="pct"/>
                            <w:tcBorders>
                              <w:top w:val="nil"/>
                              <w:left w:val="nil"/>
                              <w:bottom w:val="nil"/>
                              <w:right w:val="nil"/>
                            </w:tcBorders>
                            <w:hideMark/>
                          </w:tcPr>
                          <w:p w14:paraId="1402195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83,943.0 </w:t>
                            </w:r>
                          </w:p>
                        </w:tc>
                        <w:tc>
                          <w:tcPr>
                            <w:tcW w:w="553" w:type="pct"/>
                            <w:tcBorders>
                              <w:top w:val="nil"/>
                              <w:left w:val="nil"/>
                              <w:bottom w:val="nil"/>
                              <w:right w:val="nil"/>
                            </w:tcBorders>
                            <w:hideMark/>
                          </w:tcPr>
                          <w:p w14:paraId="2F9244B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88,763.0 </w:t>
                            </w:r>
                          </w:p>
                        </w:tc>
                        <w:tc>
                          <w:tcPr>
                            <w:tcW w:w="553" w:type="pct"/>
                            <w:tcBorders>
                              <w:top w:val="nil"/>
                              <w:left w:val="nil"/>
                              <w:bottom w:val="nil"/>
                              <w:right w:val="nil"/>
                            </w:tcBorders>
                            <w:hideMark/>
                          </w:tcPr>
                          <w:p w14:paraId="1962155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86,904.0 </w:t>
                            </w:r>
                          </w:p>
                        </w:tc>
                        <w:tc>
                          <w:tcPr>
                            <w:tcW w:w="593" w:type="pct"/>
                            <w:tcBorders>
                              <w:top w:val="nil"/>
                              <w:left w:val="nil"/>
                              <w:bottom w:val="nil"/>
                              <w:right w:val="nil"/>
                            </w:tcBorders>
                            <w:hideMark/>
                          </w:tcPr>
                          <w:p w14:paraId="62D978A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83,135.0 </w:t>
                            </w:r>
                          </w:p>
                        </w:tc>
                        <w:tc>
                          <w:tcPr>
                            <w:tcW w:w="593" w:type="pct"/>
                            <w:tcBorders>
                              <w:top w:val="nil"/>
                              <w:left w:val="nil"/>
                              <w:bottom w:val="nil"/>
                              <w:right w:val="nil"/>
                            </w:tcBorders>
                            <w:hideMark/>
                          </w:tcPr>
                          <w:p w14:paraId="4BF78F64"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89,814.0 </w:t>
                            </w:r>
                          </w:p>
                        </w:tc>
                        <w:tc>
                          <w:tcPr>
                            <w:tcW w:w="593" w:type="pct"/>
                            <w:tcBorders>
                              <w:top w:val="nil"/>
                              <w:left w:val="nil"/>
                              <w:bottom w:val="nil"/>
                              <w:right w:val="nil"/>
                            </w:tcBorders>
                            <w:hideMark/>
                          </w:tcPr>
                          <w:p w14:paraId="7344C38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98,313.0 </w:t>
                            </w:r>
                          </w:p>
                        </w:tc>
                      </w:tr>
                      <w:tr w:rsidR="0014207C" w:rsidRPr="0014207C" w14:paraId="2FE9DBF1" w14:textId="77777777" w:rsidTr="0014207C">
                        <w:trPr>
                          <w:trHeight w:val="204"/>
                        </w:trPr>
                        <w:tc>
                          <w:tcPr>
                            <w:tcW w:w="1562" w:type="pct"/>
                            <w:tcBorders>
                              <w:top w:val="nil"/>
                              <w:left w:val="nil"/>
                              <w:bottom w:val="nil"/>
                              <w:right w:val="nil"/>
                            </w:tcBorders>
                            <w:noWrap/>
                            <w:hideMark/>
                          </w:tcPr>
                          <w:p w14:paraId="3ECF38E9"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Treasury Stock</w:t>
                            </w:r>
                          </w:p>
                        </w:tc>
                        <w:tc>
                          <w:tcPr>
                            <w:tcW w:w="553" w:type="pct"/>
                            <w:tcBorders>
                              <w:top w:val="nil"/>
                              <w:left w:val="nil"/>
                              <w:bottom w:val="nil"/>
                              <w:right w:val="nil"/>
                            </w:tcBorders>
                            <w:hideMark/>
                          </w:tcPr>
                          <w:p w14:paraId="2EC7221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28742905"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53" w:type="pct"/>
                            <w:tcBorders>
                              <w:top w:val="nil"/>
                              <w:left w:val="nil"/>
                              <w:bottom w:val="nil"/>
                              <w:right w:val="nil"/>
                            </w:tcBorders>
                            <w:hideMark/>
                          </w:tcPr>
                          <w:p w14:paraId="0B567C0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0FE1293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4BF78C9B"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c>
                          <w:tcPr>
                            <w:tcW w:w="593" w:type="pct"/>
                            <w:tcBorders>
                              <w:top w:val="nil"/>
                              <w:left w:val="nil"/>
                              <w:bottom w:val="nil"/>
                              <w:right w:val="nil"/>
                            </w:tcBorders>
                            <w:hideMark/>
                          </w:tcPr>
                          <w:p w14:paraId="72D9FDC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w:t>
                            </w:r>
                          </w:p>
                        </w:tc>
                      </w:tr>
                      <w:tr w:rsidR="0014207C" w:rsidRPr="0014207C" w14:paraId="0B849CC1" w14:textId="77777777" w:rsidTr="0014207C">
                        <w:trPr>
                          <w:trHeight w:val="204"/>
                        </w:trPr>
                        <w:tc>
                          <w:tcPr>
                            <w:tcW w:w="1562" w:type="pct"/>
                            <w:tcBorders>
                              <w:top w:val="nil"/>
                              <w:left w:val="nil"/>
                              <w:bottom w:val="nil"/>
                              <w:right w:val="nil"/>
                            </w:tcBorders>
                            <w:noWrap/>
                            <w:hideMark/>
                          </w:tcPr>
                          <w:p w14:paraId="39A770D0"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Comprehensive Inc. and Other</w:t>
                            </w:r>
                          </w:p>
                        </w:tc>
                        <w:tc>
                          <w:tcPr>
                            <w:tcW w:w="553" w:type="pct"/>
                            <w:tcBorders>
                              <w:top w:val="nil"/>
                              <w:left w:val="nil"/>
                              <w:bottom w:val="nil"/>
                              <w:right w:val="nil"/>
                            </w:tcBorders>
                            <w:hideMark/>
                          </w:tcPr>
                          <w:p w14:paraId="679FA13E"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(12,805.0)  </w:t>
                            </w:r>
                          </w:p>
                        </w:tc>
                        <w:tc>
                          <w:tcPr>
                            <w:tcW w:w="553" w:type="pct"/>
                            <w:tcBorders>
                              <w:top w:val="nil"/>
                              <w:left w:val="nil"/>
                              <w:bottom w:val="nil"/>
                              <w:right w:val="nil"/>
                            </w:tcBorders>
                            <w:hideMark/>
                          </w:tcPr>
                          <w:p w14:paraId="71F9C4E0"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(11,766.0)  </w:t>
                            </w:r>
                          </w:p>
                        </w:tc>
                        <w:tc>
                          <w:tcPr>
                            <w:tcW w:w="553" w:type="pct"/>
                            <w:tcBorders>
                              <w:top w:val="nil"/>
                              <w:left w:val="nil"/>
                              <w:bottom w:val="nil"/>
                              <w:right w:val="nil"/>
                            </w:tcBorders>
                            <w:hideMark/>
                          </w:tcPr>
                          <w:p w14:paraId="1602C12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(8,766.0)  </w:t>
                            </w:r>
                          </w:p>
                        </w:tc>
                        <w:tc>
                          <w:tcPr>
                            <w:tcW w:w="593" w:type="pct"/>
                            <w:tcBorders>
                              <w:top w:val="nil"/>
                              <w:left w:val="nil"/>
                              <w:bottom w:val="nil"/>
                              <w:right w:val="nil"/>
                            </w:tcBorders>
                            <w:hideMark/>
                          </w:tcPr>
                          <w:p w14:paraId="02B8F812"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(11,680.0)  </w:t>
                            </w:r>
                          </w:p>
                        </w:tc>
                        <w:tc>
                          <w:tcPr>
                            <w:tcW w:w="593" w:type="pct"/>
                            <w:tcBorders>
                              <w:top w:val="nil"/>
                              <w:left w:val="nil"/>
                              <w:bottom w:val="nil"/>
                              <w:right w:val="nil"/>
                            </w:tcBorders>
                            <w:hideMark/>
                          </w:tcPr>
                          <w:p w14:paraId="0D118A8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(11,302.0)  </w:t>
                            </w:r>
                          </w:p>
                        </w:tc>
                        <w:tc>
                          <w:tcPr>
                            <w:tcW w:w="593" w:type="pct"/>
                            <w:tcBorders>
                              <w:top w:val="nil"/>
                              <w:left w:val="nil"/>
                              <w:bottom w:val="nil"/>
                              <w:right w:val="nil"/>
                            </w:tcBorders>
                            <w:hideMark/>
                          </w:tcPr>
                          <w:p w14:paraId="74FC3B87"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(13,605.0)  </w:t>
                            </w:r>
                          </w:p>
                        </w:tc>
                      </w:tr>
                      <w:tr w:rsidR="0014207C" w:rsidRPr="0014207C" w14:paraId="1EFFF6F9" w14:textId="77777777" w:rsidTr="0014207C">
                        <w:trPr>
                          <w:trHeight w:val="204"/>
                        </w:trPr>
                        <w:tc>
                          <w:tcPr>
                            <w:tcW w:w="1562" w:type="pct"/>
                            <w:tcBorders>
                              <w:top w:val="nil"/>
                              <w:left w:val="nil"/>
                              <w:bottom w:val="nil"/>
                              <w:right w:val="nil"/>
                            </w:tcBorders>
                            <w:noWrap/>
                            <w:hideMark/>
                          </w:tcPr>
                          <w:p w14:paraId="797E3FE6"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Total Common Equity</w:t>
                            </w:r>
                          </w:p>
                        </w:tc>
                        <w:tc>
                          <w:tcPr>
                            <w:tcW w:w="553" w:type="pct"/>
                            <w:tcBorders>
                              <w:top w:val="single" w:sz="4" w:space="0" w:color="000000"/>
                              <w:left w:val="nil"/>
                              <w:bottom w:val="nil"/>
                              <w:right w:val="nil"/>
                            </w:tcBorders>
                            <w:hideMark/>
                          </w:tcPr>
                          <w:p w14:paraId="7B6645B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74,669.0 </w:t>
                            </w:r>
                          </w:p>
                        </w:tc>
                        <w:tc>
                          <w:tcPr>
                            <w:tcW w:w="553" w:type="pct"/>
                            <w:tcBorders>
                              <w:top w:val="single" w:sz="4" w:space="0" w:color="000000"/>
                              <w:left w:val="nil"/>
                              <w:bottom w:val="nil"/>
                              <w:right w:val="nil"/>
                            </w:tcBorders>
                            <w:hideMark/>
                          </w:tcPr>
                          <w:p w14:paraId="1D8CDAA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80,925.0 </w:t>
                            </w:r>
                          </w:p>
                        </w:tc>
                        <w:tc>
                          <w:tcPr>
                            <w:tcW w:w="553" w:type="pct"/>
                            <w:tcBorders>
                              <w:top w:val="single" w:sz="4" w:space="0" w:color="000000"/>
                              <w:left w:val="nil"/>
                              <w:bottom w:val="nil"/>
                              <w:right w:val="nil"/>
                            </w:tcBorders>
                            <w:hideMark/>
                          </w:tcPr>
                          <w:p w14:paraId="3FAC8DBC"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83,253.0 </w:t>
                            </w:r>
                          </w:p>
                        </w:tc>
                        <w:tc>
                          <w:tcPr>
                            <w:tcW w:w="593" w:type="pct"/>
                            <w:tcBorders>
                              <w:top w:val="single" w:sz="4" w:space="0" w:color="000000"/>
                              <w:left w:val="nil"/>
                              <w:bottom w:val="nil"/>
                              <w:right w:val="nil"/>
                            </w:tcBorders>
                            <w:hideMark/>
                          </w:tcPr>
                          <w:p w14:paraId="59C63C1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76,693.0 </w:t>
                            </w:r>
                          </w:p>
                        </w:tc>
                        <w:tc>
                          <w:tcPr>
                            <w:tcW w:w="593" w:type="pct"/>
                            <w:tcBorders>
                              <w:top w:val="single" w:sz="4" w:space="0" w:color="000000"/>
                              <w:left w:val="nil"/>
                              <w:bottom w:val="nil"/>
                              <w:right w:val="nil"/>
                            </w:tcBorders>
                            <w:hideMark/>
                          </w:tcPr>
                          <w:p w14:paraId="24FB18B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83,861.0 </w:t>
                            </w:r>
                          </w:p>
                        </w:tc>
                        <w:tc>
                          <w:tcPr>
                            <w:tcW w:w="593" w:type="pct"/>
                            <w:tcBorders>
                              <w:top w:val="single" w:sz="4" w:space="0" w:color="000000"/>
                              <w:left w:val="nil"/>
                              <w:bottom w:val="nil"/>
                              <w:right w:val="nil"/>
                            </w:tcBorders>
                            <w:hideMark/>
                          </w:tcPr>
                          <w:p w14:paraId="4FEF00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           91,013.0 </w:t>
                            </w:r>
                          </w:p>
                        </w:tc>
                      </w:tr>
                      <w:tr w:rsidR="0014207C" w:rsidRPr="0014207C" w14:paraId="480B2658" w14:textId="77777777" w:rsidTr="0014207C">
                        <w:trPr>
                          <w:trHeight w:val="204"/>
                        </w:trPr>
                        <w:tc>
                          <w:tcPr>
                            <w:tcW w:w="1562" w:type="pct"/>
                            <w:tcBorders>
                              <w:top w:val="nil"/>
                              <w:left w:val="nil"/>
                              <w:bottom w:val="nil"/>
                              <w:right w:val="nil"/>
                            </w:tcBorders>
                            <w:noWrap/>
                            <w:hideMark/>
                          </w:tcPr>
                          <w:p w14:paraId="5CB27124"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lang w:eastAsia="en-IN"/>
                                <w14:ligatures w14:val="none"/>
                              </w:rPr>
                            </w:pPr>
                          </w:p>
                        </w:tc>
                        <w:tc>
                          <w:tcPr>
                            <w:tcW w:w="553" w:type="pct"/>
                            <w:tcBorders>
                              <w:top w:val="nil"/>
                              <w:left w:val="nil"/>
                              <w:bottom w:val="nil"/>
                              <w:right w:val="nil"/>
                            </w:tcBorders>
                            <w:noWrap/>
                            <w:hideMark/>
                          </w:tcPr>
                          <w:p w14:paraId="44AB653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7E57DC5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BAC766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724833C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6F8112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5B691FC"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5D68274C" w14:textId="77777777" w:rsidTr="0014207C">
                        <w:trPr>
                          <w:trHeight w:val="204"/>
                        </w:trPr>
                        <w:tc>
                          <w:tcPr>
                            <w:tcW w:w="1562" w:type="pct"/>
                            <w:tcBorders>
                              <w:top w:val="nil"/>
                              <w:left w:val="nil"/>
                              <w:bottom w:val="nil"/>
                              <w:right w:val="nil"/>
                            </w:tcBorders>
                            <w:noWrap/>
                            <w:hideMark/>
                          </w:tcPr>
                          <w:p w14:paraId="6ECAE7D7" w14:textId="77777777" w:rsidR="0014207C" w:rsidRPr="0014207C" w:rsidRDefault="0014207C" w:rsidP="0014207C">
                            <w:pPr>
                              <w:spacing w:after="0" w:line="240" w:lineRule="auto"/>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Minority Interest</w:t>
                            </w:r>
                          </w:p>
                        </w:tc>
                        <w:tc>
                          <w:tcPr>
                            <w:tcW w:w="553" w:type="pct"/>
                            <w:tcBorders>
                              <w:top w:val="nil"/>
                              <w:left w:val="nil"/>
                              <w:bottom w:val="nil"/>
                              <w:right w:val="nil"/>
                            </w:tcBorders>
                            <w:hideMark/>
                          </w:tcPr>
                          <w:p w14:paraId="792D163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6,883.0 </w:t>
                            </w:r>
                          </w:p>
                        </w:tc>
                        <w:tc>
                          <w:tcPr>
                            <w:tcW w:w="553" w:type="pct"/>
                            <w:tcBorders>
                              <w:top w:val="nil"/>
                              <w:left w:val="nil"/>
                              <w:bottom w:val="nil"/>
                              <w:right w:val="nil"/>
                            </w:tcBorders>
                            <w:hideMark/>
                          </w:tcPr>
                          <w:p w14:paraId="51B95601"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6,606.0 </w:t>
                            </w:r>
                          </w:p>
                        </w:tc>
                        <w:tc>
                          <w:tcPr>
                            <w:tcW w:w="553" w:type="pct"/>
                            <w:tcBorders>
                              <w:top w:val="nil"/>
                              <w:left w:val="nil"/>
                              <w:bottom w:val="nil"/>
                              <w:right w:val="nil"/>
                            </w:tcBorders>
                            <w:hideMark/>
                          </w:tcPr>
                          <w:p w14:paraId="4E25361C"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8,638.0 </w:t>
                            </w:r>
                          </w:p>
                        </w:tc>
                        <w:tc>
                          <w:tcPr>
                            <w:tcW w:w="593" w:type="pct"/>
                            <w:tcBorders>
                              <w:top w:val="nil"/>
                              <w:left w:val="nil"/>
                              <w:bottom w:val="nil"/>
                              <w:right w:val="nil"/>
                            </w:tcBorders>
                            <w:hideMark/>
                          </w:tcPr>
                          <w:p w14:paraId="0499B089"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7,298.0 </w:t>
                            </w:r>
                          </w:p>
                        </w:tc>
                        <w:tc>
                          <w:tcPr>
                            <w:tcW w:w="593" w:type="pct"/>
                            <w:tcBorders>
                              <w:top w:val="nil"/>
                              <w:left w:val="nil"/>
                              <w:bottom w:val="nil"/>
                              <w:right w:val="nil"/>
                            </w:tcBorders>
                            <w:hideMark/>
                          </w:tcPr>
                          <w:p w14:paraId="17161B83"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6,710.0 </w:t>
                            </w:r>
                          </w:p>
                        </w:tc>
                        <w:tc>
                          <w:tcPr>
                            <w:tcW w:w="593" w:type="pct"/>
                            <w:tcBorders>
                              <w:top w:val="nil"/>
                              <w:left w:val="nil"/>
                              <w:bottom w:val="nil"/>
                              <w:right w:val="nil"/>
                            </w:tcBorders>
                            <w:hideMark/>
                          </w:tcPr>
                          <w:p w14:paraId="462A3CB8"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r w:rsidRPr="0014207C">
                              <w:rPr>
                                <w:rFonts w:ascii="Cambria" w:eastAsia="Times New Roman" w:hAnsi="Cambria" w:cs="Arial"/>
                                <w:color w:val="000000"/>
                                <w:kern w:val="0"/>
                                <w:sz w:val="14"/>
                                <w:szCs w:val="14"/>
                                <w:lang w:eastAsia="en-IN"/>
                                <w14:ligatures w14:val="none"/>
                              </w:rPr>
                              <w:t xml:space="preserve">                6,679.0 </w:t>
                            </w:r>
                          </w:p>
                        </w:tc>
                      </w:tr>
                      <w:tr w:rsidR="0014207C" w:rsidRPr="0014207C" w14:paraId="3677144B" w14:textId="77777777" w:rsidTr="0014207C">
                        <w:trPr>
                          <w:trHeight w:val="204"/>
                        </w:trPr>
                        <w:tc>
                          <w:tcPr>
                            <w:tcW w:w="1562" w:type="pct"/>
                            <w:tcBorders>
                              <w:top w:val="nil"/>
                              <w:left w:val="nil"/>
                              <w:bottom w:val="nil"/>
                              <w:right w:val="nil"/>
                            </w:tcBorders>
                            <w:noWrap/>
                            <w:hideMark/>
                          </w:tcPr>
                          <w:p w14:paraId="7FB8813F" w14:textId="77777777" w:rsidR="0014207C" w:rsidRPr="0014207C" w:rsidRDefault="0014207C" w:rsidP="0014207C">
                            <w:pPr>
                              <w:spacing w:after="0" w:line="240" w:lineRule="auto"/>
                              <w:jc w:val="right"/>
                              <w:rPr>
                                <w:rFonts w:ascii="Cambria" w:eastAsia="Times New Roman" w:hAnsi="Cambria" w:cs="Arial"/>
                                <w:color w:val="000000"/>
                                <w:kern w:val="0"/>
                                <w:sz w:val="14"/>
                                <w:szCs w:val="14"/>
                                <w:lang w:eastAsia="en-IN"/>
                                <w14:ligatures w14:val="none"/>
                              </w:rPr>
                            </w:pPr>
                          </w:p>
                        </w:tc>
                        <w:tc>
                          <w:tcPr>
                            <w:tcW w:w="553" w:type="pct"/>
                            <w:tcBorders>
                              <w:top w:val="nil"/>
                              <w:left w:val="nil"/>
                              <w:bottom w:val="nil"/>
                              <w:right w:val="nil"/>
                            </w:tcBorders>
                            <w:noWrap/>
                            <w:hideMark/>
                          </w:tcPr>
                          <w:p w14:paraId="64434AA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0493600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24D8B0D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2804BA9D"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5877EDB4"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0BE6F5F9"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45898B4A" w14:textId="77777777" w:rsidTr="0014207C">
                        <w:trPr>
                          <w:trHeight w:val="204"/>
                        </w:trPr>
                        <w:tc>
                          <w:tcPr>
                            <w:tcW w:w="1562" w:type="pct"/>
                            <w:tcBorders>
                              <w:top w:val="nil"/>
                              <w:left w:val="nil"/>
                              <w:bottom w:val="nil"/>
                              <w:right w:val="nil"/>
                            </w:tcBorders>
                            <w:noWrap/>
                            <w:hideMark/>
                          </w:tcPr>
                          <w:p w14:paraId="11525BFD" w14:textId="77777777"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Total Equity</w:t>
                            </w:r>
                          </w:p>
                        </w:tc>
                        <w:tc>
                          <w:tcPr>
                            <w:tcW w:w="553" w:type="pct"/>
                            <w:tcBorders>
                              <w:top w:val="nil"/>
                              <w:left w:val="nil"/>
                              <w:bottom w:val="nil"/>
                              <w:right w:val="nil"/>
                            </w:tcBorders>
                            <w:hideMark/>
                          </w:tcPr>
                          <w:p w14:paraId="1F9FAB1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81,552.0 </w:t>
                            </w:r>
                          </w:p>
                        </w:tc>
                        <w:tc>
                          <w:tcPr>
                            <w:tcW w:w="553" w:type="pct"/>
                            <w:tcBorders>
                              <w:top w:val="nil"/>
                              <w:left w:val="nil"/>
                              <w:bottom w:val="nil"/>
                              <w:right w:val="nil"/>
                            </w:tcBorders>
                            <w:hideMark/>
                          </w:tcPr>
                          <w:p w14:paraId="4B7445D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87,531.0 </w:t>
                            </w:r>
                          </w:p>
                        </w:tc>
                        <w:tc>
                          <w:tcPr>
                            <w:tcW w:w="553" w:type="pct"/>
                            <w:tcBorders>
                              <w:top w:val="nil"/>
                              <w:left w:val="nil"/>
                              <w:bottom w:val="nil"/>
                              <w:right w:val="nil"/>
                            </w:tcBorders>
                            <w:hideMark/>
                          </w:tcPr>
                          <w:p w14:paraId="46A7F577"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91,891.0 </w:t>
                            </w:r>
                          </w:p>
                        </w:tc>
                        <w:tc>
                          <w:tcPr>
                            <w:tcW w:w="593" w:type="pct"/>
                            <w:tcBorders>
                              <w:top w:val="nil"/>
                              <w:left w:val="nil"/>
                              <w:bottom w:val="nil"/>
                              <w:right w:val="nil"/>
                            </w:tcBorders>
                            <w:hideMark/>
                          </w:tcPr>
                          <w:p w14:paraId="34809E16"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83,991.0 </w:t>
                            </w:r>
                          </w:p>
                        </w:tc>
                        <w:tc>
                          <w:tcPr>
                            <w:tcW w:w="593" w:type="pct"/>
                            <w:tcBorders>
                              <w:top w:val="nil"/>
                              <w:left w:val="nil"/>
                              <w:bottom w:val="nil"/>
                              <w:right w:val="nil"/>
                            </w:tcBorders>
                            <w:hideMark/>
                          </w:tcPr>
                          <w:p w14:paraId="453D9340"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90,571.0 </w:t>
                            </w:r>
                          </w:p>
                        </w:tc>
                        <w:tc>
                          <w:tcPr>
                            <w:tcW w:w="593" w:type="pct"/>
                            <w:tcBorders>
                              <w:top w:val="nil"/>
                              <w:left w:val="nil"/>
                              <w:bottom w:val="nil"/>
                              <w:right w:val="nil"/>
                            </w:tcBorders>
                            <w:hideMark/>
                          </w:tcPr>
                          <w:p w14:paraId="6646CF3F"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r w:rsidRPr="0014207C">
                              <w:rPr>
                                <w:rFonts w:ascii="Cambria" w:eastAsia="Times New Roman" w:hAnsi="Cambria" w:cs="Arial"/>
                                <w:b/>
                                <w:bCs/>
                                <w:color w:val="000000"/>
                                <w:kern w:val="0"/>
                                <w:sz w:val="14"/>
                                <w:szCs w:val="14"/>
                                <w:u w:val="single"/>
                                <w:lang w:eastAsia="en-IN"/>
                                <w14:ligatures w14:val="none"/>
                              </w:rPr>
                              <w:t xml:space="preserve">           97,692.0 </w:t>
                            </w:r>
                          </w:p>
                        </w:tc>
                      </w:tr>
                      <w:tr w:rsidR="0014207C" w:rsidRPr="0014207C" w14:paraId="0F36A9B4" w14:textId="77777777" w:rsidTr="0014207C">
                        <w:trPr>
                          <w:trHeight w:val="204"/>
                        </w:trPr>
                        <w:tc>
                          <w:tcPr>
                            <w:tcW w:w="1562" w:type="pct"/>
                            <w:tcBorders>
                              <w:top w:val="nil"/>
                              <w:left w:val="nil"/>
                              <w:bottom w:val="nil"/>
                              <w:right w:val="nil"/>
                            </w:tcBorders>
                            <w:noWrap/>
                            <w:hideMark/>
                          </w:tcPr>
                          <w:p w14:paraId="48B162D5"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single"/>
                                <w:lang w:eastAsia="en-IN"/>
                                <w14:ligatures w14:val="none"/>
                              </w:rPr>
                            </w:pPr>
                          </w:p>
                        </w:tc>
                        <w:tc>
                          <w:tcPr>
                            <w:tcW w:w="553" w:type="pct"/>
                            <w:tcBorders>
                              <w:top w:val="nil"/>
                              <w:left w:val="nil"/>
                              <w:bottom w:val="nil"/>
                              <w:right w:val="nil"/>
                            </w:tcBorders>
                            <w:noWrap/>
                            <w:hideMark/>
                          </w:tcPr>
                          <w:p w14:paraId="5829741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4958B4EF"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53" w:type="pct"/>
                            <w:tcBorders>
                              <w:top w:val="nil"/>
                              <w:left w:val="nil"/>
                              <w:bottom w:val="nil"/>
                              <w:right w:val="nil"/>
                            </w:tcBorders>
                            <w:noWrap/>
                            <w:hideMark/>
                          </w:tcPr>
                          <w:p w14:paraId="6B220F56"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14B34045"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BB54B71"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c>
                          <w:tcPr>
                            <w:tcW w:w="593" w:type="pct"/>
                            <w:tcBorders>
                              <w:top w:val="nil"/>
                              <w:left w:val="nil"/>
                              <w:bottom w:val="nil"/>
                              <w:right w:val="nil"/>
                            </w:tcBorders>
                            <w:noWrap/>
                            <w:hideMark/>
                          </w:tcPr>
                          <w:p w14:paraId="351C069E" w14:textId="77777777" w:rsidR="0014207C" w:rsidRPr="0014207C" w:rsidRDefault="0014207C" w:rsidP="0014207C">
                            <w:pPr>
                              <w:spacing w:after="0" w:line="240" w:lineRule="auto"/>
                              <w:rPr>
                                <w:rFonts w:ascii="Cambria" w:eastAsia="Times New Roman" w:hAnsi="Cambria" w:cs="Times New Roman"/>
                                <w:kern w:val="0"/>
                                <w:sz w:val="14"/>
                                <w:szCs w:val="14"/>
                                <w:lang w:eastAsia="en-IN"/>
                                <w14:ligatures w14:val="none"/>
                              </w:rPr>
                            </w:pPr>
                          </w:p>
                        </w:tc>
                      </w:tr>
                      <w:tr w:rsidR="0014207C" w:rsidRPr="0014207C" w14:paraId="65B0FAEC" w14:textId="77777777" w:rsidTr="0014207C">
                        <w:trPr>
                          <w:trHeight w:val="204"/>
                        </w:trPr>
                        <w:tc>
                          <w:tcPr>
                            <w:tcW w:w="1562" w:type="pct"/>
                            <w:tcBorders>
                              <w:top w:val="nil"/>
                              <w:left w:val="nil"/>
                              <w:bottom w:val="nil"/>
                              <w:right w:val="nil"/>
                            </w:tcBorders>
                            <w:noWrap/>
                            <w:hideMark/>
                          </w:tcPr>
                          <w:p w14:paraId="3F190AC0" w14:textId="7F1E20A9" w:rsidR="0014207C" w:rsidRPr="0014207C" w:rsidRDefault="0014207C" w:rsidP="0014207C">
                            <w:pPr>
                              <w:spacing w:after="0" w:line="240" w:lineRule="auto"/>
                              <w:rPr>
                                <w:rFonts w:ascii="Cambria" w:eastAsia="Times New Roman" w:hAnsi="Cambria" w:cs="Arial"/>
                                <w:b/>
                                <w:bCs/>
                                <w:color w:val="000000"/>
                                <w:kern w:val="0"/>
                                <w:sz w:val="14"/>
                                <w:szCs w:val="14"/>
                                <w:lang w:eastAsia="en-IN"/>
                                <w14:ligatures w14:val="none"/>
                              </w:rPr>
                            </w:pPr>
                            <w:r w:rsidRPr="0014207C">
                              <w:rPr>
                                <w:rFonts w:ascii="Cambria" w:eastAsia="Times New Roman" w:hAnsi="Cambria" w:cs="Arial"/>
                                <w:b/>
                                <w:bCs/>
                                <w:color w:val="000000"/>
                                <w:kern w:val="0"/>
                                <w:sz w:val="14"/>
                                <w:szCs w:val="14"/>
                                <w:lang w:eastAsia="en-IN"/>
                                <w14:ligatures w14:val="none"/>
                              </w:rPr>
                              <w:t xml:space="preserve">Total Liabilities </w:t>
                            </w:r>
                            <w:r w:rsidR="008970CB" w:rsidRPr="0014207C">
                              <w:rPr>
                                <w:rFonts w:ascii="Cambria" w:eastAsia="Times New Roman" w:hAnsi="Cambria" w:cs="Arial"/>
                                <w:b/>
                                <w:bCs/>
                                <w:color w:val="000000"/>
                                <w:kern w:val="0"/>
                                <w:sz w:val="14"/>
                                <w:szCs w:val="14"/>
                                <w:lang w:eastAsia="en-IN"/>
                                <w14:ligatures w14:val="none"/>
                              </w:rPr>
                              <w:t>and</w:t>
                            </w:r>
                            <w:r w:rsidRPr="0014207C">
                              <w:rPr>
                                <w:rFonts w:ascii="Cambria" w:eastAsia="Times New Roman" w:hAnsi="Cambria" w:cs="Arial"/>
                                <w:b/>
                                <w:bCs/>
                                <w:color w:val="000000"/>
                                <w:kern w:val="0"/>
                                <w:sz w:val="14"/>
                                <w:szCs w:val="14"/>
                                <w:lang w:eastAsia="en-IN"/>
                                <w14:ligatures w14:val="none"/>
                              </w:rPr>
                              <w:t xml:space="preserve"> Equity</w:t>
                            </w:r>
                          </w:p>
                        </w:tc>
                        <w:tc>
                          <w:tcPr>
                            <w:tcW w:w="553" w:type="pct"/>
                            <w:tcBorders>
                              <w:top w:val="nil"/>
                              <w:left w:val="nil"/>
                              <w:bottom w:val="nil"/>
                              <w:right w:val="nil"/>
                            </w:tcBorders>
                            <w:hideMark/>
                          </w:tcPr>
                          <w:p w14:paraId="3EBE2F9B"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236,495.0 </w:t>
                            </w:r>
                          </w:p>
                        </w:tc>
                        <w:tc>
                          <w:tcPr>
                            <w:tcW w:w="553" w:type="pct"/>
                            <w:tcBorders>
                              <w:top w:val="nil"/>
                              <w:left w:val="nil"/>
                              <w:bottom w:val="nil"/>
                              <w:right w:val="nil"/>
                            </w:tcBorders>
                            <w:hideMark/>
                          </w:tcPr>
                          <w:p w14:paraId="21352E9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252,496.0 </w:t>
                            </w:r>
                          </w:p>
                        </w:tc>
                        <w:tc>
                          <w:tcPr>
                            <w:tcW w:w="553" w:type="pct"/>
                            <w:tcBorders>
                              <w:top w:val="nil"/>
                              <w:left w:val="nil"/>
                              <w:bottom w:val="nil"/>
                              <w:right w:val="nil"/>
                            </w:tcBorders>
                            <w:hideMark/>
                          </w:tcPr>
                          <w:p w14:paraId="104841AD"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244,860.0 </w:t>
                            </w:r>
                          </w:p>
                        </w:tc>
                        <w:tc>
                          <w:tcPr>
                            <w:tcW w:w="593" w:type="pct"/>
                            <w:tcBorders>
                              <w:top w:val="nil"/>
                              <w:left w:val="nil"/>
                              <w:bottom w:val="nil"/>
                              <w:right w:val="nil"/>
                            </w:tcBorders>
                            <w:hideMark/>
                          </w:tcPr>
                          <w:p w14:paraId="3F0C4AE3"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243,197.0 </w:t>
                            </w:r>
                          </w:p>
                        </w:tc>
                        <w:tc>
                          <w:tcPr>
                            <w:tcW w:w="593" w:type="pct"/>
                            <w:tcBorders>
                              <w:top w:val="nil"/>
                              <w:left w:val="nil"/>
                              <w:bottom w:val="nil"/>
                              <w:right w:val="nil"/>
                            </w:tcBorders>
                            <w:hideMark/>
                          </w:tcPr>
                          <w:p w14:paraId="55A1B36A"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252,399.0 </w:t>
                            </w:r>
                          </w:p>
                        </w:tc>
                        <w:tc>
                          <w:tcPr>
                            <w:tcW w:w="593" w:type="pct"/>
                            <w:tcBorders>
                              <w:top w:val="nil"/>
                              <w:left w:val="nil"/>
                              <w:bottom w:val="nil"/>
                              <w:right w:val="nil"/>
                            </w:tcBorders>
                            <w:hideMark/>
                          </w:tcPr>
                          <w:p w14:paraId="376CD841" w14:textId="77777777" w:rsidR="0014207C" w:rsidRPr="0014207C" w:rsidRDefault="0014207C" w:rsidP="0014207C">
                            <w:pPr>
                              <w:spacing w:after="0" w:line="240" w:lineRule="auto"/>
                              <w:jc w:val="right"/>
                              <w:rPr>
                                <w:rFonts w:ascii="Cambria" w:eastAsia="Times New Roman" w:hAnsi="Cambria" w:cs="Arial"/>
                                <w:b/>
                                <w:bCs/>
                                <w:color w:val="000000"/>
                                <w:kern w:val="0"/>
                                <w:sz w:val="14"/>
                                <w:szCs w:val="14"/>
                                <w:u w:val="double"/>
                                <w:lang w:eastAsia="en-IN"/>
                                <w14:ligatures w14:val="none"/>
                              </w:rPr>
                            </w:pPr>
                            <w:r w:rsidRPr="0014207C">
                              <w:rPr>
                                <w:rFonts w:ascii="Cambria" w:eastAsia="Times New Roman" w:hAnsi="Cambria" w:cs="Arial"/>
                                <w:b/>
                                <w:bCs/>
                                <w:color w:val="000000"/>
                                <w:kern w:val="0"/>
                                <w:sz w:val="14"/>
                                <w:szCs w:val="14"/>
                                <w:u w:val="double"/>
                                <w:lang w:eastAsia="en-IN"/>
                                <w14:ligatures w14:val="none"/>
                              </w:rPr>
                              <w:t xml:space="preserve">         260,823.0 </w:t>
                            </w:r>
                          </w:p>
                        </w:tc>
                      </w:tr>
                    </w:tbl>
                    <w:p w14:paraId="3ECD94BA" w14:textId="771FD1AC" w:rsidR="0014207C" w:rsidRDefault="0014207C"/>
                  </w:txbxContent>
                </v:textbox>
                <w10:wrap type="square" anchorx="margin"/>
              </v:shape>
            </w:pict>
          </mc:Fallback>
        </mc:AlternateContent>
      </w:r>
      <w:r w:rsidR="0014207C" w:rsidRPr="00456405">
        <w:rPr>
          <w:rFonts w:ascii="Cambria" w:hAnsi="Cambria"/>
          <w:b/>
          <w:bCs/>
          <w:sz w:val="24"/>
          <w:szCs w:val="24"/>
        </w:rPr>
        <w:br/>
      </w:r>
    </w:p>
    <w:p w14:paraId="5CCCA319" w14:textId="77777777" w:rsidR="008970CB" w:rsidRPr="00456405" w:rsidRDefault="008970CB" w:rsidP="00730709">
      <w:pPr>
        <w:spacing w:beforeLines="20" w:before="48" w:afterLines="40" w:after="96" w:line="240" w:lineRule="auto"/>
        <w:jc w:val="both"/>
        <w:rPr>
          <w:rFonts w:ascii="Cambria" w:hAnsi="Cambria"/>
          <w:b/>
          <w:bCs/>
          <w:sz w:val="24"/>
          <w:szCs w:val="24"/>
        </w:rPr>
      </w:pPr>
    </w:p>
    <w:p w14:paraId="069606CE" w14:textId="11941CDA" w:rsidR="008C1A62" w:rsidRPr="00456405" w:rsidRDefault="00FB2C6B" w:rsidP="00730709">
      <w:pPr>
        <w:spacing w:beforeLines="20" w:before="48" w:afterLines="40" w:after="96" w:line="240" w:lineRule="auto"/>
        <w:jc w:val="both"/>
        <w:rPr>
          <w:rFonts w:ascii="Cambria" w:hAnsi="Cambria"/>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710464" behindDoc="0" locked="0" layoutInCell="1" allowOverlap="1" wp14:anchorId="7D83D185" wp14:editId="3A242A4C">
                <wp:simplePos x="0" y="0"/>
                <wp:positionH relativeFrom="margin">
                  <wp:posOffset>121920</wp:posOffset>
                </wp:positionH>
                <wp:positionV relativeFrom="paragraph">
                  <wp:posOffset>0</wp:posOffset>
                </wp:positionV>
                <wp:extent cx="6172200" cy="7962900"/>
                <wp:effectExtent l="0" t="0" r="0" b="0"/>
                <wp:wrapSquare wrapText="bothSides"/>
                <wp:docPr id="128917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962900"/>
                        </a:xfrm>
                        <a:prstGeom prst="rect">
                          <a:avLst/>
                        </a:prstGeom>
                        <a:noFill/>
                        <a:ln w="9525">
                          <a:noFill/>
                          <a:miter lim="800000"/>
                          <a:headEnd/>
                          <a:tailEnd/>
                        </a:ln>
                      </wps:spPr>
                      <wps:txbx>
                        <w:txbxContent>
                          <w:tbl>
                            <w:tblPr>
                              <w:tblW w:w="9200" w:type="dxa"/>
                              <w:tblLook w:val="04A0" w:firstRow="1" w:lastRow="0" w:firstColumn="1" w:lastColumn="0" w:noHBand="0" w:noVBand="1"/>
                            </w:tblPr>
                            <w:tblGrid>
                              <w:gridCol w:w="3240"/>
                              <w:gridCol w:w="960"/>
                              <w:gridCol w:w="960"/>
                              <w:gridCol w:w="960"/>
                              <w:gridCol w:w="960"/>
                              <w:gridCol w:w="960"/>
                              <w:gridCol w:w="1160"/>
                            </w:tblGrid>
                            <w:tr w:rsidR="007D5332" w:rsidRPr="007D5332" w14:paraId="7FF6511A" w14:textId="77777777" w:rsidTr="007D5332">
                              <w:trPr>
                                <w:trHeight w:val="324"/>
                              </w:trPr>
                              <w:tc>
                                <w:tcPr>
                                  <w:tcW w:w="8040" w:type="dxa"/>
                                  <w:gridSpan w:val="6"/>
                                  <w:tcBorders>
                                    <w:top w:val="nil"/>
                                    <w:left w:val="nil"/>
                                    <w:bottom w:val="nil"/>
                                    <w:right w:val="nil"/>
                                  </w:tcBorders>
                                  <w:noWrap/>
                                  <w:vAlign w:val="bottom"/>
                                  <w:hideMark/>
                                </w:tcPr>
                                <w:p w14:paraId="784CEF73"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Walmart Inc. (</w:t>
                                  </w:r>
                                  <w:r w:rsidRPr="007D5332">
                                    <w:rPr>
                                      <w:rFonts w:ascii="Cambria" w:eastAsia="Times New Roman" w:hAnsi="Cambria" w:cs="Arial"/>
                                      <w:b/>
                                      <w:bCs/>
                                      <w:color w:val="000000"/>
                                      <w:kern w:val="0"/>
                                      <w:sz w:val="14"/>
                                      <w:szCs w:val="14"/>
                                      <w:lang w:eastAsia="en-IN"/>
                                      <w14:ligatures w14:val="none"/>
                                    </w:rPr>
                                    <w:t>NYSE:WMT) &gt; Financials &gt; Cash Flow</w:t>
                                  </w:r>
                                </w:p>
                              </w:tc>
                              <w:tc>
                                <w:tcPr>
                                  <w:tcW w:w="1160" w:type="dxa"/>
                                  <w:tcBorders>
                                    <w:top w:val="nil"/>
                                    <w:left w:val="nil"/>
                                    <w:bottom w:val="nil"/>
                                    <w:right w:val="nil"/>
                                  </w:tcBorders>
                                  <w:noWrap/>
                                  <w:vAlign w:val="bottom"/>
                                  <w:hideMark/>
                                </w:tcPr>
                                <w:p w14:paraId="3A8AF56E"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r>
                            <w:tr w:rsidR="007D5332" w:rsidRPr="007D5332" w14:paraId="7F5AEB39" w14:textId="77777777" w:rsidTr="007D5332">
                              <w:trPr>
                                <w:trHeight w:val="204"/>
                              </w:trPr>
                              <w:tc>
                                <w:tcPr>
                                  <w:tcW w:w="3240" w:type="dxa"/>
                                  <w:tcBorders>
                                    <w:top w:val="nil"/>
                                    <w:left w:val="nil"/>
                                    <w:bottom w:val="nil"/>
                                    <w:right w:val="nil"/>
                                  </w:tcBorders>
                                  <w:shd w:val="clear" w:color="000000" w:fill="003366"/>
                                  <w:noWrap/>
                                  <w:vAlign w:val="bottom"/>
                                  <w:hideMark/>
                                </w:tcPr>
                                <w:p w14:paraId="279251FA"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Cash Flow</w:t>
                                  </w:r>
                                </w:p>
                              </w:tc>
                              <w:tc>
                                <w:tcPr>
                                  <w:tcW w:w="960" w:type="dxa"/>
                                  <w:tcBorders>
                                    <w:top w:val="nil"/>
                                    <w:left w:val="nil"/>
                                    <w:bottom w:val="nil"/>
                                    <w:right w:val="nil"/>
                                  </w:tcBorders>
                                  <w:shd w:val="clear" w:color="000000" w:fill="003366"/>
                                  <w:noWrap/>
                                  <w:vAlign w:val="bottom"/>
                                  <w:hideMark/>
                                </w:tcPr>
                                <w:p w14:paraId="335F9D4B"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762205EF"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124A8ACD"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50BBA061"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49049523"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1160" w:type="dxa"/>
                                  <w:tcBorders>
                                    <w:top w:val="nil"/>
                                    <w:left w:val="nil"/>
                                    <w:bottom w:val="nil"/>
                                    <w:right w:val="nil"/>
                                  </w:tcBorders>
                                  <w:shd w:val="clear" w:color="000000" w:fill="003366"/>
                                  <w:noWrap/>
                                  <w:vAlign w:val="bottom"/>
                                  <w:hideMark/>
                                </w:tcPr>
                                <w:p w14:paraId="4FDA28C5"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r>
                            <w:tr w:rsidR="007D5332" w:rsidRPr="007D5332" w14:paraId="1A3494AD" w14:textId="77777777" w:rsidTr="007D5332">
                              <w:trPr>
                                <w:trHeight w:val="612"/>
                              </w:trPr>
                              <w:tc>
                                <w:tcPr>
                                  <w:tcW w:w="3240" w:type="dxa"/>
                                  <w:tcBorders>
                                    <w:top w:val="nil"/>
                                    <w:left w:val="nil"/>
                                    <w:bottom w:val="nil"/>
                                    <w:right w:val="nil"/>
                                  </w:tcBorders>
                                  <w:shd w:val="clear" w:color="000000" w:fill="F0F0DC"/>
                                  <w:vAlign w:val="bottom"/>
                                  <w:hideMark/>
                                </w:tcPr>
                                <w:p w14:paraId="5DFEEBDB"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For the Fiscal Period Ending</w:t>
                                  </w:r>
                                </w:p>
                              </w:tc>
                              <w:tc>
                                <w:tcPr>
                                  <w:tcW w:w="960" w:type="dxa"/>
                                  <w:tcBorders>
                                    <w:top w:val="nil"/>
                                    <w:left w:val="nil"/>
                                    <w:bottom w:val="nil"/>
                                    <w:right w:val="nil"/>
                                  </w:tcBorders>
                                  <w:shd w:val="clear" w:color="000000" w:fill="F0F0DC"/>
                                  <w:vAlign w:val="bottom"/>
                                  <w:hideMark/>
                                </w:tcPr>
                                <w:p w14:paraId="17AB1E0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Jan-31-2020</w:t>
                                  </w:r>
                                </w:p>
                              </w:tc>
                              <w:tc>
                                <w:tcPr>
                                  <w:tcW w:w="960" w:type="dxa"/>
                                  <w:tcBorders>
                                    <w:top w:val="nil"/>
                                    <w:left w:val="nil"/>
                                    <w:bottom w:val="nil"/>
                                    <w:right w:val="nil"/>
                                  </w:tcBorders>
                                  <w:shd w:val="clear" w:color="000000" w:fill="F0F0DC"/>
                                  <w:vAlign w:val="bottom"/>
                                  <w:hideMark/>
                                </w:tcPr>
                                <w:p w14:paraId="1AABDAD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Jan-31-2021</w:t>
                                  </w:r>
                                </w:p>
                              </w:tc>
                              <w:tc>
                                <w:tcPr>
                                  <w:tcW w:w="960" w:type="dxa"/>
                                  <w:tcBorders>
                                    <w:top w:val="nil"/>
                                    <w:left w:val="nil"/>
                                    <w:bottom w:val="nil"/>
                                    <w:right w:val="nil"/>
                                  </w:tcBorders>
                                  <w:shd w:val="clear" w:color="000000" w:fill="F0F0DC"/>
                                  <w:vAlign w:val="bottom"/>
                                  <w:hideMark/>
                                </w:tcPr>
                                <w:p w14:paraId="4DF7645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Jan-31-2022</w:t>
                                  </w:r>
                                </w:p>
                              </w:tc>
                              <w:tc>
                                <w:tcPr>
                                  <w:tcW w:w="960" w:type="dxa"/>
                                  <w:tcBorders>
                                    <w:top w:val="nil"/>
                                    <w:left w:val="nil"/>
                                    <w:bottom w:val="nil"/>
                                    <w:right w:val="nil"/>
                                  </w:tcBorders>
                                  <w:shd w:val="clear" w:color="000000" w:fill="F0F0DC"/>
                                  <w:vAlign w:val="bottom"/>
                                  <w:hideMark/>
                                </w:tcPr>
                                <w:p w14:paraId="26D034B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Jan-31-2023</w:t>
                                  </w:r>
                                </w:p>
                              </w:tc>
                              <w:tc>
                                <w:tcPr>
                                  <w:tcW w:w="960" w:type="dxa"/>
                                  <w:tcBorders>
                                    <w:top w:val="nil"/>
                                    <w:left w:val="nil"/>
                                    <w:bottom w:val="nil"/>
                                    <w:right w:val="nil"/>
                                  </w:tcBorders>
                                  <w:shd w:val="clear" w:color="000000" w:fill="F0F0DC"/>
                                  <w:vAlign w:val="bottom"/>
                                  <w:hideMark/>
                                </w:tcPr>
                                <w:p w14:paraId="1C8340A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Jan-31-2024</w:t>
                                  </w:r>
                                </w:p>
                              </w:tc>
                              <w:tc>
                                <w:tcPr>
                                  <w:tcW w:w="1160" w:type="dxa"/>
                                  <w:tcBorders>
                                    <w:top w:val="nil"/>
                                    <w:left w:val="nil"/>
                                    <w:bottom w:val="nil"/>
                                    <w:right w:val="nil"/>
                                  </w:tcBorders>
                                  <w:shd w:val="clear" w:color="000000" w:fill="F0F0DC"/>
                                  <w:vAlign w:val="bottom"/>
                                  <w:hideMark/>
                                </w:tcPr>
                                <w:p w14:paraId="7253F6E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Press Release</w:t>
                                  </w:r>
                                  <w:r w:rsidRPr="007D5332">
                                    <w:rPr>
                                      <w:rFonts w:ascii="Cambria" w:eastAsia="Times New Roman" w:hAnsi="Cambria" w:cs="Arial"/>
                                      <w:b/>
                                      <w:bCs/>
                                      <w:color w:val="000000"/>
                                      <w:kern w:val="0"/>
                                      <w:sz w:val="14"/>
                                      <w:szCs w:val="14"/>
                                      <w:lang w:eastAsia="en-IN"/>
                                      <w14:ligatures w14:val="none"/>
                                    </w:rPr>
                                    <w:br/>
                                    <w:t>12 months</w:t>
                                  </w:r>
                                  <w:r w:rsidRPr="007D5332">
                                    <w:rPr>
                                      <w:rFonts w:ascii="Cambria" w:eastAsia="Times New Roman" w:hAnsi="Cambria" w:cs="Arial"/>
                                      <w:b/>
                                      <w:bCs/>
                                      <w:color w:val="000000"/>
                                      <w:kern w:val="0"/>
                                      <w:sz w:val="14"/>
                                      <w:szCs w:val="14"/>
                                      <w:lang w:eastAsia="en-IN"/>
                                      <w14:ligatures w14:val="none"/>
                                    </w:rPr>
                                    <w:br/>
                                    <w:t>Jan-31-2025</w:t>
                                  </w:r>
                                </w:p>
                              </w:tc>
                            </w:tr>
                            <w:tr w:rsidR="007D5332" w:rsidRPr="007D5332" w14:paraId="4BED4B09" w14:textId="77777777" w:rsidTr="007D5332">
                              <w:trPr>
                                <w:trHeight w:val="204"/>
                              </w:trPr>
                              <w:tc>
                                <w:tcPr>
                                  <w:tcW w:w="3240" w:type="dxa"/>
                                  <w:tcBorders>
                                    <w:top w:val="nil"/>
                                    <w:left w:val="nil"/>
                                    <w:bottom w:val="nil"/>
                                    <w:right w:val="nil"/>
                                  </w:tcBorders>
                                  <w:shd w:val="clear" w:color="000000" w:fill="F0F0DC"/>
                                  <w:vAlign w:val="bottom"/>
                                  <w:hideMark/>
                                </w:tcPr>
                                <w:p w14:paraId="6E387BB3" w14:textId="77777777" w:rsidR="007D5332" w:rsidRPr="007D5332" w:rsidRDefault="007D5332" w:rsidP="007D5332">
                                  <w:pPr>
                                    <w:spacing w:after="0" w:line="240" w:lineRule="auto"/>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Currency</w:t>
                                  </w:r>
                                </w:p>
                              </w:tc>
                              <w:tc>
                                <w:tcPr>
                                  <w:tcW w:w="960" w:type="dxa"/>
                                  <w:tcBorders>
                                    <w:top w:val="nil"/>
                                    <w:left w:val="nil"/>
                                    <w:bottom w:val="nil"/>
                                    <w:right w:val="nil"/>
                                  </w:tcBorders>
                                  <w:shd w:val="clear" w:color="000000" w:fill="F0F0DC"/>
                                  <w:vAlign w:val="bottom"/>
                                  <w:hideMark/>
                                </w:tcPr>
                                <w:p w14:paraId="07EE6D7A"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60EAA714"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2518883A"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392EEA5E"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57E1F50F"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1160" w:type="dxa"/>
                                  <w:tcBorders>
                                    <w:top w:val="nil"/>
                                    <w:left w:val="nil"/>
                                    <w:bottom w:val="nil"/>
                                    <w:right w:val="nil"/>
                                  </w:tcBorders>
                                  <w:shd w:val="clear" w:color="000000" w:fill="F0F0DC"/>
                                  <w:vAlign w:val="bottom"/>
                                  <w:hideMark/>
                                </w:tcPr>
                                <w:p w14:paraId="12832348"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r>
                            <w:tr w:rsidR="007D5332" w:rsidRPr="007D5332" w14:paraId="380C9444" w14:textId="77777777" w:rsidTr="007D5332">
                              <w:trPr>
                                <w:trHeight w:val="204"/>
                              </w:trPr>
                              <w:tc>
                                <w:tcPr>
                                  <w:tcW w:w="3240" w:type="dxa"/>
                                  <w:tcBorders>
                                    <w:top w:val="nil"/>
                                    <w:left w:val="nil"/>
                                    <w:bottom w:val="nil"/>
                                    <w:right w:val="nil"/>
                                  </w:tcBorders>
                                  <w:noWrap/>
                                  <w:hideMark/>
                                </w:tcPr>
                                <w:p w14:paraId="696475DA"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w:t>
                                  </w:r>
                                </w:p>
                              </w:tc>
                              <w:tc>
                                <w:tcPr>
                                  <w:tcW w:w="960" w:type="dxa"/>
                                  <w:tcBorders>
                                    <w:top w:val="nil"/>
                                    <w:left w:val="nil"/>
                                    <w:bottom w:val="nil"/>
                                    <w:right w:val="nil"/>
                                  </w:tcBorders>
                                  <w:noWrap/>
                                  <w:hideMark/>
                                </w:tcPr>
                                <w:p w14:paraId="4E0A2760"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76957F6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045004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228CC2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22CF9F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127F487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6E4925A7" w14:textId="77777777" w:rsidTr="007D5332">
                              <w:trPr>
                                <w:trHeight w:val="204"/>
                              </w:trPr>
                              <w:tc>
                                <w:tcPr>
                                  <w:tcW w:w="3240" w:type="dxa"/>
                                  <w:tcBorders>
                                    <w:top w:val="nil"/>
                                    <w:left w:val="nil"/>
                                    <w:bottom w:val="nil"/>
                                    <w:right w:val="nil"/>
                                  </w:tcBorders>
                                  <w:noWrap/>
                                  <w:hideMark/>
                                </w:tcPr>
                                <w:p w14:paraId="55A0CFAA"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Net Income</w:t>
                                  </w:r>
                                </w:p>
                              </w:tc>
                              <w:tc>
                                <w:tcPr>
                                  <w:tcW w:w="960" w:type="dxa"/>
                                  <w:tcBorders>
                                    <w:top w:val="nil"/>
                                    <w:left w:val="nil"/>
                                    <w:bottom w:val="nil"/>
                                    <w:right w:val="nil"/>
                                  </w:tcBorders>
                                  <w:hideMark/>
                                </w:tcPr>
                                <w:p w14:paraId="154B9A3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14,881.0 </w:t>
                                  </w:r>
                                </w:p>
                              </w:tc>
                              <w:tc>
                                <w:tcPr>
                                  <w:tcW w:w="960" w:type="dxa"/>
                                  <w:tcBorders>
                                    <w:top w:val="nil"/>
                                    <w:left w:val="nil"/>
                                    <w:bottom w:val="nil"/>
                                    <w:right w:val="nil"/>
                                  </w:tcBorders>
                                  <w:hideMark/>
                                </w:tcPr>
                                <w:p w14:paraId="10688B6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13,510.0 </w:t>
                                  </w:r>
                                </w:p>
                              </w:tc>
                              <w:tc>
                                <w:tcPr>
                                  <w:tcW w:w="960" w:type="dxa"/>
                                  <w:tcBorders>
                                    <w:top w:val="nil"/>
                                    <w:left w:val="nil"/>
                                    <w:bottom w:val="nil"/>
                                    <w:right w:val="nil"/>
                                  </w:tcBorders>
                                  <w:hideMark/>
                                </w:tcPr>
                                <w:p w14:paraId="15B78F5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13,673.0 </w:t>
                                  </w:r>
                                </w:p>
                              </w:tc>
                              <w:tc>
                                <w:tcPr>
                                  <w:tcW w:w="960" w:type="dxa"/>
                                  <w:tcBorders>
                                    <w:top w:val="nil"/>
                                    <w:left w:val="nil"/>
                                    <w:bottom w:val="nil"/>
                                    <w:right w:val="nil"/>
                                  </w:tcBorders>
                                  <w:hideMark/>
                                </w:tcPr>
                                <w:p w14:paraId="3E0379B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11,680.0 </w:t>
                                  </w:r>
                                </w:p>
                              </w:tc>
                              <w:tc>
                                <w:tcPr>
                                  <w:tcW w:w="960" w:type="dxa"/>
                                  <w:tcBorders>
                                    <w:top w:val="nil"/>
                                    <w:left w:val="nil"/>
                                    <w:bottom w:val="nil"/>
                                    <w:right w:val="nil"/>
                                  </w:tcBorders>
                                  <w:hideMark/>
                                </w:tcPr>
                                <w:p w14:paraId="26612B4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15,511.0 </w:t>
                                  </w:r>
                                </w:p>
                              </w:tc>
                              <w:tc>
                                <w:tcPr>
                                  <w:tcW w:w="1160" w:type="dxa"/>
                                  <w:tcBorders>
                                    <w:top w:val="nil"/>
                                    <w:left w:val="nil"/>
                                    <w:bottom w:val="nil"/>
                                    <w:right w:val="nil"/>
                                  </w:tcBorders>
                                  <w:hideMark/>
                                </w:tcPr>
                                <w:p w14:paraId="78C6662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19,436.0 </w:t>
                                  </w:r>
                                </w:p>
                              </w:tc>
                            </w:tr>
                            <w:tr w:rsidR="007D5332" w:rsidRPr="007D5332" w14:paraId="3DBB7B3C" w14:textId="77777777" w:rsidTr="007D5332">
                              <w:trPr>
                                <w:trHeight w:val="204"/>
                              </w:trPr>
                              <w:tc>
                                <w:tcPr>
                                  <w:tcW w:w="3240" w:type="dxa"/>
                                  <w:tcBorders>
                                    <w:top w:val="nil"/>
                                    <w:left w:val="nil"/>
                                    <w:bottom w:val="nil"/>
                                    <w:right w:val="nil"/>
                                  </w:tcBorders>
                                  <w:noWrap/>
                                  <w:hideMark/>
                                </w:tcPr>
                                <w:p w14:paraId="073668E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Depreciation &amp; Amort.</w:t>
                                  </w:r>
                                </w:p>
                              </w:tc>
                              <w:tc>
                                <w:tcPr>
                                  <w:tcW w:w="960" w:type="dxa"/>
                                  <w:tcBorders>
                                    <w:top w:val="nil"/>
                                    <w:left w:val="nil"/>
                                    <w:bottom w:val="nil"/>
                                    <w:right w:val="nil"/>
                                  </w:tcBorders>
                                  <w:hideMark/>
                                </w:tcPr>
                                <w:p w14:paraId="4D6291A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10,987.0 </w:t>
                                  </w:r>
                                </w:p>
                              </w:tc>
                              <w:tc>
                                <w:tcPr>
                                  <w:tcW w:w="960" w:type="dxa"/>
                                  <w:tcBorders>
                                    <w:top w:val="nil"/>
                                    <w:left w:val="nil"/>
                                    <w:bottom w:val="nil"/>
                                    <w:right w:val="nil"/>
                                  </w:tcBorders>
                                  <w:hideMark/>
                                </w:tcPr>
                                <w:p w14:paraId="597973B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11,152.0 </w:t>
                                  </w:r>
                                </w:p>
                              </w:tc>
                              <w:tc>
                                <w:tcPr>
                                  <w:tcW w:w="960" w:type="dxa"/>
                                  <w:tcBorders>
                                    <w:top w:val="nil"/>
                                    <w:left w:val="nil"/>
                                    <w:bottom w:val="nil"/>
                                    <w:right w:val="nil"/>
                                  </w:tcBorders>
                                  <w:hideMark/>
                                </w:tcPr>
                                <w:p w14:paraId="23588C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10,658.0 </w:t>
                                  </w:r>
                                </w:p>
                              </w:tc>
                              <w:tc>
                                <w:tcPr>
                                  <w:tcW w:w="960" w:type="dxa"/>
                                  <w:tcBorders>
                                    <w:top w:val="nil"/>
                                    <w:left w:val="nil"/>
                                    <w:bottom w:val="nil"/>
                                    <w:right w:val="nil"/>
                                  </w:tcBorders>
                                  <w:hideMark/>
                                </w:tcPr>
                                <w:p w14:paraId="170AF32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10,945.0 </w:t>
                                  </w:r>
                                </w:p>
                              </w:tc>
                              <w:tc>
                                <w:tcPr>
                                  <w:tcW w:w="960" w:type="dxa"/>
                                  <w:tcBorders>
                                    <w:top w:val="nil"/>
                                    <w:left w:val="nil"/>
                                    <w:bottom w:val="nil"/>
                                    <w:right w:val="nil"/>
                                  </w:tcBorders>
                                  <w:hideMark/>
                                </w:tcPr>
                                <w:p w14:paraId="1A1F44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11,853.0 </w:t>
                                  </w:r>
                                </w:p>
                              </w:tc>
                              <w:tc>
                                <w:tcPr>
                                  <w:tcW w:w="1160" w:type="dxa"/>
                                  <w:tcBorders>
                                    <w:top w:val="nil"/>
                                    <w:left w:val="nil"/>
                                    <w:bottom w:val="nil"/>
                                    <w:right w:val="nil"/>
                                  </w:tcBorders>
                                  <w:hideMark/>
                                </w:tcPr>
                                <w:p w14:paraId="3C9511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12,973.0 </w:t>
                                  </w:r>
                                </w:p>
                              </w:tc>
                            </w:tr>
                            <w:tr w:rsidR="007D5332" w:rsidRPr="007D5332" w14:paraId="1B15A8B9" w14:textId="77777777" w:rsidTr="007D5332">
                              <w:trPr>
                                <w:trHeight w:val="204"/>
                              </w:trPr>
                              <w:tc>
                                <w:tcPr>
                                  <w:tcW w:w="3240" w:type="dxa"/>
                                  <w:tcBorders>
                                    <w:top w:val="nil"/>
                                    <w:left w:val="nil"/>
                                    <w:bottom w:val="nil"/>
                                    <w:right w:val="nil"/>
                                  </w:tcBorders>
                                  <w:noWrap/>
                                  <w:hideMark/>
                                </w:tcPr>
                                <w:p w14:paraId="5C73750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Depreciation &amp; Amort., Total</w:t>
                                  </w:r>
                                </w:p>
                              </w:tc>
                              <w:tc>
                                <w:tcPr>
                                  <w:tcW w:w="960" w:type="dxa"/>
                                  <w:tcBorders>
                                    <w:top w:val="single" w:sz="4" w:space="0" w:color="000000"/>
                                    <w:left w:val="nil"/>
                                    <w:bottom w:val="nil"/>
                                    <w:right w:val="nil"/>
                                  </w:tcBorders>
                                  <w:hideMark/>
                                </w:tcPr>
                                <w:p w14:paraId="545D6B4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10,987.0 </w:t>
                                  </w:r>
                                </w:p>
                              </w:tc>
                              <w:tc>
                                <w:tcPr>
                                  <w:tcW w:w="960" w:type="dxa"/>
                                  <w:tcBorders>
                                    <w:top w:val="single" w:sz="4" w:space="0" w:color="000000"/>
                                    <w:left w:val="nil"/>
                                    <w:bottom w:val="nil"/>
                                    <w:right w:val="nil"/>
                                  </w:tcBorders>
                                  <w:hideMark/>
                                </w:tcPr>
                                <w:p w14:paraId="1EE9658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11,152.0 </w:t>
                                  </w:r>
                                </w:p>
                              </w:tc>
                              <w:tc>
                                <w:tcPr>
                                  <w:tcW w:w="960" w:type="dxa"/>
                                  <w:tcBorders>
                                    <w:top w:val="single" w:sz="4" w:space="0" w:color="000000"/>
                                    <w:left w:val="nil"/>
                                    <w:bottom w:val="nil"/>
                                    <w:right w:val="nil"/>
                                  </w:tcBorders>
                                  <w:hideMark/>
                                </w:tcPr>
                                <w:p w14:paraId="7AE9952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10,658.0 </w:t>
                                  </w:r>
                                </w:p>
                              </w:tc>
                              <w:tc>
                                <w:tcPr>
                                  <w:tcW w:w="960" w:type="dxa"/>
                                  <w:tcBorders>
                                    <w:top w:val="single" w:sz="4" w:space="0" w:color="000000"/>
                                    <w:left w:val="nil"/>
                                    <w:bottom w:val="nil"/>
                                    <w:right w:val="nil"/>
                                  </w:tcBorders>
                                  <w:hideMark/>
                                </w:tcPr>
                                <w:p w14:paraId="6E0B1B0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10,945.0 </w:t>
                                  </w:r>
                                </w:p>
                              </w:tc>
                              <w:tc>
                                <w:tcPr>
                                  <w:tcW w:w="960" w:type="dxa"/>
                                  <w:tcBorders>
                                    <w:top w:val="single" w:sz="4" w:space="0" w:color="000000"/>
                                    <w:left w:val="nil"/>
                                    <w:bottom w:val="nil"/>
                                    <w:right w:val="nil"/>
                                  </w:tcBorders>
                                  <w:hideMark/>
                                </w:tcPr>
                                <w:p w14:paraId="3B19E2E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11,853.0 </w:t>
                                  </w:r>
                                </w:p>
                              </w:tc>
                              <w:tc>
                                <w:tcPr>
                                  <w:tcW w:w="1160" w:type="dxa"/>
                                  <w:tcBorders>
                                    <w:top w:val="single" w:sz="4" w:space="0" w:color="000000"/>
                                    <w:left w:val="nil"/>
                                    <w:bottom w:val="nil"/>
                                    <w:right w:val="nil"/>
                                  </w:tcBorders>
                                  <w:hideMark/>
                                </w:tcPr>
                                <w:p w14:paraId="6B2239F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12,973.0 </w:t>
                                  </w:r>
                                </w:p>
                              </w:tc>
                            </w:tr>
                            <w:tr w:rsidR="007D5332" w:rsidRPr="007D5332" w14:paraId="373BED12" w14:textId="77777777" w:rsidTr="007D5332">
                              <w:trPr>
                                <w:trHeight w:val="204"/>
                              </w:trPr>
                              <w:tc>
                                <w:tcPr>
                                  <w:tcW w:w="3240" w:type="dxa"/>
                                  <w:tcBorders>
                                    <w:top w:val="nil"/>
                                    <w:left w:val="nil"/>
                                    <w:bottom w:val="nil"/>
                                    <w:right w:val="nil"/>
                                  </w:tcBorders>
                                  <w:noWrap/>
                                  <w:hideMark/>
                                </w:tcPr>
                                <w:p w14:paraId="28F6707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1146367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DA5336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5B1AFA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CACDDE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EC9DC4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111394B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63282528" w14:textId="77777777" w:rsidTr="007D5332">
                              <w:trPr>
                                <w:trHeight w:val="204"/>
                              </w:trPr>
                              <w:tc>
                                <w:tcPr>
                                  <w:tcW w:w="3240" w:type="dxa"/>
                                  <w:tcBorders>
                                    <w:top w:val="nil"/>
                                    <w:left w:val="nil"/>
                                    <w:bottom w:val="nil"/>
                                    <w:right w:val="nil"/>
                                  </w:tcBorders>
                                  <w:noWrap/>
                                  <w:hideMark/>
                                </w:tcPr>
                                <w:p w14:paraId="110289C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(Gain) Loss From Sale Of Assets</w:t>
                                  </w:r>
                                </w:p>
                              </w:tc>
                              <w:tc>
                                <w:tcPr>
                                  <w:tcW w:w="960" w:type="dxa"/>
                                  <w:tcBorders>
                                    <w:top w:val="nil"/>
                                    <w:left w:val="nil"/>
                                    <w:bottom w:val="nil"/>
                                    <w:right w:val="nil"/>
                                  </w:tcBorders>
                                  <w:hideMark/>
                                </w:tcPr>
                                <w:p w14:paraId="296D7B8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15.0 </w:t>
                                  </w:r>
                                </w:p>
                              </w:tc>
                              <w:tc>
                                <w:tcPr>
                                  <w:tcW w:w="960" w:type="dxa"/>
                                  <w:tcBorders>
                                    <w:top w:val="nil"/>
                                    <w:left w:val="nil"/>
                                    <w:bottom w:val="nil"/>
                                    <w:right w:val="nil"/>
                                  </w:tcBorders>
                                  <w:hideMark/>
                                </w:tcPr>
                                <w:p w14:paraId="6827CB4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8,401.0 </w:t>
                                  </w:r>
                                </w:p>
                              </w:tc>
                              <w:tc>
                                <w:tcPr>
                                  <w:tcW w:w="960" w:type="dxa"/>
                                  <w:tcBorders>
                                    <w:top w:val="nil"/>
                                    <w:left w:val="nil"/>
                                    <w:bottom w:val="nil"/>
                                    <w:right w:val="nil"/>
                                  </w:tcBorders>
                                  <w:hideMark/>
                                </w:tcPr>
                                <w:p w14:paraId="59ADF3E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433.0 </w:t>
                                  </w:r>
                                </w:p>
                              </w:tc>
                              <w:tc>
                                <w:tcPr>
                                  <w:tcW w:w="960" w:type="dxa"/>
                                  <w:tcBorders>
                                    <w:top w:val="nil"/>
                                    <w:left w:val="nil"/>
                                    <w:bottom w:val="nil"/>
                                    <w:right w:val="nil"/>
                                  </w:tcBorders>
                                  <w:hideMark/>
                                </w:tcPr>
                                <w:p w14:paraId="0171C21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4301E3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4504C5E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343C7DA7" w14:textId="77777777" w:rsidTr="007D5332">
                              <w:trPr>
                                <w:trHeight w:val="204"/>
                              </w:trPr>
                              <w:tc>
                                <w:tcPr>
                                  <w:tcW w:w="3240" w:type="dxa"/>
                                  <w:tcBorders>
                                    <w:top w:val="nil"/>
                                    <w:left w:val="nil"/>
                                    <w:bottom w:val="nil"/>
                                    <w:right w:val="nil"/>
                                  </w:tcBorders>
                                  <w:noWrap/>
                                  <w:hideMark/>
                                </w:tcPr>
                                <w:p w14:paraId="1626570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(Gain) Loss On Sale Of Invest.</w:t>
                                  </w:r>
                                </w:p>
                              </w:tc>
                              <w:tc>
                                <w:tcPr>
                                  <w:tcW w:w="960" w:type="dxa"/>
                                  <w:tcBorders>
                                    <w:top w:val="nil"/>
                                    <w:left w:val="nil"/>
                                    <w:bottom w:val="nil"/>
                                    <w:right w:val="nil"/>
                                  </w:tcBorders>
                                  <w:hideMark/>
                                </w:tcPr>
                                <w:p w14:paraId="57E4BBA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(1,886.0)  </w:t>
                                  </w:r>
                                </w:p>
                              </w:tc>
                              <w:tc>
                                <w:tcPr>
                                  <w:tcW w:w="960" w:type="dxa"/>
                                  <w:tcBorders>
                                    <w:top w:val="nil"/>
                                    <w:left w:val="nil"/>
                                    <w:bottom w:val="nil"/>
                                    <w:right w:val="nil"/>
                                  </w:tcBorders>
                                  <w:hideMark/>
                                </w:tcPr>
                                <w:p w14:paraId="7CFF939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(8,589.0)  </w:t>
                                  </w:r>
                                </w:p>
                              </w:tc>
                              <w:tc>
                                <w:tcPr>
                                  <w:tcW w:w="960" w:type="dxa"/>
                                  <w:tcBorders>
                                    <w:top w:val="nil"/>
                                    <w:left w:val="nil"/>
                                    <w:bottom w:val="nil"/>
                                    <w:right w:val="nil"/>
                                  </w:tcBorders>
                                  <w:hideMark/>
                                </w:tcPr>
                                <w:p w14:paraId="73CCE75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2,440.0 </w:t>
                                  </w:r>
                                </w:p>
                              </w:tc>
                              <w:tc>
                                <w:tcPr>
                                  <w:tcW w:w="960" w:type="dxa"/>
                                  <w:tcBorders>
                                    <w:top w:val="nil"/>
                                    <w:left w:val="nil"/>
                                    <w:bottom w:val="nil"/>
                                    <w:right w:val="nil"/>
                                  </w:tcBorders>
                                  <w:hideMark/>
                                </w:tcPr>
                                <w:p w14:paraId="16D48B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1,683.0 </w:t>
                                  </w:r>
                                </w:p>
                              </w:tc>
                              <w:tc>
                                <w:tcPr>
                                  <w:tcW w:w="960" w:type="dxa"/>
                                  <w:tcBorders>
                                    <w:top w:val="nil"/>
                                    <w:left w:val="nil"/>
                                    <w:bottom w:val="nil"/>
                                    <w:right w:val="nil"/>
                                  </w:tcBorders>
                                  <w:hideMark/>
                                </w:tcPr>
                                <w:p w14:paraId="72FAF6B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3,193.0 </w:t>
                                  </w:r>
                                </w:p>
                              </w:tc>
                              <w:tc>
                                <w:tcPr>
                                  <w:tcW w:w="1160" w:type="dxa"/>
                                  <w:tcBorders>
                                    <w:top w:val="nil"/>
                                    <w:left w:val="nil"/>
                                    <w:bottom w:val="nil"/>
                                    <w:right w:val="nil"/>
                                  </w:tcBorders>
                                  <w:hideMark/>
                                </w:tcPr>
                                <w:p w14:paraId="20D8B2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878.0 </w:t>
                                  </w:r>
                                </w:p>
                              </w:tc>
                            </w:tr>
                            <w:tr w:rsidR="007D5332" w:rsidRPr="007D5332" w14:paraId="23BD0F77" w14:textId="77777777" w:rsidTr="007D5332">
                              <w:trPr>
                                <w:trHeight w:val="204"/>
                              </w:trPr>
                              <w:tc>
                                <w:tcPr>
                                  <w:tcW w:w="3240" w:type="dxa"/>
                                  <w:tcBorders>
                                    <w:top w:val="nil"/>
                                    <w:left w:val="nil"/>
                                    <w:bottom w:val="nil"/>
                                    <w:right w:val="nil"/>
                                  </w:tcBorders>
                                  <w:noWrap/>
                                  <w:hideMark/>
                                </w:tcPr>
                                <w:p w14:paraId="0FAD2F10"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Operating Activities</w:t>
                                  </w:r>
                                </w:p>
                              </w:tc>
                              <w:tc>
                                <w:tcPr>
                                  <w:tcW w:w="960" w:type="dxa"/>
                                  <w:tcBorders>
                                    <w:top w:val="nil"/>
                                    <w:left w:val="nil"/>
                                    <w:bottom w:val="nil"/>
                                    <w:right w:val="nil"/>
                                  </w:tcBorders>
                                  <w:hideMark/>
                                </w:tcPr>
                                <w:p w14:paraId="01F31F8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1,585.0 </w:t>
                                  </w:r>
                                </w:p>
                              </w:tc>
                              <w:tc>
                                <w:tcPr>
                                  <w:tcW w:w="960" w:type="dxa"/>
                                  <w:tcBorders>
                                    <w:top w:val="nil"/>
                                    <w:left w:val="nil"/>
                                    <w:bottom w:val="nil"/>
                                    <w:right w:val="nil"/>
                                  </w:tcBorders>
                                  <w:hideMark/>
                                </w:tcPr>
                                <w:p w14:paraId="670E3A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3,628.0 </w:t>
                                  </w:r>
                                </w:p>
                              </w:tc>
                              <w:tc>
                                <w:tcPr>
                                  <w:tcW w:w="960" w:type="dxa"/>
                                  <w:tcBorders>
                                    <w:top w:val="nil"/>
                                    <w:left w:val="nil"/>
                                    <w:bottom w:val="nil"/>
                                    <w:right w:val="nil"/>
                                  </w:tcBorders>
                                  <w:hideMark/>
                                </w:tcPr>
                                <w:p w14:paraId="27E8A3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3,574.0 </w:t>
                                  </w:r>
                                </w:p>
                              </w:tc>
                              <w:tc>
                                <w:tcPr>
                                  <w:tcW w:w="960" w:type="dxa"/>
                                  <w:tcBorders>
                                    <w:top w:val="nil"/>
                                    <w:left w:val="nil"/>
                                    <w:bottom w:val="nil"/>
                                    <w:right w:val="nil"/>
                                  </w:tcBorders>
                                  <w:hideMark/>
                                </w:tcPr>
                                <w:p w14:paraId="22D7BD9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1,980.0 </w:t>
                                  </w:r>
                                </w:p>
                              </w:tc>
                              <w:tc>
                                <w:tcPr>
                                  <w:tcW w:w="960" w:type="dxa"/>
                                  <w:tcBorders>
                                    <w:top w:val="nil"/>
                                    <w:left w:val="nil"/>
                                    <w:bottom w:val="nil"/>
                                    <w:right w:val="nil"/>
                                  </w:tcBorders>
                                  <w:hideMark/>
                                </w:tcPr>
                                <w:p w14:paraId="4990B0A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3,226.0 </w:t>
                                  </w:r>
                                </w:p>
                              </w:tc>
                              <w:tc>
                                <w:tcPr>
                                  <w:tcW w:w="1160" w:type="dxa"/>
                                  <w:tcBorders>
                                    <w:top w:val="nil"/>
                                    <w:left w:val="nil"/>
                                    <w:bottom w:val="nil"/>
                                    <w:right w:val="nil"/>
                                  </w:tcBorders>
                                  <w:hideMark/>
                                </w:tcPr>
                                <w:p w14:paraId="4ED6DBD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2,975.0 </w:t>
                                  </w:r>
                                </w:p>
                              </w:tc>
                            </w:tr>
                            <w:tr w:rsidR="007D5332" w:rsidRPr="007D5332" w14:paraId="30DA346B" w14:textId="77777777" w:rsidTr="007D5332">
                              <w:trPr>
                                <w:trHeight w:val="204"/>
                              </w:trPr>
                              <w:tc>
                                <w:tcPr>
                                  <w:tcW w:w="3240" w:type="dxa"/>
                                  <w:tcBorders>
                                    <w:top w:val="nil"/>
                                    <w:left w:val="nil"/>
                                    <w:bottom w:val="nil"/>
                                    <w:right w:val="nil"/>
                                  </w:tcBorders>
                                  <w:noWrap/>
                                  <w:hideMark/>
                                </w:tcPr>
                                <w:p w14:paraId="270716D5"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Acc. Receivable</w:t>
                                  </w:r>
                                </w:p>
                              </w:tc>
                              <w:tc>
                                <w:tcPr>
                                  <w:tcW w:w="960" w:type="dxa"/>
                                  <w:tcBorders>
                                    <w:top w:val="nil"/>
                                    <w:left w:val="nil"/>
                                    <w:bottom w:val="nil"/>
                                    <w:right w:val="nil"/>
                                  </w:tcBorders>
                                  <w:hideMark/>
                                </w:tcPr>
                                <w:p w14:paraId="5603B19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154.0 </w:t>
                                  </w:r>
                                </w:p>
                              </w:tc>
                              <w:tc>
                                <w:tcPr>
                                  <w:tcW w:w="960" w:type="dxa"/>
                                  <w:tcBorders>
                                    <w:top w:val="nil"/>
                                    <w:left w:val="nil"/>
                                    <w:bottom w:val="nil"/>
                                    <w:right w:val="nil"/>
                                  </w:tcBorders>
                                  <w:hideMark/>
                                </w:tcPr>
                                <w:p w14:paraId="66C18B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(1,086.0)  </w:t>
                                  </w:r>
                                </w:p>
                              </w:tc>
                              <w:tc>
                                <w:tcPr>
                                  <w:tcW w:w="960" w:type="dxa"/>
                                  <w:tcBorders>
                                    <w:top w:val="nil"/>
                                    <w:left w:val="nil"/>
                                    <w:bottom w:val="nil"/>
                                    <w:right w:val="nil"/>
                                  </w:tcBorders>
                                  <w:hideMark/>
                                </w:tcPr>
                                <w:p w14:paraId="2A0DF7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(1,796.0)  </w:t>
                                  </w:r>
                                </w:p>
                              </w:tc>
                              <w:tc>
                                <w:tcPr>
                                  <w:tcW w:w="960" w:type="dxa"/>
                                  <w:tcBorders>
                                    <w:top w:val="nil"/>
                                    <w:left w:val="nil"/>
                                    <w:bottom w:val="nil"/>
                                    <w:right w:val="nil"/>
                                  </w:tcBorders>
                                  <w:hideMark/>
                                </w:tcPr>
                                <w:p w14:paraId="74DE2C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240.0 </w:t>
                                  </w:r>
                                </w:p>
                              </w:tc>
                              <w:tc>
                                <w:tcPr>
                                  <w:tcW w:w="960" w:type="dxa"/>
                                  <w:tcBorders>
                                    <w:top w:val="nil"/>
                                    <w:left w:val="nil"/>
                                    <w:bottom w:val="nil"/>
                                    <w:right w:val="nil"/>
                                  </w:tcBorders>
                                  <w:hideMark/>
                                </w:tcPr>
                                <w:p w14:paraId="0A4C83B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(797.0)  </w:t>
                                  </w:r>
                                </w:p>
                              </w:tc>
                              <w:tc>
                                <w:tcPr>
                                  <w:tcW w:w="1160" w:type="dxa"/>
                                  <w:tcBorders>
                                    <w:top w:val="nil"/>
                                    <w:left w:val="nil"/>
                                    <w:bottom w:val="nil"/>
                                    <w:right w:val="nil"/>
                                  </w:tcBorders>
                                  <w:hideMark/>
                                </w:tcPr>
                                <w:p w14:paraId="346564D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(1,106.0)  </w:t>
                                  </w:r>
                                </w:p>
                              </w:tc>
                            </w:tr>
                            <w:tr w:rsidR="007D5332" w:rsidRPr="007D5332" w14:paraId="4B4E90A0" w14:textId="77777777" w:rsidTr="007D5332">
                              <w:trPr>
                                <w:trHeight w:val="204"/>
                              </w:trPr>
                              <w:tc>
                                <w:tcPr>
                                  <w:tcW w:w="3240" w:type="dxa"/>
                                  <w:tcBorders>
                                    <w:top w:val="nil"/>
                                    <w:left w:val="nil"/>
                                    <w:bottom w:val="nil"/>
                                    <w:right w:val="nil"/>
                                  </w:tcBorders>
                                  <w:noWrap/>
                                  <w:hideMark/>
                                </w:tcPr>
                                <w:p w14:paraId="3E19BC12"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Inventories</w:t>
                                  </w:r>
                                </w:p>
                              </w:tc>
                              <w:tc>
                                <w:tcPr>
                                  <w:tcW w:w="960" w:type="dxa"/>
                                  <w:tcBorders>
                                    <w:top w:val="nil"/>
                                    <w:left w:val="nil"/>
                                    <w:bottom w:val="nil"/>
                                    <w:right w:val="nil"/>
                                  </w:tcBorders>
                                  <w:hideMark/>
                                </w:tcPr>
                                <w:p w14:paraId="7C50D82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(300.0)  </w:t>
                                  </w:r>
                                </w:p>
                              </w:tc>
                              <w:tc>
                                <w:tcPr>
                                  <w:tcW w:w="960" w:type="dxa"/>
                                  <w:tcBorders>
                                    <w:top w:val="nil"/>
                                    <w:left w:val="nil"/>
                                    <w:bottom w:val="nil"/>
                                    <w:right w:val="nil"/>
                                  </w:tcBorders>
                                  <w:hideMark/>
                                </w:tcPr>
                                <w:p w14:paraId="448133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(2,395.0)  </w:t>
                                  </w:r>
                                </w:p>
                              </w:tc>
                              <w:tc>
                                <w:tcPr>
                                  <w:tcW w:w="960" w:type="dxa"/>
                                  <w:tcBorders>
                                    <w:top w:val="nil"/>
                                    <w:left w:val="nil"/>
                                    <w:bottom w:val="nil"/>
                                    <w:right w:val="nil"/>
                                  </w:tcBorders>
                                  <w:hideMark/>
                                </w:tcPr>
                                <w:p w14:paraId="2B99D07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(11,764.0)  </w:t>
                                  </w:r>
                                </w:p>
                              </w:tc>
                              <w:tc>
                                <w:tcPr>
                                  <w:tcW w:w="960" w:type="dxa"/>
                                  <w:tcBorders>
                                    <w:top w:val="nil"/>
                                    <w:left w:val="nil"/>
                                    <w:bottom w:val="nil"/>
                                    <w:right w:val="nil"/>
                                  </w:tcBorders>
                                  <w:hideMark/>
                                </w:tcPr>
                                <w:p w14:paraId="46DE2CC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(528.0)  </w:t>
                                  </w:r>
                                </w:p>
                              </w:tc>
                              <w:tc>
                                <w:tcPr>
                                  <w:tcW w:w="960" w:type="dxa"/>
                                  <w:tcBorders>
                                    <w:top w:val="nil"/>
                                    <w:left w:val="nil"/>
                                    <w:bottom w:val="nil"/>
                                    <w:right w:val="nil"/>
                                  </w:tcBorders>
                                  <w:hideMark/>
                                </w:tcPr>
                                <w:p w14:paraId="5467E0A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2,017.0 </w:t>
                                  </w:r>
                                </w:p>
                              </w:tc>
                              <w:tc>
                                <w:tcPr>
                                  <w:tcW w:w="1160" w:type="dxa"/>
                                  <w:tcBorders>
                                    <w:top w:val="nil"/>
                                    <w:left w:val="nil"/>
                                    <w:bottom w:val="nil"/>
                                    <w:right w:val="nil"/>
                                  </w:tcBorders>
                                  <w:hideMark/>
                                </w:tcPr>
                                <w:p w14:paraId="30230A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(2,755.0)  </w:t>
                                  </w:r>
                                </w:p>
                              </w:tc>
                            </w:tr>
                            <w:tr w:rsidR="007D5332" w:rsidRPr="007D5332" w14:paraId="58B550A2" w14:textId="77777777" w:rsidTr="007D5332">
                              <w:trPr>
                                <w:trHeight w:val="204"/>
                              </w:trPr>
                              <w:tc>
                                <w:tcPr>
                                  <w:tcW w:w="3240" w:type="dxa"/>
                                  <w:tcBorders>
                                    <w:top w:val="nil"/>
                                    <w:left w:val="nil"/>
                                    <w:bottom w:val="nil"/>
                                    <w:right w:val="nil"/>
                                  </w:tcBorders>
                                  <w:noWrap/>
                                  <w:hideMark/>
                                </w:tcPr>
                                <w:p w14:paraId="200F188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Acc. Payable</w:t>
                                  </w:r>
                                </w:p>
                              </w:tc>
                              <w:tc>
                                <w:tcPr>
                                  <w:tcW w:w="960" w:type="dxa"/>
                                  <w:tcBorders>
                                    <w:top w:val="nil"/>
                                    <w:left w:val="nil"/>
                                    <w:bottom w:val="nil"/>
                                    <w:right w:val="nil"/>
                                  </w:tcBorders>
                                  <w:hideMark/>
                                </w:tcPr>
                                <w:p w14:paraId="7E2BC03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(274.0)  </w:t>
                                  </w:r>
                                </w:p>
                              </w:tc>
                              <w:tc>
                                <w:tcPr>
                                  <w:tcW w:w="960" w:type="dxa"/>
                                  <w:tcBorders>
                                    <w:top w:val="nil"/>
                                    <w:left w:val="nil"/>
                                    <w:bottom w:val="nil"/>
                                    <w:right w:val="nil"/>
                                  </w:tcBorders>
                                  <w:hideMark/>
                                </w:tcPr>
                                <w:p w14:paraId="6F78DB8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6,966.0 </w:t>
                                  </w:r>
                                </w:p>
                              </w:tc>
                              <w:tc>
                                <w:tcPr>
                                  <w:tcW w:w="960" w:type="dxa"/>
                                  <w:tcBorders>
                                    <w:top w:val="nil"/>
                                    <w:left w:val="nil"/>
                                    <w:bottom w:val="nil"/>
                                    <w:right w:val="nil"/>
                                  </w:tcBorders>
                                  <w:hideMark/>
                                </w:tcPr>
                                <w:p w14:paraId="0A8AF8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5,520.0 </w:t>
                                  </w:r>
                                </w:p>
                              </w:tc>
                              <w:tc>
                                <w:tcPr>
                                  <w:tcW w:w="960" w:type="dxa"/>
                                  <w:tcBorders>
                                    <w:top w:val="nil"/>
                                    <w:left w:val="nil"/>
                                    <w:bottom w:val="nil"/>
                                    <w:right w:val="nil"/>
                                  </w:tcBorders>
                                  <w:hideMark/>
                                </w:tcPr>
                                <w:p w14:paraId="106854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(1,425.0)  </w:t>
                                  </w:r>
                                </w:p>
                              </w:tc>
                              <w:tc>
                                <w:tcPr>
                                  <w:tcW w:w="960" w:type="dxa"/>
                                  <w:tcBorders>
                                    <w:top w:val="nil"/>
                                    <w:left w:val="nil"/>
                                    <w:bottom w:val="nil"/>
                                    <w:right w:val="nil"/>
                                  </w:tcBorders>
                                  <w:hideMark/>
                                </w:tcPr>
                                <w:p w14:paraId="0D9087D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2,515.0 </w:t>
                                  </w:r>
                                </w:p>
                              </w:tc>
                              <w:tc>
                                <w:tcPr>
                                  <w:tcW w:w="1160" w:type="dxa"/>
                                  <w:tcBorders>
                                    <w:top w:val="nil"/>
                                    <w:left w:val="nil"/>
                                    <w:bottom w:val="nil"/>
                                    <w:right w:val="nil"/>
                                  </w:tcBorders>
                                  <w:hideMark/>
                                </w:tcPr>
                                <w:p w14:paraId="7CB8CD9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3,228.0 </w:t>
                                  </w:r>
                                </w:p>
                              </w:tc>
                            </w:tr>
                            <w:tr w:rsidR="007D5332" w:rsidRPr="007D5332" w14:paraId="05A78FDD" w14:textId="77777777" w:rsidTr="007D5332">
                              <w:trPr>
                                <w:trHeight w:val="204"/>
                              </w:trPr>
                              <w:tc>
                                <w:tcPr>
                                  <w:tcW w:w="3240" w:type="dxa"/>
                                  <w:tcBorders>
                                    <w:top w:val="nil"/>
                                    <w:left w:val="nil"/>
                                    <w:bottom w:val="nil"/>
                                    <w:right w:val="nil"/>
                                  </w:tcBorders>
                                  <w:noWrap/>
                                  <w:hideMark/>
                                </w:tcPr>
                                <w:p w14:paraId="3EE34B1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Inc. Taxes</w:t>
                                  </w:r>
                                </w:p>
                              </w:tc>
                              <w:tc>
                                <w:tcPr>
                                  <w:tcW w:w="960" w:type="dxa"/>
                                  <w:tcBorders>
                                    <w:top w:val="nil"/>
                                    <w:left w:val="nil"/>
                                    <w:bottom w:val="nil"/>
                                    <w:right w:val="nil"/>
                                  </w:tcBorders>
                                  <w:hideMark/>
                                </w:tcPr>
                                <w:p w14:paraId="30C39A7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(93.0)  </w:t>
                                  </w:r>
                                </w:p>
                              </w:tc>
                              <w:tc>
                                <w:tcPr>
                                  <w:tcW w:w="960" w:type="dxa"/>
                                  <w:tcBorders>
                                    <w:top w:val="nil"/>
                                    <w:left w:val="nil"/>
                                    <w:bottom w:val="nil"/>
                                    <w:right w:val="nil"/>
                                  </w:tcBorders>
                                  <w:hideMark/>
                                </w:tcPr>
                                <w:p w14:paraId="5B090E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(136.0)  </w:t>
                                  </w:r>
                                </w:p>
                              </w:tc>
                              <w:tc>
                                <w:tcPr>
                                  <w:tcW w:w="960" w:type="dxa"/>
                                  <w:tcBorders>
                                    <w:top w:val="nil"/>
                                    <w:left w:val="nil"/>
                                    <w:bottom w:val="nil"/>
                                    <w:right w:val="nil"/>
                                  </w:tcBorders>
                                  <w:hideMark/>
                                </w:tcPr>
                                <w:p w14:paraId="0578BE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39.0 </w:t>
                                  </w:r>
                                </w:p>
                              </w:tc>
                              <w:tc>
                                <w:tcPr>
                                  <w:tcW w:w="960" w:type="dxa"/>
                                  <w:tcBorders>
                                    <w:top w:val="nil"/>
                                    <w:left w:val="nil"/>
                                    <w:bottom w:val="nil"/>
                                    <w:right w:val="nil"/>
                                  </w:tcBorders>
                                  <w:hideMark/>
                                </w:tcPr>
                                <w:p w14:paraId="042E681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(127.0)  </w:t>
                                  </w:r>
                                </w:p>
                              </w:tc>
                              <w:tc>
                                <w:tcPr>
                                  <w:tcW w:w="960" w:type="dxa"/>
                                  <w:tcBorders>
                                    <w:top w:val="nil"/>
                                    <w:left w:val="nil"/>
                                    <w:bottom w:val="nil"/>
                                    <w:right w:val="nil"/>
                                  </w:tcBorders>
                                  <w:hideMark/>
                                </w:tcPr>
                                <w:p w14:paraId="035C03F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(468.0)  </w:t>
                                  </w:r>
                                </w:p>
                              </w:tc>
                              <w:tc>
                                <w:tcPr>
                                  <w:tcW w:w="1160" w:type="dxa"/>
                                  <w:tcBorders>
                                    <w:top w:val="nil"/>
                                    <w:left w:val="nil"/>
                                    <w:bottom w:val="nil"/>
                                    <w:right w:val="nil"/>
                                  </w:tcBorders>
                                  <w:hideMark/>
                                </w:tcPr>
                                <w:p w14:paraId="7C0FCF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435.0 </w:t>
                                  </w:r>
                                </w:p>
                              </w:tc>
                            </w:tr>
                            <w:tr w:rsidR="007D5332" w:rsidRPr="007D5332" w14:paraId="25BC9703" w14:textId="77777777" w:rsidTr="007D5332">
                              <w:trPr>
                                <w:trHeight w:val="204"/>
                              </w:trPr>
                              <w:tc>
                                <w:tcPr>
                                  <w:tcW w:w="3240" w:type="dxa"/>
                                  <w:tcBorders>
                                    <w:top w:val="nil"/>
                                    <w:left w:val="nil"/>
                                    <w:bottom w:val="nil"/>
                                    <w:right w:val="nil"/>
                                  </w:tcBorders>
                                  <w:noWrap/>
                                  <w:hideMark/>
                                </w:tcPr>
                                <w:p w14:paraId="0846B495"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Other Net Operating Assets</w:t>
                                  </w:r>
                                </w:p>
                              </w:tc>
                              <w:tc>
                                <w:tcPr>
                                  <w:tcW w:w="960" w:type="dxa"/>
                                  <w:tcBorders>
                                    <w:top w:val="nil"/>
                                    <w:left w:val="nil"/>
                                    <w:bottom w:val="nil"/>
                                    <w:right w:val="nil"/>
                                  </w:tcBorders>
                                  <w:hideMark/>
                                </w:tcPr>
                                <w:p w14:paraId="1B8A5A7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186.0 </w:t>
                                  </w:r>
                                </w:p>
                              </w:tc>
                              <w:tc>
                                <w:tcPr>
                                  <w:tcW w:w="960" w:type="dxa"/>
                                  <w:tcBorders>
                                    <w:top w:val="nil"/>
                                    <w:left w:val="nil"/>
                                    <w:bottom w:val="nil"/>
                                    <w:right w:val="nil"/>
                                  </w:tcBorders>
                                  <w:hideMark/>
                                </w:tcPr>
                                <w:p w14:paraId="25BCA89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4,623.0 </w:t>
                                  </w:r>
                                </w:p>
                              </w:tc>
                              <w:tc>
                                <w:tcPr>
                                  <w:tcW w:w="960" w:type="dxa"/>
                                  <w:tcBorders>
                                    <w:top w:val="nil"/>
                                    <w:left w:val="nil"/>
                                    <w:bottom w:val="nil"/>
                                    <w:right w:val="nil"/>
                                  </w:tcBorders>
                                  <w:hideMark/>
                                </w:tcPr>
                                <w:p w14:paraId="519CBF9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1,404.0 </w:t>
                                  </w:r>
                                </w:p>
                              </w:tc>
                              <w:tc>
                                <w:tcPr>
                                  <w:tcW w:w="960" w:type="dxa"/>
                                  <w:tcBorders>
                                    <w:top w:val="nil"/>
                                    <w:left w:val="nil"/>
                                    <w:bottom w:val="nil"/>
                                    <w:right w:val="nil"/>
                                  </w:tcBorders>
                                  <w:hideMark/>
                                </w:tcPr>
                                <w:p w14:paraId="056FAF3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4,393.0 </w:t>
                                  </w:r>
                                </w:p>
                              </w:tc>
                              <w:tc>
                                <w:tcPr>
                                  <w:tcW w:w="960" w:type="dxa"/>
                                  <w:tcBorders>
                                    <w:top w:val="nil"/>
                                    <w:left w:val="nil"/>
                                    <w:bottom w:val="nil"/>
                                    <w:right w:val="nil"/>
                                  </w:tcBorders>
                                  <w:hideMark/>
                                </w:tcPr>
                                <w:p w14:paraId="28A0DDB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(1,324.0)  </w:t>
                                  </w:r>
                                </w:p>
                              </w:tc>
                              <w:tc>
                                <w:tcPr>
                                  <w:tcW w:w="1160" w:type="dxa"/>
                                  <w:tcBorders>
                                    <w:top w:val="nil"/>
                                    <w:left w:val="nil"/>
                                    <w:bottom w:val="nil"/>
                                    <w:right w:val="nil"/>
                                  </w:tcBorders>
                                  <w:hideMark/>
                                </w:tcPr>
                                <w:p w14:paraId="3E678DE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379.0 </w:t>
                                  </w:r>
                                </w:p>
                              </w:tc>
                            </w:tr>
                            <w:tr w:rsidR="007D5332" w:rsidRPr="007D5332" w14:paraId="716DEE87" w14:textId="77777777" w:rsidTr="007D5332">
                              <w:trPr>
                                <w:trHeight w:val="204"/>
                              </w:trPr>
                              <w:tc>
                                <w:tcPr>
                                  <w:tcW w:w="3240" w:type="dxa"/>
                                  <w:tcBorders>
                                    <w:top w:val="nil"/>
                                    <w:left w:val="nil"/>
                                    <w:bottom w:val="nil"/>
                                    <w:right w:val="nil"/>
                                  </w:tcBorders>
                                  <w:noWrap/>
                                  <w:hideMark/>
                                </w:tcPr>
                                <w:p w14:paraId="4EFA26BB"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Ops.</w:t>
                                  </w:r>
                                </w:p>
                              </w:tc>
                              <w:tc>
                                <w:tcPr>
                                  <w:tcW w:w="960" w:type="dxa"/>
                                  <w:tcBorders>
                                    <w:top w:val="single" w:sz="4" w:space="0" w:color="000000"/>
                                    <w:left w:val="nil"/>
                                    <w:bottom w:val="nil"/>
                                    <w:right w:val="nil"/>
                                  </w:tcBorders>
                                  <w:hideMark/>
                                </w:tcPr>
                                <w:p w14:paraId="6DACA93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25,255.0 </w:t>
                                  </w:r>
                                </w:p>
                              </w:tc>
                              <w:tc>
                                <w:tcPr>
                                  <w:tcW w:w="960" w:type="dxa"/>
                                  <w:tcBorders>
                                    <w:top w:val="single" w:sz="4" w:space="0" w:color="000000"/>
                                    <w:left w:val="nil"/>
                                    <w:bottom w:val="nil"/>
                                    <w:right w:val="nil"/>
                                  </w:tcBorders>
                                  <w:hideMark/>
                                </w:tcPr>
                                <w:p w14:paraId="13E3FE7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36,074.0 </w:t>
                                  </w:r>
                                </w:p>
                              </w:tc>
                              <w:tc>
                                <w:tcPr>
                                  <w:tcW w:w="960" w:type="dxa"/>
                                  <w:tcBorders>
                                    <w:top w:val="single" w:sz="4" w:space="0" w:color="000000"/>
                                    <w:left w:val="nil"/>
                                    <w:bottom w:val="nil"/>
                                    <w:right w:val="nil"/>
                                  </w:tcBorders>
                                  <w:hideMark/>
                                </w:tcPr>
                                <w:p w14:paraId="2CA6F01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24,181.0 </w:t>
                                  </w:r>
                                </w:p>
                              </w:tc>
                              <w:tc>
                                <w:tcPr>
                                  <w:tcW w:w="960" w:type="dxa"/>
                                  <w:tcBorders>
                                    <w:top w:val="single" w:sz="4" w:space="0" w:color="000000"/>
                                    <w:left w:val="nil"/>
                                    <w:bottom w:val="nil"/>
                                    <w:right w:val="nil"/>
                                  </w:tcBorders>
                                  <w:hideMark/>
                                </w:tcPr>
                                <w:p w14:paraId="1B5513F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28,841.0 </w:t>
                                  </w:r>
                                </w:p>
                              </w:tc>
                              <w:tc>
                                <w:tcPr>
                                  <w:tcW w:w="960" w:type="dxa"/>
                                  <w:tcBorders>
                                    <w:top w:val="single" w:sz="4" w:space="0" w:color="000000"/>
                                    <w:left w:val="nil"/>
                                    <w:bottom w:val="nil"/>
                                    <w:right w:val="nil"/>
                                  </w:tcBorders>
                                  <w:hideMark/>
                                </w:tcPr>
                                <w:p w14:paraId="29EBEFB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35,726.0 </w:t>
                                  </w:r>
                                </w:p>
                              </w:tc>
                              <w:tc>
                                <w:tcPr>
                                  <w:tcW w:w="1160" w:type="dxa"/>
                                  <w:tcBorders>
                                    <w:top w:val="single" w:sz="4" w:space="0" w:color="000000"/>
                                    <w:left w:val="nil"/>
                                    <w:bottom w:val="nil"/>
                                    <w:right w:val="nil"/>
                                  </w:tcBorders>
                                  <w:hideMark/>
                                </w:tcPr>
                                <w:p w14:paraId="5B589C3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36,443.0 </w:t>
                                  </w:r>
                                </w:p>
                              </w:tc>
                            </w:tr>
                            <w:tr w:rsidR="007D5332" w:rsidRPr="007D5332" w14:paraId="2225C442" w14:textId="77777777" w:rsidTr="007D5332">
                              <w:trPr>
                                <w:trHeight w:val="204"/>
                              </w:trPr>
                              <w:tc>
                                <w:tcPr>
                                  <w:tcW w:w="3240" w:type="dxa"/>
                                  <w:tcBorders>
                                    <w:top w:val="nil"/>
                                    <w:left w:val="nil"/>
                                    <w:bottom w:val="nil"/>
                                    <w:right w:val="nil"/>
                                  </w:tcBorders>
                                  <w:noWrap/>
                                  <w:hideMark/>
                                </w:tcPr>
                                <w:p w14:paraId="2164973F"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2B0B1C7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44EB24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A1A337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A356F1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EF39FCC"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334611C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BF6D465" w14:textId="77777777" w:rsidTr="007D5332">
                              <w:trPr>
                                <w:trHeight w:val="204"/>
                              </w:trPr>
                              <w:tc>
                                <w:tcPr>
                                  <w:tcW w:w="3240" w:type="dxa"/>
                                  <w:tcBorders>
                                    <w:top w:val="nil"/>
                                    <w:left w:val="nil"/>
                                    <w:bottom w:val="nil"/>
                                    <w:right w:val="nil"/>
                                  </w:tcBorders>
                                  <w:noWrap/>
                                  <w:hideMark/>
                                </w:tcPr>
                                <w:p w14:paraId="1DE6E93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Capital Expenditure</w:t>
                                  </w:r>
                                </w:p>
                              </w:tc>
                              <w:tc>
                                <w:tcPr>
                                  <w:tcW w:w="960" w:type="dxa"/>
                                  <w:tcBorders>
                                    <w:top w:val="nil"/>
                                    <w:left w:val="nil"/>
                                    <w:bottom w:val="nil"/>
                                    <w:right w:val="nil"/>
                                  </w:tcBorders>
                                  <w:hideMark/>
                                </w:tcPr>
                                <w:p w14:paraId="3E8D1F7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(10,705.0)  </w:t>
                                  </w:r>
                                </w:p>
                              </w:tc>
                              <w:tc>
                                <w:tcPr>
                                  <w:tcW w:w="960" w:type="dxa"/>
                                  <w:tcBorders>
                                    <w:top w:val="nil"/>
                                    <w:left w:val="nil"/>
                                    <w:bottom w:val="nil"/>
                                    <w:right w:val="nil"/>
                                  </w:tcBorders>
                                  <w:hideMark/>
                                </w:tcPr>
                                <w:p w14:paraId="46FD258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(10,264.0)  </w:t>
                                  </w:r>
                                </w:p>
                              </w:tc>
                              <w:tc>
                                <w:tcPr>
                                  <w:tcW w:w="960" w:type="dxa"/>
                                  <w:tcBorders>
                                    <w:top w:val="nil"/>
                                    <w:left w:val="nil"/>
                                    <w:bottom w:val="nil"/>
                                    <w:right w:val="nil"/>
                                  </w:tcBorders>
                                  <w:hideMark/>
                                </w:tcPr>
                                <w:p w14:paraId="789635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(13,106.0)  </w:t>
                                  </w:r>
                                </w:p>
                              </w:tc>
                              <w:tc>
                                <w:tcPr>
                                  <w:tcW w:w="960" w:type="dxa"/>
                                  <w:tcBorders>
                                    <w:top w:val="nil"/>
                                    <w:left w:val="nil"/>
                                    <w:bottom w:val="nil"/>
                                    <w:right w:val="nil"/>
                                  </w:tcBorders>
                                  <w:hideMark/>
                                </w:tcPr>
                                <w:p w14:paraId="358A11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(16,857.0)  </w:t>
                                  </w:r>
                                </w:p>
                              </w:tc>
                              <w:tc>
                                <w:tcPr>
                                  <w:tcW w:w="960" w:type="dxa"/>
                                  <w:tcBorders>
                                    <w:top w:val="nil"/>
                                    <w:left w:val="nil"/>
                                    <w:bottom w:val="nil"/>
                                    <w:right w:val="nil"/>
                                  </w:tcBorders>
                                  <w:hideMark/>
                                </w:tcPr>
                                <w:p w14:paraId="0CDD414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(20,606.0)  </w:t>
                                  </w:r>
                                </w:p>
                              </w:tc>
                              <w:tc>
                                <w:tcPr>
                                  <w:tcW w:w="1160" w:type="dxa"/>
                                  <w:tcBorders>
                                    <w:top w:val="nil"/>
                                    <w:left w:val="nil"/>
                                    <w:bottom w:val="nil"/>
                                    <w:right w:val="nil"/>
                                  </w:tcBorders>
                                  <w:hideMark/>
                                </w:tcPr>
                                <w:p w14:paraId="1F1D23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(23,783.0)  </w:t>
                                  </w:r>
                                </w:p>
                              </w:tc>
                            </w:tr>
                            <w:tr w:rsidR="007D5332" w:rsidRPr="007D5332" w14:paraId="2DC24C67" w14:textId="77777777" w:rsidTr="007D5332">
                              <w:trPr>
                                <w:trHeight w:val="204"/>
                              </w:trPr>
                              <w:tc>
                                <w:tcPr>
                                  <w:tcW w:w="3240" w:type="dxa"/>
                                  <w:tcBorders>
                                    <w:top w:val="nil"/>
                                    <w:left w:val="nil"/>
                                    <w:bottom w:val="nil"/>
                                    <w:right w:val="nil"/>
                                  </w:tcBorders>
                                  <w:noWrap/>
                                  <w:hideMark/>
                                </w:tcPr>
                                <w:p w14:paraId="073EF61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Sale of Property, Plant, and Equipment</w:t>
                                  </w:r>
                                </w:p>
                              </w:tc>
                              <w:tc>
                                <w:tcPr>
                                  <w:tcW w:w="960" w:type="dxa"/>
                                  <w:tcBorders>
                                    <w:top w:val="nil"/>
                                    <w:left w:val="nil"/>
                                    <w:bottom w:val="nil"/>
                                    <w:right w:val="nil"/>
                                  </w:tcBorders>
                                  <w:hideMark/>
                                </w:tcPr>
                                <w:p w14:paraId="1574A50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321.0 </w:t>
                                  </w:r>
                                </w:p>
                              </w:tc>
                              <w:tc>
                                <w:tcPr>
                                  <w:tcW w:w="960" w:type="dxa"/>
                                  <w:tcBorders>
                                    <w:top w:val="nil"/>
                                    <w:left w:val="nil"/>
                                    <w:bottom w:val="nil"/>
                                    <w:right w:val="nil"/>
                                  </w:tcBorders>
                                  <w:hideMark/>
                                </w:tcPr>
                                <w:p w14:paraId="36ECE0D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215.0 </w:t>
                                  </w:r>
                                </w:p>
                              </w:tc>
                              <w:tc>
                                <w:tcPr>
                                  <w:tcW w:w="960" w:type="dxa"/>
                                  <w:tcBorders>
                                    <w:top w:val="nil"/>
                                    <w:left w:val="nil"/>
                                    <w:bottom w:val="nil"/>
                                    <w:right w:val="nil"/>
                                  </w:tcBorders>
                                  <w:hideMark/>
                                </w:tcPr>
                                <w:p w14:paraId="387AF21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394.0 </w:t>
                                  </w:r>
                                </w:p>
                              </w:tc>
                              <w:tc>
                                <w:tcPr>
                                  <w:tcW w:w="960" w:type="dxa"/>
                                  <w:tcBorders>
                                    <w:top w:val="nil"/>
                                    <w:left w:val="nil"/>
                                    <w:bottom w:val="nil"/>
                                    <w:right w:val="nil"/>
                                  </w:tcBorders>
                                  <w:hideMark/>
                                </w:tcPr>
                                <w:p w14:paraId="5FA5857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170.0 </w:t>
                                  </w:r>
                                </w:p>
                              </w:tc>
                              <w:tc>
                                <w:tcPr>
                                  <w:tcW w:w="960" w:type="dxa"/>
                                  <w:tcBorders>
                                    <w:top w:val="nil"/>
                                    <w:left w:val="nil"/>
                                    <w:bottom w:val="nil"/>
                                    <w:right w:val="nil"/>
                                  </w:tcBorders>
                                  <w:hideMark/>
                                </w:tcPr>
                                <w:p w14:paraId="6BFCFEE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250.0 </w:t>
                                  </w:r>
                                </w:p>
                              </w:tc>
                              <w:tc>
                                <w:tcPr>
                                  <w:tcW w:w="1160" w:type="dxa"/>
                                  <w:tcBorders>
                                    <w:top w:val="nil"/>
                                    <w:left w:val="nil"/>
                                    <w:bottom w:val="nil"/>
                                    <w:right w:val="nil"/>
                                  </w:tcBorders>
                                  <w:hideMark/>
                                </w:tcPr>
                                <w:p w14:paraId="63CC400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432.0 </w:t>
                                  </w:r>
                                </w:p>
                              </w:tc>
                            </w:tr>
                            <w:tr w:rsidR="007D5332" w:rsidRPr="007D5332" w14:paraId="2F77CA85" w14:textId="77777777" w:rsidTr="007D5332">
                              <w:trPr>
                                <w:trHeight w:val="204"/>
                              </w:trPr>
                              <w:tc>
                                <w:tcPr>
                                  <w:tcW w:w="3240" w:type="dxa"/>
                                  <w:tcBorders>
                                    <w:top w:val="nil"/>
                                    <w:left w:val="nil"/>
                                    <w:bottom w:val="nil"/>
                                    <w:right w:val="nil"/>
                                  </w:tcBorders>
                                  <w:noWrap/>
                                  <w:hideMark/>
                                </w:tcPr>
                                <w:p w14:paraId="11F9D3CD"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Acquisitions</w:t>
                                  </w:r>
                                </w:p>
                              </w:tc>
                              <w:tc>
                                <w:tcPr>
                                  <w:tcW w:w="960" w:type="dxa"/>
                                  <w:tcBorders>
                                    <w:top w:val="nil"/>
                                    <w:left w:val="nil"/>
                                    <w:bottom w:val="nil"/>
                                    <w:right w:val="nil"/>
                                  </w:tcBorders>
                                  <w:hideMark/>
                                </w:tcPr>
                                <w:p w14:paraId="383F24C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(56.0)  </w:t>
                                  </w:r>
                                </w:p>
                              </w:tc>
                              <w:tc>
                                <w:tcPr>
                                  <w:tcW w:w="960" w:type="dxa"/>
                                  <w:tcBorders>
                                    <w:top w:val="nil"/>
                                    <w:left w:val="nil"/>
                                    <w:bottom w:val="nil"/>
                                    <w:right w:val="nil"/>
                                  </w:tcBorders>
                                  <w:hideMark/>
                                </w:tcPr>
                                <w:p w14:paraId="6972E72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(180.0)  </w:t>
                                  </w:r>
                                </w:p>
                              </w:tc>
                              <w:tc>
                                <w:tcPr>
                                  <w:tcW w:w="960" w:type="dxa"/>
                                  <w:tcBorders>
                                    <w:top w:val="nil"/>
                                    <w:left w:val="nil"/>
                                    <w:bottom w:val="nil"/>
                                    <w:right w:val="nil"/>
                                  </w:tcBorders>
                                  <w:hideMark/>
                                </w:tcPr>
                                <w:p w14:paraId="781B46A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(359.0)  </w:t>
                                  </w:r>
                                </w:p>
                              </w:tc>
                              <w:tc>
                                <w:tcPr>
                                  <w:tcW w:w="960" w:type="dxa"/>
                                  <w:tcBorders>
                                    <w:top w:val="nil"/>
                                    <w:left w:val="nil"/>
                                    <w:bottom w:val="nil"/>
                                    <w:right w:val="nil"/>
                                  </w:tcBorders>
                                  <w:hideMark/>
                                </w:tcPr>
                                <w:p w14:paraId="4972029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(740.0)  </w:t>
                                  </w:r>
                                </w:p>
                              </w:tc>
                              <w:tc>
                                <w:tcPr>
                                  <w:tcW w:w="960" w:type="dxa"/>
                                  <w:tcBorders>
                                    <w:top w:val="nil"/>
                                    <w:left w:val="nil"/>
                                    <w:bottom w:val="nil"/>
                                    <w:right w:val="nil"/>
                                  </w:tcBorders>
                                  <w:hideMark/>
                                </w:tcPr>
                                <w:p w14:paraId="35DAC60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(9.0)  </w:t>
                                  </w:r>
                                </w:p>
                              </w:tc>
                              <w:tc>
                                <w:tcPr>
                                  <w:tcW w:w="1160" w:type="dxa"/>
                                  <w:tcBorders>
                                    <w:top w:val="nil"/>
                                    <w:left w:val="nil"/>
                                    <w:bottom w:val="nil"/>
                                    <w:right w:val="nil"/>
                                  </w:tcBorders>
                                  <w:hideMark/>
                                </w:tcPr>
                                <w:p w14:paraId="24ECE77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(1,896.0)  </w:t>
                                  </w:r>
                                </w:p>
                              </w:tc>
                            </w:tr>
                            <w:tr w:rsidR="007D5332" w:rsidRPr="007D5332" w14:paraId="2BF65DC3" w14:textId="77777777" w:rsidTr="007D5332">
                              <w:trPr>
                                <w:trHeight w:val="204"/>
                              </w:trPr>
                              <w:tc>
                                <w:tcPr>
                                  <w:tcW w:w="3240" w:type="dxa"/>
                                  <w:tcBorders>
                                    <w:top w:val="nil"/>
                                    <w:left w:val="nil"/>
                                    <w:bottom w:val="nil"/>
                                    <w:right w:val="nil"/>
                                  </w:tcBorders>
                                  <w:noWrap/>
                                  <w:hideMark/>
                                </w:tcPr>
                                <w:p w14:paraId="21A11C72"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Divestitures</w:t>
                                  </w:r>
                                </w:p>
                              </w:tc>
                              <w:tc>
                                <w:tcPr>
                                  <w:tcW w:w="960" w:type="dxa"/>
                                  <w:tcBorders>
                                    <w:top w:val="nil"/>
                                    <w:left w:val="nil"/>
                                    <w:bottom w:val="nil"/>
                                    <w:right w:val="nil"/>
                                  </w:tcBorders>
                                  <w:hideMark/>
                                </w:tcPr>
                                <w:p w14:paraId="3CCD09D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833.0 </w:t>
                                  </w:r>
                                </w:p>
                              </w:tc>
                              <w:tc>
                                <w:tcPr>
                                  <w:tcW w:w="960" w:type="dxa"/>
                                  <w:tcBorders>
                                    <w:top w:val="nil"/>
                                    <w:left w:val="nil"/>
                                    <w:bottom w:val="nil"/>
                                    <w:right w:val="nil"/>
                                  </w:tcBorders>
                                  <w:hideMark/>
                                </w:tcPr>
                                <w:p w14:paraId="21007C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56.0 </w:t>
                                  </w:r>
                                </w:p>
                              </w:tc>
                              <w:tc>
                                <w:tcPr>
                                  <w:tcW w:w="960" w:type="dxa"/>
                                  <w:tcBorders>
                                    <w:top w:val="nil"/>
                                    <w:left w:val="nil"/>
                                    <w:bottom w:val="nil"/>
                                    <w:right w:val="nil"/>
                                  </w:tcBorders>
                                  <w:hideMark/>
                                </w:tcPr>
                                <w:p w14:paraId="2AACF94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7,935.0 </w:t>
                                  </w:r>
                                </w:p>
                              </w:tc>
                              <w:tc>
                                <w:tcPr>
                                  <w:tcW w:w="960" w:type="dxa"/>
                                  <w:tcBorders>
                                    <w:top w:val="nil"/>
                                    <w:left w:val="nil"/>
                                    <w:bottom w:val="nil"/>
                                    <w:right w:val="nil"/>
                                  </w:tcBorders>
                                  <w:hideMark/>
                                </w:tcPr>
                                <w:p w14:paraId="48E3DCD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89B882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135.0 </w:t>
                                  </w:r>
                                </w:p>
                              </w:tc>
                              <w:tc>
                                <w:tcPr>
                                  <w:tcW w:w="1160" w:type="dxa"/>
                                  <w:tcBorders>
                                    <w:top w:val="nil"/>
                                    <w:left w:val="nil"/>
                                    <w:bottom w:val="nil"/>
                                    <w:right w:val="nil"/>
                                  </w:tcBorders>
                                  <w:hideMark/>
                                </w:tcPr>
                                <w:p w14:paraId="31C349E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724E4A2D" w14:textId="77777777" w:rsidTr="007D5332">
                              <w:trPr>
                                <w:trHeight w:val="204"/>
                              </w:trPr>
                              <w:tc>
                                <w:tcPr>
                                  <w:tcW w:w="3240" w:type="dxa"/>
                                  <w:tcBorders>
                                    <w:top w:val="nil"/>
                                    <w:left w:val="nil"/>
                                    <w:bottom w:val="nil"/>
                                    <w:right w:val="nil"/>
                                  </w:tcBorders>
                                  <w:noWrap/>
                                  <w:hideMark/>
                                </w:tcPr>
                                <w:p w14:paraId="2577C29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Invest. in Marketable &amp; Equity </w:t>
                                  </w:r>
                                  <w:r w:rsidRPr="007D5332">
                                    <w:rPr>
                                      <w:rFonts w:ascii="Cambria" w:eastAsia="Times New Roman" w:hAnsi="Cambria" w:cs="Arial"/>
                                      <w:color w:val="000000"/>
                                      <w:kern w:val="0"/>
                                      <w:sz w:val="14"/>
                                      <w:szCs w:val="14"/>
                                      <w:lang w:eastAsia="en-IN"/>
                                      <w14:ligatures w14:val="none"/>
                                    </w:rPr>
                                    <w:t>Securt.</w:t>
                                  </w:r>
                                </w:p>
                              </w:tc>
                              <w:tc>
                                <w:tcPr>
                                  <w:tcW w:w="960" w:type="dxa"/>
                                  <w:tcBorders>
                                    <w:top w:val="nil"/>
                                    <w:left w:val="nil"/>
                                    <w:bottom w:val="nil"/>
                                    <w:right w:val="nil"/>
                                  </w:tcBorders>
                                  <w:hideMark/>
                                </w:tcPr>
                                <w:p w14:paraId="7E707F3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CCCED1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1CB1823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0DD94E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FA5633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76DC08E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4,080.0 </w:t>
                                  </w:r>
                                </w:p>
                              </w:tc>
                            </w:tr>
                            <w:tr w:rsidR="007D5332" w:rsidRPr="007D5332" w14:paraId="19EDD0E3" w14:textId="77777777" w:rsidTr="007D5332">
                              <w:trPr>
                                <w:trHeight w:val="204"/>
                              </w:trPr>
                              <w:tc>
                                <w:tcPr>
                                  <w:tcW w:w="3240" w:type="dxa"/>
                                  <w:tcBorders>
                                    <w:top w:val="nil"/>
                                    <w:left w:val="nil"/>
                                    <w:bottom w:val="nil"/>
                                    <w:right w:val="nil"/>
                                  </w:tcBorders>
                                  <w:noWrap/>
                                  <w:hideMark/>
                                </w:tcPr>
                                <w:p w14:paraId="40808C78"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Net (Inc.) Dec. in Loans Originated/Sold</w:t>
                                  </w:r>
                                </w:p>
                              </w:tc>
                              <w:tc>
                                <w:tcPr>
                                  <w:tcW w:w="960" w:type="dxa"/>
                                  <w:tcBorders>
                                    <w:top w:val="nil"/>
                                    <w:left w:val="nil"/>
                                    <w:bottom w:val="nil"/>
                                    <w:right w:val="nil"/>
                                  </w:tcBorders>
                                  <w:hideMark/>
                                </w:tcPr>
                                <w:p w14:paraId="1E99B5A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9D9B9C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0B7F9E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CFAF62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2C0EFF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2EC36B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74A45641" w14:textId="77777777" w:rsidTr="007D5332">
                              <w:trPr>
                                <w:trHeight w:val="204"/>
                              </w:trPr>
                              <w:tc>
                                <w:tcPr>
                                  <w:tcW w:w="3240" w:type="dxa"/>
                                  <w:tcBorders>
                                    <w:top w:val="nil"/>
                                    <w:left w:val="nil"/>
                                    <w:bottom w:val="nil"/>
                                    <w:right w:val="nil"/>
                                  </w:tcBorders>
                                  <w:noWrap/>
                                  <w:hideMark/>
                                </w:tcPr>
                                <w:p w14:paraId="53734E6C"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Investing Activities</w:t>
                                  </w:r>
                                </w:p>
                              </w:tc>
                              <w:tc>
                                <w:tcPr>
                                  <w:tcW w:w="960" w:type="dxa"/>
                                  <w:tcBorders>
                                    <w:top w:val="nil"/>
                                    <w:left w:val="nil"/>
                                    <w:bottom w:val="nil"/>
                                    <w:right w:val="nil"/>
                                  </w:tcBorders>
                                  <w:hideMark/>
                                </w:tcPr>
                                <w:p w14:paraId="09945F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479.0 </w:t>
                                  </w:r>
                                </w:p>
                              </w:tc>
                              <w:tc>
                                <w:tcPr>
                                  <w:tcW w:w="960" w:type="dxa"/>
                                  <w:tcBorders>
                                    <w:top w:val="nil"/>
                                    <w:left w:val="nil"/>
                                    <w:bottom w:val="nil"/>
                                    <w:right w:val="nil"/>
                                  </w:tcBorders>
                                  <w:hideMark/>
                                </w:tcPr>
                                <w:p w14:paraId="1C0EBDA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102.0 </w:t>
                                  </w:r>
                                </w:p>
                              </w:tc>
                              <w:tc>
                                <w:tcPr>
                                  <w:tcW w:w="960" w:type="dxa"/>
                                  <w:tcBorders>
                                    <w:top w:val="nil"/>
                                    <w:left w:val="nil"/>
                                    <w:bottom w:val="nil"/>
                                    <w:right w:val="nil"/>
                                  </w:tcBorders>
                                  <w:hideMark/>
                                </w:tcPr>
                                <w:p w14:paraId="7C8F74C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(879.0)  </w:t>
                                  </w:r>
                                </w:p>
                              </w:tc>
                              <w:tc>
                                <w:tcPr>
                                  <w:tcW w:w="960" w:type="dxa"/>
                                  <w:tcBorders>
                                    <w:top w:val="nil"/>
                                    <w:left w:val="nil"/>
                                    <w:bottom w:val="nil"/>
                                    <w:right w:val="nil"/>
                                  </w:tcBorders>
                                  <w:hideMark/>
                                </w:tcPr>
                                <w:p w14:paraId="267FFB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(295.0)  </w:t>
                                  </w:r>
                                </w:p>
                              </w:tc>
                              <w:tc>
                                <w:tcPr>
                                  <w:tcW w:w="960" w:type="dxa"/>
                                  <w:tcBorders>
                                    <w:top w:val="nil"/>
                                    <w:left w:val="nil"/>
                                    <w:bottom w:val="nil"/>
                                    <w:right w:val="nil"/>
                                  </w:tcBorders>
                                  <w:hideMark/>
                                </w:tcPr>
                                <w:p w14:paraId="16EC4EC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(1,057.0)  </w:t>
                                  </w:r>
                                </w:p>
                              </w:tc>
                              <w:tc>
                                <w:tcPr>
                                  <w:tcW w:w="1160" w:type="dxa"/>
                                  <w:tcBorders>
                                    <w:top w:val="nil"/>
                                    <w:left w:val="nil"/>
                                    <w:bottom w:val="nil"/>
                                    <w:right w:val="nil"/>
                                  </w:tcBorders>
                                  <w:hideMark/>
                                </w:tcPr>
                                <w:p w14:paraId="0296F79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(212.0)  </w:t>
                                  </w:r>
                                </w:p>
                              </w:tc>
                            </w:tr>
                            <w:tr w:rsidR="007D5332" w:rsidRPr="007D5332" w14:paraId="32FEFFB0" w14:textId="77777777" w:rsidTr="007D5332">
                              <w:trPr>
                                <w:trHeight w:val="204"/>
                              </w:trPr>
                              <w:tc>
                                <w:tcPr>
                                  <w:tcW w:w="3240" w:type="dxa"/>
                                  <w:tcBorders>
                                    <w:top w:val="nil"/>
                                    <w:left w:val="nil"/>
                                    <w:bottom w:val="nil"/>
                                    <w:right w:val="nil"/>
                                  </w:tcBorders>
                                  <w:noWrap/>
                                  <w:hideMark/>
                                </w:tcPr>
                                <w:p w14:paraId="5F8E00FD"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Investing</w:t>
                                  </w:r>
                                </w:p>
                              </w:tc>
                              <w:tc>
                                <w:tcPr>
                                  <w:tcW w:w="960" w:type="dxa"/>
                                  <w:tcBorders>
                                    <w:top w:val="single" w:sz="4" w:space="0" w:color="000000"/>
                                    <w:left w:val="nil"/>
                                    <w:bottom w:val="nil"/>
                                    <w:right w:val="nil"/>
                                  </w:tcBorders>
                                  <w:hideMark/>
                                </w:tcPr>
                                <w:p w14:paraId="65C8C0C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(9,128.0)  </w:t>
                                  </w:r>
                                </w:p>
                              </w:tc>
                              <w:tc>
                                <w:tcPr>
                                  <w:tcW w:w="960" w:type="dxa"/>
                                  <w:tcBorders>
                                    <w:top w:val="single" w:sz="4" w:space="0" w:color="000000"/>
                                    <w:left w:val="nil"/>
                                    <w:bottom w:val="nil"/>
                                    <w:right w:val="nil"/>
                                  </w:tcBorders>
                                  <w:hideMark/>
                                </w:tcPr>
                                <w:p w14:paraId="6197739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(10,071.0)  </w:t>
                                  </w:r>
                                </w:p>
                              </w:tc>
                              <w:tc>
                                <w:tcPr>
                                  <w:tcW w:w="960" w:type="dxa"/>
                                  <w:tcBorders>
                                    <w:top w:val="single" w:sz="4" w:space="0" w:color="000000"/>
                                    <w:left w:val="nil"/>
                                    <w:bottom w:val="nil"/>
                                    <w:right w:val="nil"/>
                                  </w:tcBorders>
                                  <w:hideMark/>
                                </w:tcPr>
                                <w:p w14:paraId="0A3A730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(6,015.0)  </w:t>
                                  </w:r>
                                </w:p>
                              </w:tc>
                              <w:tc>
                                <w:tcPr>
                                  <w:tcW w:w="960" w:type="dxa"/>
                                  <w:tcBorders>
                                    <w:top w:val="single" w:sz="4" w:space="0" w:color="000000"/>
                                    <w:left w:val="nil"/>
                                    <w:bottom w:val="nil"/>
                                    <w:right w:val="nil"/>
                                  </w:tcBorders>
                                  <w:hideMark/>
                                </w:tcPr>
                                <w:p w14:paraId="7F5A863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(17,722.0)  </w:t>
                                  </w:r>
                                </w:p>
                              </w:tc>
                              <w:tc>
                                <w:tcPr>
                                  <w:tcW w:w="960" w:type="dxa"/>
                                  <w:tcBorders>
                                    <w:top w:val="single" w:sz="4" w:space="0" w:color="000000"/>
                                    <w:left w:val="nil"/>
                                    <w:bottom w:val="nil"/>
                                    <w:right w:val="nil"/>
                                  </w:tcBorders>
                                  <w:hideMark/>
                                </w:tcPr>
                                <w:p w14:paraId="4EDCB7B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(21,287.0)  </w:t>
                                  </w:r>
                                </w:p>
                              </w:tc>
                              <w:tc>
                                <w:tcPr>
                                  <w:tcW w:w="1160" w:type="dxa"/>
                                  <w:tcBorders>
                                    <w:top w:val="single" w:sz="4" w:space="0" w:color="000000"/>
                                    <w:left w:val="nil"/>
                                    <w:bottom w:val="nil"/>
                                    <w:right w:val="nil"/>
                                  </w:tcBorders>
                                  <w:hideMark/>
                                </w:tcPr>
                                <w:p w14:paraId="047FB99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(21,379.0)  </w:t>
                                  </w:r>
                                </w:p>
                              </w:tc>
                            </w:tr>
                            <w:tr w:rsidR="007D5332" w:rsidRPr="007D5332" w14:paraId="5A2880AD" w14:textId="77777777" w:rsidTr="007D5332">
                              <w:trPr>
                                <w:trHeight w:val="204"/>
                              </w:trPr>
                              <w:tc>
                                <w:tcPr>
                                  <w:tcW w:w="3240" w:type="dxa"/>
                                  <w:tcBorders>
                                    <w:top w:val="nil"/>
                                    <w:left w:val="nil"/>
                                    <w:bottom w:val="nil"/>
                                    <w:right w:val="nil"/>
                                  </w:tcBorders>
                                  <w:noWrap/>
                                  <w:hideMark/>
                                </w:tcPr>
                                <w:p w14:paraId="7BA3E11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5900487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AE8CDC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02B2F3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3C069B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7A4658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68D8A46B"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D306000" w14:textId="77777777" w:rsidTr="007D5332">
                              <w:trPr>
                                <w:trHeight w:val="204"/>
                              </w:trPr>
                              <w:tc>
                                <w:tcPr>
                                  <w:tcW w:w="3240" w:type="dxa"/>
                                  <w:tcBorders>
                                    <w:top w:val="nil"/>
                                    <w:left w:val="nil"/>
                                    <w:bottom w:val="nil"/>
                                    <w:right w:val="nil"/>
                                  </w:tcBorders>
                                  <w:noWrap/>
                                  <w:hideMark/>
                                </w:tcPr>
                                <w:p w14:paraId="5EDD4496"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Short Term Debt Issued</w:t>
                                  </w:r>
                                </w:p>
                              </w:tc>
                              <w:tc>
                                <w:tcPr>
                                  <w:tcW w:w="960" w:type="dxa"/>
                                  <w:tcBorders>
                                    <w:top w:val="nil"/>
                                    <w:left w:val="nil"/>
                                    <w:bottom w:val="nil"/>
                                    <w:right w:val="nil"/>
                                  </w:tcBorders>
                                  <w:hideMark/>
                                </w:tcPr>
                                <w:p w14:paraId="699D233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4C5D681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67057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193.0 </w:t>
                                  </w:r>
                                </w:p>
                              </w:tc>
                              <w:tc>
                                <w:tcPr>
                                  <w:tcW w:w="960" w:type="dxa"/>
                                  <w:tcBorders>
                                    <w:top w:val="nil"/>
                                    <w:left w:val="nil"/>
                                    <w:bottom w:val="nil"/>
                                    <w:right w:val="nil"/>
                                  </w:tcBorders>
                                  <w:hideMark/>
                                </w:tcPr>
                                <w:p w14:paraId="0ED4460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09054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512.0 </w:t>
                                  </w:r>
                                </w:p>
                              </w:tc>
                              <w:tc>
                                <w:tcPr>
                                  <w:tcW w:w="1160" w:type="dxa"/>
                                  <w:tcBorders>
                                    <w:top w:val="nil"/>
                                    <w:left w:val="nil"/>
                                    <w:bottom w:val="nil"/>
                                    <w:right w:val="nil"/>
                                  </w:tcBorders>
                                  <w:hideMark/>
                                </w:tcPr>
                                <w:p w14:paraId="3C08EB1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2,212.0 </w:t>
                                  </w:r>
                                </w:p>
                              </w:tc>
                            </w:tr>
                            <w:tr w:rsidR="007D5332" w:rsidRPr="007D5332" w14:paraId="33DCDE23" w14:textId="77777777" w:rsidTr="007D5332">
                              <w:trPr>
                                <w:trHeight w:val="204"/>
                              </w:trPr>
                              <w:tc>
                                <w:tcPr>
                                  <w:tcW w:w="3240" w:type="dxa"/>
                                  <w:tcBorders>
                                    <w:top w:val="nil"/>
                                    <w:left w:val="nil"/>
                                    <w:bottom w:val="nil"/>
                                    <w:right w:val="nil"/>
                                  </w:tcBorders>
                                  <w:noWrap/>
                                  <w:hideMark/>
                                </w:tcPr>
                                <w:p w14:paraId="03DFA23E"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Long-Term Debt Issued</w:t>
                                  </w:r>
                                </w:p>
                              </w:tc>
                              <w:tc>
                                <w:tcPr>
                                  <w:tcW w:w="960" w:type="dxa"/>
                                  <w:tcBorders>
                                    <w:top w:val="nil"/>
                                    <w:left w:val="nil"/>
                                    <w:bottom w:val="nil"/>
                                    <w:right w:val="nil"/>
                                  </w:tcBorders>
                                  <w:hideMark/>
                                </w:tcPr>
                                <w:p w14:paraId="355FC78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5,492.0 </w:t>
                                  </w:r>
                                </w:p>
                              </w:tc>
                              <w:tc>
                                <w:tcPr>
                                  <w:tcW w:w="960" w:type="dxa"/>
                                  <w:tcBorders>
                                    <w:top w:val="nil"/>
                                    <w:left w:val="nil"/>
                                    <w:bottom w:val="nil"/>
                                    <w:right w:val="nil"/>
                                  </w:tcBorders>
                                  <w:hideMark/>
                                </w:tcPr>
                                <w:p w14:paraId="3675E62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40A24E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6,945.0 </w:t>
                                  </w:r>
                                </w:p>
                              </w:tc>
                              <w:tc>
                                <w:tcPr>
                                  <w:tcW w:w="960" w:type="dxa"/>
                                  <w:tcBorders>
                                    <w:top w:val="nil"/>
                                    <w:left w:val="nil"/>
                                    <w:bottom w:val="nil"/>
                                    <w:right w:val="nil"/>
                                  </w:tcBorders>
                                  <w:hideMark/>
                                </w:tcPr>
                                <w:p w14:paraId="743786F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5,041.0 </w:t>
                                  </w:r>
                                </w:p>
                              </w:tc>
                              <w:tc>
                                <w:tcPr>
                                  <w:tcW w:w="960" w:type="dxa"/>
                                  <w:tcBorders>
                                    <w:top w:val="nil"/>
                                    <w:left w:val="nil"/>
                                    <w:bottom w:val="nil"/>
                                    <w:right w:val="nil"/>
                                  </w:tcBorders>
                                  <w:hideMark/>
                                </w:tcPr>
                                <w:p w14:paraId="1142918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4,967.0 </w:t>
                                  </w:r>
                                </w:p>
                              </w:tc>
                              <w:tc>
                                <w:tcPr>
                                  <w:tcW w:w="1160" w:type="dxa"/>
                                  <w:tcBorders>
                                    <w:top w:val="nil"/>
                                    <w:left w:val="nil"/>
                                    <w:bottom w:val="nil"/>
                                    <w:right w:val="nil"/>
                                  </w:tcBorders>
                                  <w:hideMark/>
                                </w:tcPr>
                                <w:p w14:paraId="41D56DA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5DC469AA" w14:textId="77777777" w:rsidTr="007D5332">
                              <w:trPr>
                                <w:trHeight w:val="204"/>
                              </w:trPr>
                              <w:tc>
                                <w:tcPr>
                                  <w:tcW w:w="3240" w:type="dxa"/>
                                  <w:tcBorders>
                                    <w:top w:val="nil"/>
                                    <w:left w:val="nil"/>
                                    <w:bottom w:val="nil"/>
                                    <w:right w:val="nil"/>
                                  </w:tcBorders>
                                  <w:noWrap/>
                                  <w:hideMark/>
                                </w:tcPr>
                                <w:p w14:paraId="3B42B43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Debt Issued</w:t>
                                  </w:r>
                                </w:p>
                              </w:tc>
                              <w:tc>
                                <w:tcPr>
                                  <w:tcW w:w="960" w:type="dxa"/>
                                  <w:tcBorders>
                                    <w:top w:val="single" w:sz="4" w:space="0" w:color="000000"/>
                                    <w:left w:val="nil"/>
                                    <w:bottom w:val="nil"/>
                                    <w:right w:val="nil"/>
                                  </w:tcBorders>
                                  <w:hideMark/>
                                </w:tcPr>
                                <w:p w14:paraId="0908711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5,492.0 </w:t>
                                  </w:r>
                                </w:p>
                              </w:tc>
                              <w:tc>
                                <w:tcPr>
                                  <w:tcW w:w="960" w:type="dxa"/>
                                  <w:tcBorders>
                                    <w:top w:val="single" w:sz="4" w:space="0" w:color="000000"/>
                                    <w:left w:val="nil"/>
                                    <w:bottom w:val="nil"/>
                                    <w:right w:val="nil"/>
                                  </w:tcBorders>
                                  <w:hideMark/>
                                </w:tcPr>
                                <w:p w14:paraId="23E7EB7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w:t>
                                  </w:r>
                                </w:p>
                              </w:tc>
                              <w:tc>
                                <w:tcPr>
                                  <w:tcW w:w="960" w:type="dxa"/>
                                  <w:tcBorders>
                                    <w:top w:val="single" w:sz="4" w:space="0" w:color="000000"/>
                                    <w:left w:val="nil"/>
                                    <w:bottom w:val="nil"/>
                                    <w:right w:val="nil"/>
                                  </w:tcBorders>
                                  <w:hideMark/>
                                </w:tcPr>
                                <w:p w14:paraId="1340A86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7,138.0 </w:t>
                                  </w:r>
                                </w:p>
                              </w:tc>
                              <w:tc>
                                <w:tcPr>
                                  <w:tcW w:w="960" w:type="dxa"/>
                                  <w:tcBorders>
                                    <w:top w:val="single" w:sz="4" w:space="0" w:color="000000"/>
                                    <w:left w:val="nil"/>
                                    <w:bottom w:val="nil"/>
                                    <w:right w:val="nil"/>
                                  </w:tcBorders>
                                  <w:hideMark/>
                                </w:tcPr>
                                <w:p w14:paraId="3288E9B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5,041.0 </w:t>
                                  </w:r>
                                </w:p>
                              </w:tc>
                              <w:tc>
                                <w:tcPr>
                                  <w:tcW w:w="960" w:type="dxa"/>
                                  <w:tcBorders>
                                    <w:top w:val="single" w:sz="4" w:space="0" w:color="000000"/>
                                    <w:left w:val="nil"/>
                                    <w:bottom w:val="nil"/>
                                    <w:right w:val="nil"/>
                                  </w:tcBorders>
                                  <w:hideMark/>
                                </w:tcPr>
                                <w:p w14:paraId="497A956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5,479.0 </w:t>
                                  </w:r>
                                </w:p>
                              </w:tc>
                              <w:tc>
                                <w:tcPr>
                                  <w:tcW w:w="1160" w:type="dxa"/>
                                  <w:tcBorders>
                                    <w:top w:val="single" w:sz="4" w:space="0" w:color="000000"/>
                                    <w:left w:val="nil"/>
                                    <w:bottom w:val="nil"/>
                                    <w:right w:val="nil"/>
                                  </w:tcBorders>
                                  <w:hideMark/>
                                </w:tcPr>
                                <w:p w14:paraId="7EC16EC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2,212.0 </w:t>
                                  </w:r>
                                </w:p>
                              </w:tc>
                            </w:tr>
                            <w:tr w:rsidR="007D5332" w:rsidRPr="007D5332" w14:paraId="772C3545" w14:textId="77777777" w:rsidTr="007D5332">
                              <w:trPr>
                                <w:trHeight w:val="204"/>
                              </w:trPr>
                              <w:tc>
                                <w:tcPr>
                                  <w:tcW w:w="3240" w:type="dxa"/>
                                  <w:tcBorders>
                                    <w:top w:val="nil"/>
                                    <w:left w:val="nil"/>
                                    <w:bottom w:val="nil"/>
                                    <w:right w:val="nil"/>
                                  </w:tcBorders>
                                  <w:noWrap/>
                                  <w:hideMark/>
                                </w:tcPr>
                                <w:p w14:paraId="53168BC7"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Short Term Debt Repaid</w:t>
                                  </w:r>
                                </w:p>
                              </w:tc>
                              <w:tc>
                                <w:tcPr>
                                  <w:tcW w:w="960" w:type="dxa"/>
                                  <w:tcBorders>
                                    <w:top w:val="nil"/>
                                    <w:left w:val="nil"/>
                                    <w:bottom w:val="nil"/>
                                    <w:right w:val="nil"/>
                                  </w:tcBorders>
                                  <w:hideMark/>
                                </w:tcPr>
                                <w:p w14:paraId="22FD362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(4,656.0)  </w:t>
                                  </w:r>
                                </w:p>
                              </w:tc>
                              <w:tc>
                                <w:tcPr>
                                  <w:tcW w:w="960" w:type="dxa"/>
                                  <w:tcBorders>
                                    <w:top w:val="nil"/>
                                    <w:left w:val="nil"/>
                                    <w:bottom w:val="nil"/>
                                    <w:right w:val="nil"/>
                                  </w:tcBorders>
                                  <w:hideMark/>
                                </w:tcPr>
                                <w:p w14:paraId="6713160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(324.0)  </w:t>
                                  </w:r>
                                </w:p>
                              </w:tc>
                              <w:tc>
                                <w:tcPr>
                                  <w:tcW w:w="960" w:type="dxa"/>
                                  <w:tcBorders>
                                    <w:top w:val="nil"/>
                                    <w:left w:val="nil"/>
                                    <w:bottom w:val="nil"/>
                                    <w:right w:val="nil"/>
                                  </w:tcBorders>
                                  <w:hideMark/>
                                </w:tcPr>
                                <w:p w14:paraId="6240527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58A9B11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(34.0)  </w:t>
                                  </w:r>
                                </w:p>
                              </w:tc>
                              <w:tc>
                                <w:tcPr>
                                  <w:tcW w:w="960" w:type="dxa"/>
                                  <w:tcBorders>
                                    <w:top w:val="nil"/>
                                    <w:left w:val="nil"/>
                                    <w:bottom w:val="nil"/>
                                    <w:right w:val="nil"/>
                                  </w:tcBorders>
                                  <w:hideMark/>
                                </w:tcPr>
                                <w:p w14:paraId="00FADEB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333E46B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6A9EC8E4" w14:textId="77777777" w:rsidTr="007D5332">
                              <w:trPr>
                                <w:trHeight w:val="204"/>
                              </w:trPr>
                              <w:tc>
                                <w:tcPr>
                                  <w:tcW w:w="3240" w:type="dxa"/>
                                  <w:tcBorders>
                                    <w:top w:val="nil"/>
                                    <w:left w:val="nil"/>
                                    <w:bottom w:val="nil"/>
                                    <w:right w:val="nil"/>
                                  </w:tcBorders>
                                  <w:noWrap/>
                                  <w:hideMark/>
                                </w:tcPr>
                                <w:p w14:paraId="76048C6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Long-Term Debt Repaid</w:t>
                                  </w:r>
                                </w:p>
                              </w:tc>
                              <w:tc>
                                <w:tcPr>
                                  <w:tcW w:w="960" w:type="dxa"/>
                                  <w:tcBorders>
                                    <w:top w:val="nil"/>
                                    <w:left w:val="nil"/>
                                    <w:bottom w:val="nil"/>
                                    <w:right w:val="nil"/>
                                  </w:tcBorders>
                                  <w:hideMark/>
                                </w:tcPr>
                                <w:p w14:paraId="278AC55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(1,907.0)  </w:t>
                                  </w:r>
                                </w:p>
                              </w:tc>
                              <w:tc>
                                <w:tcPr>
                                  <w:tcW w:w="960" w:type="dxa"/>
                                  <w:tcBorders>
                                    <w:top w:val="nil"/>
                                    <w:left w:val="nil"/>
                                    <w:bottom w:val="nil"/>
                                    <w:right w:val="nil"/>
                                  </w:tcBorders>
                                  <w:hideMark/>
                                </w:tcPr>
                                <w:p w14:paraId="11C1CC4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(5,382.0)  </w:t>
                                  </w:r>
                                </w:p>
                              </w:tc>
                              <w:tc>
                                <w:tcPr>
                                  <w:tcW w:w="960" w:type="dxa"/>
                                  <w:tcBorders>
                                    <w:top w:val="nil"/>
                                    <w:left w:val="nil"/>
                                    <w:bottom w:val="nil"/>
                                    <w:right w:val="nil"/>
                                  </w:tcBorders>
                                  <w:hideMark/>
                                </w:tcPr>
                                <w:p w14:paraId="52C5F38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(13,010.0)  </w:t>
                                  </w:r>
                                </w:p>
                              </w:tc>
                              <w:tc>
                                <w:tcPr>
                                  <w:tcW w:w="960" w:type="dxa"/>
                                  <w:tcBorders>
                                    <w:top w:val="nil"/>
                                    <w:left w:val="nil"/>
                                    <w:bottom w:val="nil"/>
                                    <w:right w:val="nil"/>
                                  </w:tcBorders>
                                  <w:hideMark/>
                                </w:tcPr>
                                <w:p w14:paraId="0F1BEC3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(2,689.0)  </w:t>
                                  </w:r>
                                </w:p>
                              </w:tc>
                              <w:tc>
                                <w:tcPr>
                                  <w:tcW w:w="960" w:type="dxa"/>
                                  <w:tcBorders>
                                    <w:top w:val="nil"/>
                                    <w:left w:val="nil"/>
                                    <w:bottom w:val="nil"/>
                                    <w:right w:val="nil"/>
                                  </w:tcBorders>
                                  <w:hideMark/>
                                </w:tcPr>
                                <w:p w14:paraId="3D42BF7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(4,217.0)  </w:t>
                                  </w:r>
                                </w:p>
                              </w:tc>
                              <w:tc>
                                <w:tcPr>
                                  <w:tcW w:w="1160" w:type="dxa"/>
                                  <w:tcBorders>
                                    <w:top w:val="nil"/>
                                    <w:left w:val="nil"/>
                                    <w:bottom w:val="nil"/>
                                    <w:right w:val="nil"/>
                                  </w:tcBorders>
                                  <w:hideMark/>
                                </w:tcPr>
                                <w:p w14:paraId="44B83A3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(3,468.0)  </w:t>
                                  </w:r>
                                </w:p>
                              </w:tc>
                            </w:tr>
                            <w:tr w:rsidR="007D5332" w:rsidRPr="007D5332" w14:paraId="7133F648" w14:textId="77777777" w:rsidTr="007D5332">
                              <w:trPr>
                                <w:trHeight w:val="204"/>
                              </w:trPr>
                              <w:tc>
                                <w:tcPr>
                                  <w:tcW w:w="3240" w:type="dxa"/>
                                  <w:tcBorders>
                                    <w:top w:val="nil"/>
                                    <w:left w:val="nil"/>
                                    <w:bottom w:val="nil"/>
                                    <w:right w:val="nil"/>
                                  </w:tcBorders>
                                  <w:noWrap/>
                                  <w:hideMark/>
                                </w:tcPr>
                                <w:p w14:paraId="688DBC66"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Debt Repaid</w:t>
                                  </w:r>
                                </w:p>
                              </w:tc>
                              <w:tc>
                                <w:tcPr>
                                  <w:tcW w:w="960" w:type="dxa"/>
                                  <w:tcBorders>
                                    <w:top w:val="single" w:sz="4" w:space="0" w:color="000000"/>
                                    <w:left w:val="nil"/>
                                    <w:bottom w:val="nil"/>
                                    <w:right w:val="nil"/>
                                  </w:tcBorders>
                                  <w:hideMark/>
                                </w:tcPr>
                                <w:p w14:paraId="208192A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(6,563.0)  </w:t>
                                  </w:r>
                                </w:p>
                              </w:tc>
                              <w:tc>
                                <w:tcPr>
                                  <w:tcW w:w="960" w:type="dxa"/>
                                  <w:tcBorders>
                                    <w:top w:val="single" w:sz="4" w:space="0" w:color="000000"/>
                                    <w:left w:val="nil"/>
                                    <w:bottom w:val="nil"/>
                                    <w:right w:val="nil"/>
                                  </w:tcBorders>
                                  <w:hideMark/>
                                </w:tcPr>
                                <w:p w14:paraId="25E33B2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(5,706.0)  </w:t>
                                  </w:r>
                                </w:p>
                              </w:tc>
                              <w:tc>
                                <w:tcPr>
                                  <w:tcW w:w="960" w:type="dxa"/>
                                  <w:tcBorders>
                                    <w:top w:val="single" w:sz="4" w:space="0" w:color="000000"/>
                                    <w:left w:val="nil"/>
                                    <w:bottom w:val="nil"/>
                                    <w:right w:val="nil"/>
                                  </w:tcBorders>
                                  <w:hideMark/>
                                </w:tcPr>
                                <w:p w14:paraId="1961FD8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(13,010.0)  </w:t>
                                  </w:r>
                                </w:p>
                              </w:tc>
                              <w:tc>
                                <w:tcPr>
                                  <w:tcW w:w="960" w:type="dxa"/>
                                  <w:tcBorders>
                                    <w:top w:val="single" w:sz="4" w:space="0" w:color="000000"/>
                                    <w:left w:val="nil"/>
                                    <w:bottom w:val="nil"/>
                                    <w:right w:val="nil"/>
                                  </w:tcBorders>
                                  <w:hideMark/>
                                </w:tcPr>
                                <w:p w14:paraId="5F47BEC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(2,723.0)  </w:t>
                                  </w:r>
                                </w:p>
                              </w:tc>
                              <w:tc>
                                <w:tcPr>
                                  <w:tcW w:w="960" w:type="dxa"/>
                                  <w:tcBorders>
                                    <w:top w:val="single" w:sz="4" w:space="0" w:color="000000"/>
                                    <w:left w:val="nil"/>
                                    <w:bottom w:val="nil"/>
                                    <w:right w:val="nil"/>
                                  </w:tcBorders>
                                  <w:hideMark/>
                                </w:tcPr>
                                <w:p w14:paraId="5E6F45A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(4,217.0)  </w:t>
                                  </w:r>
                                </w:p>
                              </w:tc>
                              <w:tc>
                                <w:tcPr>
                                  <w:tcW w:w="1160" w:type="dxa"/>
                                  <w:tcBorders>
                                    <w:top w:val="single" w:sz="4" w:space="0" w:color="000000"/>
                                    <w:left w:val="nil"/>
                                    <w:bottom w:val="nil"/>
                                    <w:right w:val="nil"/>
                                  </w:tcBorders>
                                  <w:hideMark/>
                                </w:tcPr>
                                <w:p w14:paraId="6DD0756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(3,468.0)  </w:t>
                                  </w:r>
                                </w:p>
                              </w:tc>
                            </w:tr>
                            <w:tr w:rsidR="007D5332" w:rsidRPr="007D5332" w14:paraId="38131109" w14:textId="77777777" w:rsidTr="007D5332">
                              <w:trPr>
                                <w:trHeight w:val="204"/>
                              </w:trPr>
                              <w:tc>
                                <w:tcPr>
                                  <w:tcW w:w="3240" w:type="dxa"/>
                                  <w:tcBorders>
                                    <w:top w:val="nil"/>
                                    <w:left w:val="nil"/>
                                    <w:bottom w:val="nil"/>
                                    <w:right w:val="nil"/>
                                  </w:tcBorders>
                                  <w:noWrap/>
                                  <w:hideMark/>
                                </w:tcPr>
                                <w:p w14:paraId="717C25A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42BDA7D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0DC24F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883E7D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762B69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104AC9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6B5F0A1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490C29DC" w14:textId="77777777" w:rsidTr="007D5332">
                              <w:trPr>
                                <w:trHeight w:val="204"/>
                              </w:trPr>
                              <w:tc>
                                <w:tcPr>
                                  <w:tcW w:w="3240" w:type="dxa"/>
                                  <w:tcBorders>
                                    <w:top w:val="nil"/>
                                    <w:left w:val="nil"/>
                                    <w:bottom w:val="nil"/>
                                    <w:right w:val="nil"/>
                                  </w:tcBorders>
                                  <w:noWrap/>
                                  <w:hideMark/>
                                </w:tcPr>
                                <w:p w14:paraId="4E8169B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Repurchase of Common Stock</w:t>
                                  </w:r>
                                </w:p>
                              </w:tc>
                              <w:tc>
                                <w:tcPr>
                                  <w:tcW w:w="960" w:type="dxa"/>
                                  <w:tcBorders>
                                    <w:top w:val="nil"/>
                                    <w:left w:val="nil"/>
                                    <w:bottom w:val="nil"/>
                                    <w:right w:val="nil"/>
                                  </w:tcBorders>
                                  <w:hideMark/>
                                </w:tcPr>
                                <w:p w14:paraId="55C0D3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(5,717.0)  </w:t>
                                  </w:r>
                                </w:p>
                              </w:tc>
                              <w:tc>
                                <w:tcPr>
                                  <w:tcW w:w="960" w:type="dxa"/>
                                  <w:tcBorders>
                                    <w:top w:val="nil"/>
                                    <w:left w:val="nil"/>
                                    <w:bottom w:val="nil"/>
                                    <w:right w:val="nil"/>
                                  </w:tcBorders>
                                  <w:hideMark/>
                                </w:tcPr>
                                <w:p w14:paraId="6176A0D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(2,625.0)  </w:t>
                                  </w:r>
                                </w:p>
                              </w:tc>
                              <w:tc>
                                <w:tcPr>
                                  <w:tcW w:w="960" w:type="dxa"/>
                                  <w:tcBorders>
                                    <w:top w:val="nil"/>
                                    <w:left w:val="nil"/>
                                    <w:bottom w:val="nil"/>
                                    <w:right w:val="nil"/>
                                  </w:tcBorders>
                                  <w:hideMark/>
                                </w:tcPr>
                                <w:p w14:paraId="1F06161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(9,787.0)  </w:t>
                                  </w:r>
                                </w:p>
                              </w:tc>
                              <w:tc>
                                <w:tcPr>
                                  <w:tcW w:w="960" w:type="dxa"/>
                                  <w:tcBorders>
                                    <w:top w:val="nil"/>
                                    <w:left w:val="nil"/>
                                    <w:bottom w:val="nil"/>
                                    <w:right w:val="nil"/>
                                  </w:tcBorders>
                                  <w:hideMark/>
                                </w:tcPr>
                                <w:p w14:paraId="478AB8C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(9,920.0)  </w:t>
                                  </w:r>
                                </w:p>
                              </w:tc>
                              <w:tc>
                                <w:tcPr>
                                  <w:tcW w:w="960" w:type="dxa"/>
                                  <w:tcBorders>
                                    <w:top w:val="nil"/>
                                    <w:left w:val="nil"/>
                                    <w:bottom w:val="nil"/>
                                    <w:right w:val="nil"/>
                                  </w:tcBorders>
                                  <w:hideMark/>
                                </w:tcPr>
                                <w:p w14:paraId="2FDFF2F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(2,779.0)  </w:t>
                                  </w:r>
                                </w:p>
                              </w:tc>
                              <w:tc>
                                <w:tcPr>
                                  <w:tcW w:w="1160" w:type="dxa"/>
                                  <w:tcBorders>
                                    <w:top w:val="nil"/>
                                    <w:left w:val="nil"/>
                                    <w:bottom w:val="nil"/>
                                    <w:right w:val="nil"/>
                                  </w:tcBorders>
                                  <w:hideMark/>
                                </w:tcPr>
                                <w:p w14:paraId="3D783EC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(4,494.0)  </w:t>
                                  </w:r>
                                </w:p>
                              </w:tc>
                            </w:tr>
                            <w:tr w:rsidR="007D5332" w:rsidRPr="007D5332" w14:paraId="766080C0" w14:textId="77777777" w:rsidTr="007D5332">
                              <w:trPr>
                                <w:trHeight w:val="204"/>
                              </w:trPr>
                              <w:tc>
                                <w:tcPr>
                                  <w:tcW w:w="3240" w:type="dxa"/>
                                  <w:tcBorders>
                                    <w:top w:val="nil"/>
                                    <w:left w:val="nil"/>
                                    <w:bottom w:val="nil"/>
                                    <w:right w:val="nil"/>
                                  </w:tcBorders>
                                  <w:noWrap/>
                                  <w:hideMark/>
                                </w:tcPr>
                                <w:p w14:paraId="72AEBC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p>
                              </w:tc>
                              <w:tc>
                                <w:tcPr>
                                  <w:tcW w:w="960" w:type="dxa"/>
                                  <w:tcBorders>
                                    <w:top w:val="nil"/>
                                    <w:left w:val="nil"/>
                                    <w:bottom w:val="nil"/>
                                    <w:right w:val="nil"/>
                                  </w:tcBorders>
                                  <w:noWrap/>
                                  <w:hideMark/>
                                </w:tcPr>
                                <w:p w14:paraId="34751F34"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C3ACB4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69473C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8295F3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637CD3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55C80B25"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2C37419" w14:textId="77777777" w:rsidTr="007D5332">
                              <w:trPr>
                                <w:trHeight w:val="204"/>
                              </w:trPr>
                              <w:tc>
                                <w:tcPr>
                                  <w:tcW w:w="3240" w:type="dxa"/>
                                  <w:tcBorders>
                                    <w:top w:val="nil"/>
                                    <w:left w:val="nil"/>
                                    <w:bottom w:val="nil"/>
                                    <w:right w:val="nil"/>
                                  </w:tcBorders>
                                  <w:noWrap/>
                                  <w:hideMark/>
                                </w:tcPr>
                                <w:p w14:paraId="6F383EA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Common Dividends Paid</w:t>
                                  </w:r>
                                </w:p>
                              </w:tc>
                              <w:tc>
                                <w:tcPr>
                                  <w:tcW w:w="960" w:type="dxa"/>
                                  <w:tcBorders>
                                    <w:top w:val="nil"/>
                                    <w:left w:val="nil"/>
                                    <w:bottom w:val="nil"/>
                                    <w:right w:val="nil"/>
                                  </w:tcBorders>
                                  <w:hideMark/>
                                </w:tcPr>
                                <w:p w14:paraId="5BC9A00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(6,048.0)  </w:t>
                                  </w:r>
                                </w:p>
                              </w:tc>
                              <w:tc>
                                <w:tcPr>
                                  <w:tcW w:w="960" w:type="dxa"/>
                                  <w:tcBorders>
                                    <w:top w:val="nil"/>
                                    <w:left w:val="nil"/>
                                    <w:bottom w:val="nil"/>
                                    <w:right w:val="nil"/>
                                  </w:tcBorders>
                                  <w:hideMark/>
                                </w:tcPr>
                                <w:p w14:paraId="610C3DD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(6,116.0)  </w:t>
                                  </w:r>
                                </w:p>
                              </w:tc>
                              <w:tc>
                                <w:tcPr>
                                  <w:tcW w:w="960" w:type="dxa"/>
                                  <w:tcBorders>
                                    <w:top w:val="nil"/>
                                    <w:left w:val="nil"/>
                                    <w:bottom w:val="nil"/>
                                    <w:right w:val="nil"/>
                                  </w:tcBorders>
                                  <w:hideMark/>
                                </w:tcPr>
                                <w:p w14:paraId="2DAE895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(6,152.0)  </w:t>
                                  </w:r>
                                </w:p>
                              </w:tc>
                              <w:tc>
                                <w:tcPr>
                                  <w:tcW w:w="960" w:type="dxa"/>
                                  <w:tcBorders>
                                    <w:top w:val="nil"/>
                                    <w:left w:val="nil"/>
                                    <w:bottom w:val="nil"/>
                                    <w:right w:val="nil"/>
                                  </w:tcBorders>
                                  <w:hideMark/>
                                </w:tcPr>
                                <w:p w14:paraId="1BD806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(6,114.0)  </w:t>
                                  </w:r>
                                </w:p>
                              </w:tc>
                              <w:tc>
                                <w:tcPr>
                                  <w:tcW w:w="960" w:type="dxa"/>
                                  <w:tcBorders>
                                    <w:top w:val="nil"/>
                                    <w:left w:val="nil"/>
                                    <w:bottom w:val="nil"/>
                                    <w:right w:val="nil"/>
                                  </w:tcBorders>
                                  <w:hideMark/>
                                </w:tcPr>
                                <w:p w14:paraId="497A8CE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(6,140.0)  </w:t>
                                  </w:r>
                                </w:p>
                              </w:tc>
                              <w:tc>
                                <w:tcPr>
                                  <w:tcW w:w="1160" w:type="dxa"/>
                                  <w:tcBorders>
                                    <w:top w:val="nil"/>
                                    <w:left w:val="nil"/>
                                    <w:bottom w:val="nil"/>
                                    <w:right w:val="nil"/>
                                  </w:tcBorders>
                                  <w:hideMark/>
                                </w:tcPr>
                                <w:p w14:paraId="7D7CAB4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(6,688.0)  </w:t>
                                  </w:r>
                                </w:p>
                              </w:tc>
                            </w:tr>
                            <w:tr w:rsidR="007D5332" w:rsidRPr="007D5332" w14:paraId="1358AF9B" w14:textId="77777777" w:rsidTr="007D5332">
                              <w:trPr>
                                <w:trHeight w:val="204"/>
                              </w:trPr>
                              <w:tc>
                                <w:tcPr>
                                  <w:tcW w:w="3240" w:type="dxa"/>
                                  <w:tcBorders>
                                    <w:top w:val="nil"/>
                                    <w:left w:val="nil"/>
                                    <w:bottom w:val="nil"/>
                                    <w:right w:val="nil"/>
                                  </w:tcBorders>
                                  <w:noWrap/>
                                  <w:hideMark/>
                                </w:tcPr>
                                <w:p w14:paraId="0F49AAA4"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Dividends Paid</w:t>
                                  </w:r>
                                </w:p>
                              </w:tc>
                              <w:tc>
                                <w:tcPr>
                                  <w:tcW w:w="960" w:type="dxa"/>
                                  <w:tcBorders>
                                    <w:top w:val="single" w:sz="4" w:space="0" w:color="000000"/>
                                    <w:left w:val="nil"/>
                                    <w:bottom w:val="nil"/>
                                    <w:right w:val="nil"/>
                                  </w:tcBorders>
                                  <w:hideMark/>
                                </w:tcPr>
                                <w:p w14:paraId="18241AF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(6,048.0)  </w:t>
                                  </w:r>
                                </w:p>
                              </w:tc>
                              <w:tc>
                                <w:tcPr>
                                  <w:tcW w:w="960" w:type="dxa"/>
                                  <w:tcBorders>
                                    <w:top w:val="single" w:sz="4" w:space="0" w:color="000000"/>
                                    <w:left w:val="nil"/>
                                    <w:bottom w:val="nil"/>
                                    <w:right w:val="nil"/>
                                  </w:tcBorders>
                                  <w:hideMark/>
                                </w:tcPr>
                                <w:p w14:paraId="3C2B30D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(6,116.0)  </w:t>
                                  </w:r>
                                </w:p>
                              </w:tc>
                              <w:tc>
                                <w:tcPr>
                                  <w:tcW w:w="960" w:type="dxa"/>
                                  <w:tcBorders>
                                    <w:top w:val="single" w:sz="4" w:space="0" w:color="000000"/>
                                    <w:left w:val="nil"/>
                                    <w:bottom w:val="nil"/>
                                    <w:right w:val="nil"/>
                                  </w:tcBorders>
                                  <w:hideMark/>
                                </w:tcPr>
                                <w:p w14:paraId="5FFDDAB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(6,152.0)  </w:t>
                                  </w:r>
                                </w:p>
                              </w:tc>
                              <w:tc>
                                <w:tcPr>
                                  <w:tcW w:w="960" w:type="dxa"/>
                                  <w:tcBorders>
                                    <w:top w:val="single" w:sz="4" w:space="0" w:color="000000"/>
                                    <w:left w:val="nil"/>
                                    <w:bottom w:val="nil"/>
                                    <w:right w:val="nil"/>
                                  </w:tcBorders>
                                  <w:hideMark/>
                                </w:tcPr>
                                <w:p w14:paraId="28BD395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(6,114.0)  </w:t>
                                  </w:r>
                                </w:p>
                              </w:tc>
                              <w:tc>
                                <w:tcPr>
                                  <w:tcW w:w="960" w:type="dxa"/>
                                  <w:tcBorders>
                                    <w:top w:val="single" w:sz="4" w:space="0" w:color="000000"/>
                                    <w:left w:val="nil"/>
                                    <w:bottom w:val="nil"/>
                                    <w:right w:val="nil"/>
                                  </w:tcBorders>
                                  <w:hideMark/>
                                </w:tcPr>
                                <w:p w14:paraId="7E4D665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(6,140.0)  </w:t>
                                  </w:r>
                                </w:p>
                              </w:tc>
                              <w:tc>
                                <w:tcPr>
                                  <w:tcW w:w="1160" w:type="dxa"/>
                                  <w:tcBorders>
                                    <w:top w:val="single" w:sz="4" w:space="0" w:color="000000"/>
                                    <w:left w:val="nil"/>
                                    <w:bottom w:val="nil"/>
                                    <w:right w:val="nil"/>
                                  </w:tcBorders>
                                  <w:hideMark/>
                                </w:tcPr>
                                <w:p w14:paraId="7A5B159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(6,688.0)  </w:t>
                                  </w:r>
                                </w:p>
                              </w:tc>
                            </w:tr>
                            <w:tr w:rsidR="007D5332" w:rsidRPr="007D5332" w14:paraId="345E6B19" w14:textId="77777777" w:rsidTr="007D5332">
                              <w:trPr>
                                <w:trHeight w:val="204"/>
                              </w:trPr>
                              <w:tc>
                                <w:tcPr>
                                  <w:tcW w:w="3240" w:type="dxa"/>
                                  <w:tcBorders>
                                    <w:top w:val="nil"/>
                                    <w:left w:val="nil"/>
                                    <w:bottom w:val="nil"/>
                                    <w:right w:val="nil"/>
                                  </w:tcBorders>
                                  <w:noWrap/>
                                  <w:hideMark/>
                                </w:tcPr>
                                <w:p w14:paraId="4C558E1F"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093A19A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4F7B03B"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D308B9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A69117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BD0508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41AD673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12ECFA3" w14:textId="77777777" w:rsidTr="007D5332">
                              <w:trPr>
                                <w:trHeight w:val="204"/>
                              </w:trPr>
                              <w:tc>
                                <w:tcPr>
                                  <w:tcW w:w="3240" w:type="dxa"/>
                                  <w:tcBorders>
                                    <w:top w:val="nil"/>
                                    <w:left w:val="nil"/>
                                    <w:bottom w:val="nil"/>
                                    <w:right w:val="nil"/>
                                  </w:tcBorders>
                                  <w:noWrap/>
                                  <w:hideMark/>
                                </w:tcPr>
                                <w:p w14:paraId="253F730D"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Special Dividend Paid</w:t>
                                  </w:r>
                                </w:p>
                              </w:tc>
                              <w:tc>
                                <w:tcPr>
                                  <w:tcW w:w="960" w:type="dxa"/>
                                  <w:tcBorders>
                                    <w:top w:val="nil"/>
                                    <w:left w:val="nil"/>
                                    <w:bottom w:val="nil"/>
                                    <w:right w:val="nil"/>
                                  </w:tcBorders>
                                  <w:hideMark/>
                                </w:tcPr>
                                <w:p w14:paraId="0E2D92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5660E4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73E96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770E7B6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1A04D9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7DCCB45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60DF928C" w14:textId="77777777" w:rsidTr="007D5332">
                              <w:trPr>
                                <w:trHeight w:val="204"/>
                              </w:trPr>
                              <w:tc>
                                <w:tcPr>
                                  <w:tcW w:w="3240" w:type="dxa"/>
                                  <w:tcBorders>
                                    <w:top w:val="nil"/>
                                    <w:left w:val="nil"/>
                                    <w:bottom w:val="nil"/>
                                    <w:right w:val="nil"/>
                                  </w:tcBorders>
                                  <w:noWrap/>
                                  <w:hideMark/>
                                </w:tcPr>
                                <w:p w14:paraId="6BE06C6A"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Financing Activities</w:t>
                                  </w:r>
                                </w:p>
                              </w:tc>
                              <w:tc>
                                <w:tcPr>
                                  <w:tcW w:w="960" w:type="dxa"/>
                                  <w:tcBorders>
                                    <w:top w:val="nil"/>
                                    <w:left w:val="nil"/>
                                    <w:bottom w:val="nil"/>
                                    <w:right w:val="nil"/>
                                  </w:tcBorders>
                                  <w:hideMark/>
                                </w:tcPr>
                                <w:p w14:paraId="1BAC14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(1,463.0)  </w:t>
                                  </w:r>
                                </w:p>
                              </w:tc>
                              <w:tc>
                                <w:tcPr>
                                  <w:tcW w:w="960" w:type="dxa"/>
                                  <w:tcBorders>
                                    <w:top w:val="nil"/>
                                    <w:left w:val="nil"/>
                                    <w:bottom w:val="nil"/>
                                    <w:right w:val="nil"/>
                                  </w:tcBorders>
                                  <w:hideMark/>
                                </w:tcPr>
                                <w:p w14:paraId="33936FC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(1,670.0)  </w:t>
                                  </w:r>
                                </w:p>
                              </w:tc>
                              <w:tc>
                                <w:tcPr>
                                  <w:tcW w:w="960" w:type="dxa"/>
                                  <w:tcBorders>
                                    <w:top w:val="nil"/>
                                    <w:left w:val="nil"/>
                                    <w:bottom w:val="nil"/>
                                    <w:right w:val="nil"/>
                                  </w:tcBorders>
                                  <w:hideMark/>
                                </w:tcPr>
                                <w:p w14:paraId="3A3388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(1,017.0)  </w:t>
                                  </w:r>
                                </w:p>
                              </w:tc>
                              <w:tc>
                                <w:tcPr>
                                  <w:tcW w:w="960" w:type="dxa"/>
                                  <w:tcBorders>
                                    <w:top w:val="nil"/>
                                    <w:left w:val="nil"/>
                                    <w:bottom w:val="nil"/>
                                    <w:right w:val="nil"/>
                                  </w:tcBorders>
                                  <w:hideMark/>
                                </w:tcPr>
                                <w:p w14:paraId="661A78F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(3,323.0)  </w:t>
                                  </w:r>
                                </w:p>
                              </w:tc>
                              <w:tc>
                                <w:tcPr>
                                  <w:tcW w:w="960" w:type="dxa"/>
                                  <w:tcBorders>
                                    <w:top w:val="nil"/>
                                    <w:left w:val="nil"/>
                                    <w:bottom w:val="nil"/>
                                    <w:right w:val="nil"/>
                                  </w:tcBorders>
                                  <w:hideMark/>
                                </w:tcPr>
                                <w:p w14:paraId="209FAAF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(5,757.0)  </w:t>
                                  </w:r>
                                </w:p>
                              </w:tc>
                              <w:tc>
                                <w:tcPr>
                                  <w:tcW w:w="1160" w:type="dxa"/>
                                  <w:tcBorders>
                                    <w:top w:val="nil"/>
                                    <w:left w:val="nil"/>
                                    <w:bottom w:val="nil"/>
                                    <w:right w:val="nil"/>
                                  </w:tcBorders>
                                  <w:hideMark/>
                                </w:tcPr>
                                <w:p w14:paraId="286FB78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(2,384.0)  </w:t>
                                  </w:r>
                                </w:p>
                              </w:tc>
                            </w:tr>
                            <w:tr w:rsidR="007D5332" w:rsidRPr="007D5332" w14:paraId="7556FF18" w14:textId="77777777" w:rsidTr="007D5332">
                              <w:trPr>
                                <w:trHeight w:val="204"/>
                              </w:trPr>
                              <w:tc>
                                <w:tcPr>
                                  <w:tcW w:w="3240" w:type="dxa"/>
                                  <w:tcBorders>
                                    <w:top w:val="nil"/>
                                    <w:left w:val="nil"/>
                                    <w:bottom w:val="nil"/>
                                    <w:right w:val="nil"/>
                                  </w:tcBorders>
                                  <w:noWrap/>
                                  <w:hideMark/>
                                </w:tcPr>
                                <w:p w14:paraId="7C05F805"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Financing</w:t>
                                  </w:r>
                                </w:p>
                              </w:tc>
                              <w:tc>
                                <w:tcPr>
                                  <w:tcW w:w="960" w:type="dxa"/>
                                  <w:tcBorders>
                                    <w:top w:val="single" w:sz="4" w:space="0" w:color="000000"/>
                                    <w:left w:val="nil"/>
                                    <w:bottom w:val="nil"/>
                                    <w:right w:val="nil"/>
                                  </w:tcBorders>
                                  <w:hideMark/>
                                </w:tcPr>
                                <w:p w14:paraId="0C08DEF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(14,299.0)  </w:t>
                                  </w:r>
                                </w:p>
                              </w:tc>
                              <w:tc>
                                <w:tcPr>
                                  <w:tcW w:w="960" w:type="dxa"/>
                                  <w:tcBorders>
                                    <w:top w:val="single" w:sz="4" w:space="0" w:color="000000"/>
                                    <w:left w:val="nil"/>
                                    <w:bottom w:val="nil"/>
                                    <w:right w:val="nil"/>
                                  </w:tcBorders>
                                  <w:hideMark/>
                                </w:tcPr>
                                <w:p w14:paraId="4B5F5D7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(16,117.0)  </w:t>
                                  </w:r>
                                </w:p>
                              </w:tc>
                              <w:tc>
                                <w:tcPr>
                                  <w:tcW w:w="960" w:type="dxa"/>
                                  <w:tcBorders>
                                    <w:top w:val="single" w:sz="4" w:space="0" w:color="000000"/>
                                    <w:left w:val="nil"/>
                                    <w:bottom w:val="nil"/>
                                    <w:right w:val="nil"/>
                                  </w:tcBorders>
                                  <w:hideMark/>
                                </w:tcPr>
                                <w:p w14:paraId="249151A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(22,828.0)  </w:t>
                                  </w:r>
                                </w:p>
                              </w:tc>
                              <w:tc>
                                <w:tcPr>
                                  <w:tcW w:w="960" w:type="dxa"/>
                                  <w:tcBorders>
                                    <w:top w:val="single" w:sz="4" w:space="0" w:color="000000"/>
                                    <w:left w:val="nil"/>
                                    <w:bottom w:val="nil"/>
                                    <w:right w:val="nil"/>
                                  </w:tcBorders>
                                  <w:hideMark/>
                                </w:tcPr>
                                <w:p w14:paraId="75F57E8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(17,039.0)  </w:t>
                                  </w:r>
                                </w:p>
                              </w:tc>
                              <w:tc>
                                <w:tcPr>
                                  <w:tcW w:w="960" w:type="dxa"/>
                                  <w:tcBorders>
                                    <w:top w:val="single" w:sz="4" w:space="0" w:color="000000"/>
                                    <w:left w:val="nil"/>
                                    <w:bottom w:val="nil"/>
                                    <w:right w:val="nil"/>
                                  </w:tcBorders>
                                  <w:hideMark/>
                                </w:tcPr>
                                <w:p w14:paraId="6604EB1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(13,414.0)  </w:t>
                                  </w:r>
                                </w:p>
                              </w:tc>
                              <w:tc>
                                <w:tcPr>
                                  <w:tcW w:w="1160" w:type="dxa"/>
                                  <w:tcBorders>
                                    <w:top w:val="single" w:sz="4" w:space="0" w:color="000000"/>
                                    <w:left w:val="nil"/>
                                    <w:bottom w:val="nil"/>
                                    <w:right w:val="nil"/>
                                  </w:tcBorders>
                                  <w:hideMark/>
                                </w:tcPr>
                                <w:p w14:paraId="65BBEBE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(14,822.0)  </w:t>
                                  </w:r>
                                </w:p>
                              </w:tc>
                            </w:tr>
                            <w:tr w:rsidR="007D5332" w:rsidRPr="007D5332" w14:paraId="2BF37700" w14:textId="77777777" w:rsidTr="007D5332">
                              <w:trPr>
                                <w:trHeight w:val="204"/>
                              </w:trPr>
                              <w:tc>
                                <w:tcPr>
                                  <w:tcW w:w="3240" w:type="dxa"/>
                                  <w:tcBorders>
                                    <w:top w:val="nil"/>
                                    <w:left w:val="nil"/>
                                    <w:bottom w:val="nil"/>
                                    <w:right w:val="nil"/>
                                  </w:tcBorders>
                                  <w:noWrap/>
                                  <w:hideMark/>
                                </w:tcPr>
                                <w:p w14:paraId="258542A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045B52D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E85EF34"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336635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88E35C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2B21B71"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55D3731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196C772D" w14:textId="77777777" w:rsidTr="007D5332">
                              <w:trPr>
                                <w:trHeight w:val="204"/>
                              </w:trPr>
                              <w:tc>
                                <w:tcPr>
                                  <w:tcW w:w="3240" w:type="dxa"/>
                                  <w:tcBorders>
                                    <w:top w:val="nil"/>
                                    <w:left w:val="nil"/>
                                    <w:bottom w:val="nil"/>
                                    <w:right w:val="nil"/>
                                  </w:tcBorders>
                                  <w:noWrap/>
                                  <w:hideMark/>
                                </w:tcPr>
                                <w:p w14:paraId="36290A9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Foreign Exchange Rate Adj.</w:t>
                                  </w:r>
                                </w:p>
                              </w:tc>
                              <w:tc>
                                <w:tcPr>
                                  <w:tcW w:w="960" w:type="dxa"/>
                                  <w:tcBorders>
                                    <w:top w:val="nil"/>
                                    <w:left w:val="nil"/>
                                    <w:bottom w:val="nil"/>
                                    <w:right w:val="nil"/>
                                  </w:tcBorders>
                                  <w:hideMark/>
                                </w:tcPr>
                                <w:p w14:paraId="5F877F7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(69.0)  </w:t>
                                  </w:r>
                                </w:p>
                              </w:tc>
                              <w:tc>
                                <w:tcPr>
                                  <w:tcW w:w="960" w:type="dxa"/>
                                  <w:tcBorders>
                                    <w:top w:val="nil"/>
                                    <w:left w:val="nil"/>
                                    <w:bottom w:val="nil"/>
                                    <w:right w:val="nil"/>
                                  </w:tcBorders>
                                  <w:hideMark/>
                                </w:tcPr>
                                <w:p w14:paraId="6C32F9A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235.0 </w:t>
                                  </w:r>
                                </w:p>
                              </w:tc>
                              <w:tc>
                                <w:tcPr>
                                  <w:tcW w:w="960" w:type="dxa"/>
                                  <w:tcBorders>
                                    <w:top w:val="nil"/>
                                    <w:left w:val="nil"/>
                                    <w:bottom w:val="nil"/>
                                    <w:right w:val="nil"/>
                                  </w:tcBorders>
                                  <w:hideMark/>
                                </w:tcPr>
                                <w:p w14:paraId="7AA0B00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(140.0)  </w:t>
                                  </w:r>
                                </w:p>
                              </w:tc>
                              <w:tc>
                                <w:tcPr>
                                  <w:tcW w:w="960" w:type="dxa"/>
                                  <w:tcBorders>
                                    <w:top w:val="nil"/>
                                    <w:left w:val="nil"/>
                                    <w:bottom w:val="nil"/>
                                    <w:right w:val="nil"/>
                                  </w:tcBorders>
                                  <w:hideMark/>
                                </w:tcPr>
                                <w:p w14:paraId="018D91C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(73.0)  </w:t>
                                  </w:r>
                                </w:p>
                              </w:tc>
                              <w:tc>
                                <w:tcPr>
                                  <w:tcW w:w="960" w:type="dxa"/>
                                  <w:tcBorders>
                                    <w:top w:val="nil"/>
                                    <w:left w:val="nil"/>
                                    <w:bottom w:val="nil"/>
                                    <w:right w:val="nil"/>
                                  </w:tcBorders>
                                  <w:hideMark/>
                                </w:tcPr>
                                <w:p w14:paraId="2F1D35D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69.0 </w:t>
                                  </w:r>
                                </w:p>
                              </w:tc>
                              <w:tc>
                                <w:tcPr>
                                  <w:tcW w:w="1160" w:type="dxa"/>
                                  <w:tcBorders>
                                    <w:top w:val="nil"/>
                                    <w:left w:val="nil"/>
                                    <w:bottom w:val="nil"/>
                                    <w:right w:val="nil"/>
                                  </w:tcBorders>
                                  <w:hideMark/>
                                </w:tcPr>
                                <w:p w14:paraId="0EA635D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(641.0)  </w:t>
                                  </w:r>
                                </w:p>
                              </w:tc>
                            </w:tr>
                            <w:tr w:rsidR="007D5332" w:rsidRPr="007D5332" w14:paraId="68C8FE86" w14:textId="77777777" w:rsidTr="007D5332">
                              <w:trPr>
                                <w:trHeight w:val="204"/>
                              </w:trPr>
                              <w:tc>
                                <w:tcPr>
                                  <w:tcW w:w="3240" w:type="dxa"/>
                                  <w:tcBorders>
                                    <w:top w:val="nil"/>
                                    <w:left w:val="nil"/>
                                    <w:bottom w:val="nil"/>
                                    <w:right w:val="nil"/>
                                  </w:tcBorders>
                                  <w:noWrap/>
                                  <w:hideMark/>
                                </w:tcPr>
                                <w:p w14:paraId="7124B10E"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Misc. Cash Flow Adj.</w:t>
                                  </w:r>
                                </w:p>
                              </w:tc>
                              <w:tc>
                                <w:tcPr>
                                  <w:tcW w:w="960" w:type="dxa"/>
                                  <w:tcBorders>
                                    <w:top w:val="nil"/>
                                    <w:left w:val="nil"/>
                                    <w:bottom w:val="nil"/>
                                    <w:right w:val="nil"/>
                                  </w:tcBorders>
                                  <w:hideMark/>
                                </w:tcPr>
                                <w:p w14:paraId="27A9550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62F647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(1,848.0)  </w:t>
                                  </w:r>
                                </w:p>
                              </w:tc>
                              <w:tc>
                                <w:tcPr>
                                  <w:tcW w:w="960" w:type="dxa"/>
                                  <w:tcBorders>
                                    <w:top w:val="nil"/>
                                    <w:left w:val="nil"/>
                                    <w:bottom w:val="nil"/>
                                    <w:right w:val="nil"/>
                                  </w:tcBorders>
                                  <w:hideMark/>
                                </w:tcPr>
                                <w:p w14:paraId="032E76F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1,848.0 </w:t>
                                  </w:r>
                                </w:p>
                              </w:tc>
                              <w:tc>
                                <w:tcPr>
                                  <w:tcW w:w="960" w:type="dxa"/>
                                  <w:tcBorders>
                                    <w:top w:val="nil"/>
                                    <w:left w:val="nil"/>
                                    <w:bottom w:val="nil"/>
                                    <w:right w:val="nil"/>
                                  </w:tcBorders>
                                  <w:hideMark/>
                                </w:tcPr>
                                <w:p w14:paraId="2897732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552924D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26781BA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1ADB23FF" w14:textId="77777777" w:rsidTr="007D5332">
                              <w:trPr>
                                <w:trHeight w:val="204"/>
                              </w:trPr>
                              <w:tc>
                                <w:tcPr>
                                  <w:tcW w:w="3240" w:type="dxa"/>
                                  <w:tcBorders>
                                    <w:top w:val="nil"/>
                                    <w:left w:val="nil"/>
                                    <w:bottom w:val="nil"/>
                                    <w:right w:val="nil"/>
                                  </w:tcBorders>
                                  <w:noWrap/>
                                  <w:hideMark/>
                                </w:tcPr>
                                <w:p w14:paraId="01D9515F"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Net Change in Cash</w:t>
                                  </w:r>
                                </w:p>
                              </w:tc>
                              <w:tc>
                                <w:tcPr>
                                  <w:tcW w:w="960" w:type="dxa"/>
                                  <w:tcBorders>
                                    <w:top w:val="single" w:sz="4" w:space="0" w:color="000000"/>
                                    <w:left w:val="nil"/>
                                    <w:bottom w:val="nil"/>
                                    <w:right w:val="nil"/>
                                  </w:tcBorders>
                                  <w:hideMark/>
                                </w:tcPr>
                                <w:p w14:paraId="09135234"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1,759.0 </w:t>
                                  </w:r>
                                </w:p>
                              </w:tc>
                              <w:tc>
                                <w:tcPr>
                                  <w:tcW w:w="960" w:type="dxa"/>
                                  <w:tcBorders>
                                    <w:top w:val="single" w:sz="4" w:space="0" w:color="000000"/>
                                    <w:left w:val="nil"/>
                                    <w:bottom w:val="nil"/>
                                    <w:right w:val="nil"/>
                                  </w:tcBorders>
                                  <w:hideMark/>
                                </w:tcPr>
                                <w:p w14:paraId="45453A3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8,273.0 </w:t>
                                  </w:r>
                                </w:p>
                              </w:tc>
                              <w:tc>
                                <w:tcPr>
                                  <w:tcW w:w="960" w:type="dxa"/>
                                  <w:tcBorders>
                                    <w:top w:val="single" w:sz="4" w:space="0" w:color="000000"/>
                                    <w:left w:val="nil"/>
                                    <w:bottom w:val="nil"/>
                                    <w:right w:val="nil"/>
                                  </w:tcBorders>
                                  <w:hideMark/>
                                </w:tcPr>
                                <w:p w14:paraId="0BD6DF4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(2,954.0)  </w:t>
                                  </w:r>
                                </w:p>
                              </w:tc>
                              <w:tc>
                                <w:tcPr>
                                  <w:tcW w:w="960" w:type="dxa"/>
                                  <w:tcBorders>
                                    <w:top w:val="single" w:sz="4" w:space="0" w:color="000000"/>
                                    <w:left w:val="nil"/>
                                    <w:bottom w:val="nil"/>
                                    <w:right w:val="nil"/>
                                  </w:tcBorders>
                                  <w:hideMark/>
                                </w:tcPr>
                                <w:p w14:paraId="4D3FB3A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(5,993.0)  </w:t>
                                  </w:r>
                                </w:p>
                              </w:tc>
                              <w:tc>
                                <w:tcPr>
                                  <w:tcW w:w="960" w:type="dxa"/>
                                  <w:tcBorders>
                                    <w:top w:val="single" w:sz="4" w:space="0" w:color="000000"/>
                                    <w:left w:val="nil"/>
                                    <w:bottom w:val="nil"/>
                                    <w:right w:val="nil"/>
                                  </w:tcBorders>
                                  <w:hideMark/>
                                </w:tcPr>
                                <w:p w14:paraId="1FDAFA5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1,094.0 </w:t>
                                  </w:r>
                                </w:p>
                              </w:tc>
                              <w:tc>
                                <w:tcPr>
                                  <w:tcW w:w="1160" w:type="dxa"/>
                                  <w:tcBorders>
                                    <w:top w:val="single" w:sz="4" w:space="0" w:color="000000"/>
                                    <w:left w:val="nil"/>
                                    <w:bottom w:val="nil"/>
                                    <w:right w:val="nil"/>
                                  </w:tcBorders>
                                  <w:hideMark/>
                                </w:tcPr>
                                <w:p w14:paraId="2EC3713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(399.0)  </w:t>
                                  </w:r>
                                </w:p>
                              </w:tc>
                            </w:tr>
                            <w:tr w:rsidR="007D5332" w:rsidRPr="007D5332" w14:paraId="67F23CB7" w14:textId="77777777" w:rsidTr="007D5332">
                              <w:trPr>
                                <w:trHeight w:val="204"/>
                              </w:trPr>
                              <w:tc>
                                <w:tcPr>
                                  <w:tcW w:w="3240" w:type="dxa"/>
                                  <w:tcBorders>
                                    <w:top w:val="nil"/>
                                    <w:left w:val="nil"/>
                                    <w:bottom w:val="nil"/>
                                    <w:right w:val="nil"/>
                                  </w:tcBorders>
                                  <w:noWrap/>
                                  <w:hideMark/>
                                </w:tcPr>
                                <w:p w14:paraId="6400BF6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p>
                              </w:tc>
                              <w:tc>
                                <w:tcPr>
                                  <w:tcW w:w="960" w:type="dxa"/>
                                  <w:tcBorders>
                                    <w:top w:val="nil"/>
                                    <w:left w:val="nil"/>
                                    <w:bottom w:val="nil"/>
                                    <w:right w:val="nil"/>
                                  </w:tcBorders>
                                  <w:noWrap/>
                                  <w:hideMark/>
                                </w:tcPr>
                                <w:p w14:paraId="0BBAF2F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E07917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3649B1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59E637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859FF0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7F9A927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7C0E839A" w14:textId="77777777" w:rsidTr="007D5332">
                              <w:trPr>
                                <w:trHeight w:val="204"/>
                              </w:trPr>
                              <w:tc>
                                <w:tcPr>
                                  <w:tcW w:w="3240" w:type="dxa"/>
                                  <w:tcBorders>
                                    <w:top w:val="nil"/>
                                    <w:left w:val="nil"/>
                                    <w:bottom w:val="nil"/>
                                    <w:right w:val="nil"/>
                                  </w:tcBorders>
                                  <w:noWrap/>
                                  <w:hideMark/>
                                </w:tcPr>
                                <w:p w14:paraId="531035FC"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Supplemental Items</w:t>
                                  </w:r>
                                </w:p>
                              </w:tc>
                              <w:tc>
                                <w:tcPr>
                                  <w:tcW w:w="960" w:type="dxa"/>
                                  <w:tcBorders>
                                    <w:top w:val="nil"/>
                                    <w:left w:val="nil"/>
                                    <w:bottom w:val="nil"/>
                                    <w:right w:val="nil"/>
                                  </w:tcBorders>
                                  <w:noWrap/>
                                  <w:hideMark/>
                                </w:tcPr>
                                <w:p w14:paraId="2FF3E7E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3B145D3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748C7B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E22B54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4918A6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0E76BBC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70FF2849" w14:textId="77777777" w:rsidTr="007D5332">
                              <w:trPr>
                                <w:trHeight w:val="204"/>
                              </w:trPr>
                              <w:tc>
                                <w:tcPr>
                                  <w:tcW w:w="3240" w:type="dxa"/>
                                  <w:tcBorders>
                                    <w:top w:val="nil"/>
                                    <w:left w:val="nil"/>
                                    <w:bottom w:val="nil"/>
                                    <w:right w:val="nil"/>
                                  </w:tcBorders>
                                  <w:noWrap/>
                                  <w:hideMark/>
                                </w:tcPr>
                                <w:p w14:paraId="53DBA1A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Interest Paid</w:t>
                                  </w:r>
                                </w:p>
                              </w:tc>
                              <w:tc>
                                <w:tcPr>
                                  <w:tcW w:w="960" w:type="dxa"/>
                                  <w:tcBorders>
                                    <w:top w:val="nil"/>
                                    <w:left w:val="nil"/>
                                    <w:bottom w:val="nil"/>
                                    <w:right w:val="nil"/>
                                  </w:tcBorders>
                                  <w:hideMark/>
                                </w:tcPr>
                                <w:p w14:paraId="2BD492E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2,464.0 </w:t>
                                  </w:r>
                                </w:p>
                              </w:tc>
                              <w:tc>
                                <w:tcPr>
                                  <w:tcW w:w="960" w:type="dxa"/>
                                  <w:tcBorders>
                                    <w:top w:val="nil"/>
                                    <w:left w:val="nil"/>
                                    <w:bottom w:val="nil"/>
                                    <w:right w:val="nil"/>
                                  </w:tcBorders>
                                  <w:hideMark/>
                                </w:tcPr>
                                <w:p w14:paraId="1514739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2,216.0 </w:t>
                                  </w:r>
                                </w:p>
                              </w:tc>
                              <w:tc>
                                <w:tcPr>
                                  <w:tcW w:w="960" w:type="dxa"/>
                                  <w:tcBorders>
                                    <w:top w:val="nil"/>
                                    <w:left w:val="nil"/>
                                    <w:bottom w:val="nil"/>
                                    <w:right w:val="nil"/>
                                  </w:tcBorders>
                                  <w:hideMark/>
                                </w:tcPr>
                                <w:p w14:paraId="4CA3799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2,237.0 </w:t>
                                  </w:r>
                                </w:p>
                              </w:tc>
                              <w:tc>
                                <w:tcPr>
                                  <w:tcW w:w="960" w:type="dxa"/>
                                  <w:tcBorders>
                                    <w:top w:val="nil"/>
                                    <w:left w:val="nil"/>
                                    <w:bottom w:val="nil"/>
                                    <w:right w:val="nil"/>
                                  </w:tcBorders>
                                  <w:hideMark/>
                                </w:tcPr>
                                <w:p w14:paraId="367C7AD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2,051.0 </w:t>
                                  </w:r>
                                </w:p>
                              </w:tc>
                              <w:tc>
                                <w:tcPr>
                                  <w:tcW w:w="960" w:type="dxa"/>
                                  <w:tcBorders>
                                    <w:top w:val="nil"/>
                                    <w:left w:val="nil"/>
                                    <w:bottom w:val="nil"/>
                                    <w:right w:val="nil"/>
                                  </w:tcBorders>
                                  <w:hideMark/>
                                </w:tcPr>
                                <w:p w14:paraId="60821E1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2,519.0 </w:t>
                                  </w:r>
                                </w:p>
                              </w:tc>
                              <w:tc>
                                <w:tcPr>
                                  <w:tcW w:w="1160" w:type="dxa"/>
                                  <w:tcBorders>
                                    <w:top w:val="nil"/>
                                    <w:left w:val="nil"/>
                                    <w:bottom w:val="nil"/>
                                    <w:right w:val="nil"/>
                                  </w:tcBorders>
                                  <w:hideMark/>
                                </w:tcPr>
                                <w:p w14:paraId="7AC84B5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NA</w:t>
                                  </w:r>
                                </w:p>
                              </w:tc>
                            </w:tr>
                            <w:tr w:rsidR="007D5332" w:rsidRPr="007D5332" w14:paraId="3DA40F6E" w14:textId="77777777" w:rsidTr="007D5332">
                              <w:trPr>
                                <w:trHeight w:val="204"/>
                              </w:trPr>
                              <w:tc>
                                <w:tcPr>
                                  <w:tcW w:w="3240" w:type="dxa"/>
                                  <w:tcBorders>
                                    <w:top w:val="nil"/>
                                    <w:left w:val="nil"/>
                                    <w:bottom w:val="nil"/>
                                    <w:right w:val="nil"/>
                                  </w:tcBorders>
                                  <w:noWrap/>
                                  <w:hideMark/>
                                </w:tcPr>
                                <w:p w14:paraId="07B9771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Taxes Paid</w:t>
                                  </w:r>
                                </w:p>
                              </w:tc>
                              <w:tc>
                                <w:tcPr>
                                  <w:tcW w:w="960" w:type="dxa"/>
                                  <w:tcBorders>
                                    <w:top w:val="nil"/>
                                    <w:left w:val="nil"/>
                                    <w:bottom w:val="nil"/>
                                    <w:right w:val="nil"/>
                                  </w:tcBorders>
                                  <w:hideMark/>
                                </w:tcPr>
                                <w:p w14:paraId="7119E5C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3,616.0 </w:t>
                                  </w:r>
                                </w:p>
                              </w:tc>
                              <w:tc>
                                <w:tcPr>
                                  <w:tcW w:w="960" w:type="dxa"/>
                                  <w:tcBorders>
                                    <w:top w:val="nil"/>
                                    <w:left w:val="nil"/>
                                    <w:bottom w:val="nil"/>
                                    <w:right w:val="nil"/>
                                  </w:tcBorders>
                                  <w:hideMark/>
                                </w:tcPr>
                                <w:p w14:paraId="0991B1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5,271.0 </w:t>
                                  </w:r>
                                </w:p>
                              </w:tc>
                              <w:tc>
                                <w:tcPr>
                                  <w:tcW w:w="960" w:type="dxa"/>
                                  <w:tcBorders>
                                    <w:top w:val="nil"/>
                                    <w:left w:val="nil"/>
                                    <w:bottom w:val="nil"/>
                                    <w:right w:val="nil"/>
                                  </w:tcBorders>
                                  <w:hideMark/>
                                </w:tcPr>
                                <w:p w14:paraId="354FA4A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5,918.0 </w:t>
                                  </w:r>
                                </w:p>
                              </w:tc>
                              <w:tc>
                                <w:tcPr>
                                  <w:tcW w:w="960" w:type="dxa"/>
                                  <w:tcBorders>
                                    <w:top w:val="nil"/>
                                    <w:left w:val="nil"/>
                                    <w:bottom w:val="nil"/>
                                    <w:right w:val="nil"/>
                                  </w:tcBorders>
                                  <w:hideMark/>
                                </w:tcPr>
                                <w:p w14:paraId="4B6C1A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3,310.0 </w:t>
                                  </w:r>
                                </w:p>
                              </w:tc>
                              <w:tc>
                                <w:tcPr>
                                  <w:tcW w:w="960" w:type="dxa"/>
                                  <w:tcBorders>
                                    <w:top w:val="nil"/>
                                    <w:left w:val="nil"/>
                                    <w:bottom w:val="nil"/>
                                    <w:right w:val="nil"/>
                                  </w:tcBorders>
                                  <w:hideMark/>
                                </w:tcPr>
                                <w:p w14:paraId="0D4DABB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5,879.0 </w:t>
                                  </w:r>
                                </w:p>
                              </w:tc>
                              <w:tc>
                                <w:tcPr>
                                  <w:tcW w:w="1160" w:type="dxa"/>
                                  <w:tcBorders>
                                    <w:top w:val="nil"/>
                                    <w:left w:val="nil"/>
                                    <w:bottom w:val="nil"/>
                                    <w:right w:val="nil"/>
                                  </w:tcBorders>
                                  <w:hideMark/>
                                </w:tcPr>
                                <w:p w14:paraId="77C0E1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NA</w:t>
                                  </w:r>
                                </w:p>
                              </w:tc>
                            </w:tr>
                            <w:tr w:rsidR="007D5332" w:rsidRPr="007D5332" w14:paraId="017C928C" w14:textId="77777777" w:rsidTr="007D5332">
                              <w:trPr>
                                <w:trHeight w:val="204"/>
                              </w:trPr>
                              <w:tc>
                                <w:tcPr>
                                  <w:tcW w:w="3240" w:type="dxa"/>
                                  <w:tcBorders>
                                    <w:top w:val="nil"/>
                                    <w:left w:val="nil"/>
                                    <w:bottom w:val="nil"/>
                                    <w:right w:val="nil"/>
                                  </w:tcBorders>
                                  <w:noWrap/>
                                  <w:hideMark/>
                                </w:tcPr>
                                <w:p w14:paraId="59F0B637"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Levered Free Cash Flow</w:t>
                                  </w:r>
                                </w:p>
                              </w:tc>
                              <w:tc>
                                <w:tcPr>
                                  <w:tcW w:w="960" w:type="dxa"/>
                                  <w:tcBorders>
                                    <w:top w:val="nil"/>
                                    <w:left w:val="nil"/>
                                    <w:bottom w:val="nil"/>
                                    <w:right w:val="nil"/>
                                  </w:tcBorders>
                                  <w:hideMark/>
                                </w:tcPr>
                                <w:p w14:paraId="028B523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14,665.1 </w:t>
                                  </w:r>
                                </w:p>
                              </w:tc>
                              <w:tc>
                                <w:tcPr>
                                  <w:tcW w:w="960" w:type="dxa"/>
                                  <w:tcBorders>
                                    <w:top w:val="nil"/>
                                    <w:left w:val="nil"/>
                                    <w:bottom w:val="nil"/>
                                    <w:right w:val="nil"/>
                                  </w:tcBorders>
                                  <w:hideMark/>
                                </w:tcPr>
                                <w:p w14:paraId="35DDF9F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12,517.6 </w:t>
                                  </w:r>
                                </w:p>
                              </w:tc>
                              <w:tc>
                                <w:tcPr>
                                  <w:tcW w:w="960" w:type="dxa"/>
                                  <w:tcBorders>
                                    <w:top w:val="nil"/>
                                    <w:left w:val="nil"/>
                                    <w:bottom w:val="nil"/>
                                    <w:right w:val="nil"/>
                                  </w:tcBorders>
                                  <w:hideMark/>
                                </w:tcPr>
                                <w:p w14:paraId="1FCA9D5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14,521.5 </w:t>
                                  </w:r>
                                </w:p>
                              </w:tc>
                              <w:tc>
                                <w:tcPr>
                                  <w:tcW w:w="960" w:type="dxa"/>
                                  <w:tcBorders>
                                    <w:top w:val="nil"/>
                                    <w:left w:val="nil"/>
                                    <w:bottom w:val="nil"/>
                                    <w:right w:val="nil"/>
                                  </w:tcBorders>
                                  <w:hideMark/>
                                </w:tcPr>
                                <w:p w14:paraId="3B022C8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12,369.0 </w:t>
                                  </w:r>
                                </w:p>
                              </w:tc>
                              <w:tc>
                                <w:tcPr>
                                  <w:tcW w:w="960" w:type="dxa"/>
                                  <w:tcBorders>
                                    <w:top w:val="nil"/>
                                    <w:left w:val="nil"/>
                                    <w:bottom w:val="nil"/>
                                    <w:right w:val="nil"/>
                                  </w:tcBorders>
                                  <w:hideMark/>
                                </w:tcPr>
                                <w:p w14:paraId="5D740E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8,848.6 </w:t>
                                  </w:r>
                                </w:p>
                              </w:tc>
                              <w:tc>
                                <w:tcPr>
                                  <w:tcW w:w="1160" w:type="dxa"/>
                                  <w:tcBorders>
                                    <w:top w:val="nil"/>
                                    <w:left w:val="nil"/>
                                    <w:bottom w:val="nil"/>
                                    <w:right w:val="nil"/>
                                  </w:tcBorders>
                                  <w:hideMark/>
                                </w:tcPr>
                                <w:p w14:paraId="48550A6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5,255.0 </w:t>
                                  </w:r>
                                </w:p>
                              </w:tc>
                            </w:tr>
                            <w:tr w:rsidR="007D5332" w:rsidRPr="007D5332" w14:paraId="47B82660" w14:textId="77777777" w:rsidTr="007D5332">
                              <w:trPr>
                                <w:trHeight w:val="204"/>
                              </w:trPr>
                              <w:tc>
                                <w:tcPr>
                                  <w:tcW w:w="3240" w:type="dxa"/>
                                  <w:tcBorders>
                                    <w:top w:val="nil"/>
                                    <w:left w:val="nil"/>
                                    <w:bottom w:val="nil"/>
                                    <w:right w:val="nil"/>
                                  </w:tcBorders>
                                  <w:noWrap/>
                                  <w:hideMark/>
                                </w:tcPr>
                                <w:p w14:paraId="230EADC6"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Unlevered Free Cash Flow</w:t>
                                  </w:r>
                                </w:p>
                              </w:tc>
                              <w:tc>
                                <w:tcPr>
                                  <w:tcW w:w="960" w:type="dxa"/>
                                  <w:tcBorders>
                                    <w:top w:val="nil"/>
                                    <w:left w:val="nil"/>
                                    <w:bottom w:val="nil"/>
                                    <w:right w:val="nil"/>
                                  </w:tcBorders>
                                  <w:hideMark/>
                                </w:tcPr>
                                <w:p w14:paraId="052D3F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16,289.5 </w:t>
                                  </w:r>
                                </w:p>
                              </w:tc>
                              <w:tc>
                                <w:tcPr>
                                  <w:tcW w:w="960" w:type="dxa"/>
                                  <w:tcBorders>
                                    <w:top w:val="nil"/>
                                    <w:left w:val="nil"/>
                                    <w:bottom w:val="nil"/>
                                    <w:right w:val="nil"/>
                                  </w:tcBorders>
                                  <w:hideMark/>
                                </w:tcPr>
                                <w:p w14:paraId="33DC7F5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13,964.5 </w:t>
                                  </w:r>
                                </w:p>
                              </w:tc>
                              <w:tc>
                                <w:tcPr>
                                  <w:tcW w:w="960" w:type="dxa"/>
                                  <w:tcBorders>
                                    <w:top w:val="nil"/>
                                    <w:left w:val="nil"/>
                                    <w:bottom w:val="nil"/>
                                    <w:right w:val="nil"/>
                                  </w:tcBorders>
                                  <w:hideMark/>
                                </w:tcPr>
                                <w:p w14:paraId="2D0D14D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15,767.8 </w:t>
                                  </w:r>
                                </w:p>
                              </w:tc>
                              <w:tc>
                                <w:tcPr>
                                  <w:tcW w:w="960" w:type="dxa"/>
                                  <w:tcBorders>
                                    <w:top w:val="nil"/>
                                    <w:left w:val="nil"/>
                                    <w:bottom w:val="nil"/>
                                    <w:right w:val="nil"/>
                                  </w:tcBorders>
                                  <w:hideMark/>
                                </w:tcPr>
                                <w:p w14:paraId="69E5461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13,699.0 </w:t>
                                  </w:r>
                                </w:p>
                              </w:tc>
                              <w:tc>
                                <w:tcPr>
                                  <w:tcW w:w="960" w:type="dxa"/>
                                  <w:tcBorders>
                                    <w:top w:val="nil"/>
                                    <w:left w:val="nil"/>
                                    <w:bottom w:val="nil"/>
                                    <w:right w:val="nil"/>
                                  </w:tcBorders>
                                  <w:hideMark/>
                                </w:tcPr>
                                <w:p w14:paraId="1BBF01F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10,525.5 </w:t>
                                  </w:r>
                                </w:p>
                              </w:tc>
                              <w:tc>
                                <w:tcPr>
                                  <w:tcW w:w="1160" w:type="dxa"/>
                                  <w:tcBorders>
                                    <w:top w:val="nil"/>
                                    <w:left w:val="nil"/>
                                    <w:bottom w:val="nil"/>
                                    <w:right w:val="nil"/>
                                  </w:tcBorders>
                                  <w:hideMark/>
                                </w:tcPr>
                                <w:p w14:paraId="09BA360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6,960.0 </w:t>
                                  </w:r>
                                </w:p>
                              </w:tc>
                            </w:tr>
                            <w:tr w:rsidR="007D5332" w:rsidRPr="007D5332" w14:paraId="3B7319C3" w14:textId="77777777" w:rsidTr="007D5332">
                              <w:trPr>
                                <w:trHeight w:val="204"/>
                              </w:trPr>
                              <w:tc>
                                <w:tcPr>
                                  <w:tcW w:w="3240" w:type="dxa"/>
                                  <w:tcBorders>
                                    <w:top w:val="nil"/>
                                    <w:left w:val="nil"/>
                                    <w:bottom w:val="nil"/>
                                    <w:right w:val="nil"/>
                                  </w:tcBorders>
                                  <w:noWrap/>
                                  <w:hideMark/>
                                </w:tcPr>
                                <w:p w14:paraId="7EA51DAB"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Net Working Capital</w:t>
                                  </w:r>
                                </w:p>
                              </w:tc>
                              <w:tc>
                                <w:tcPr>
                                  <w:tcW w:w="960" w:type="dxa"/>
                                  <w:tcBorders>
                                    <w:top w:val="nil"/>
                                    <w:left w:val="nil"/>
                                    <w:bottom w:val="nil"/>
                                    <w:right w:val="nil"/>
                                  </w:tcBorders>
                                  <w:hideMark/>
                                </w:tcPr>
                                <w:p w14:paraId="1F701F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(1,736.0)  </w:t>
                                  </w:r>
                                </w:p>
                              </w:tc>
                              <w:tc>
                                <w:tcPr>
                                  <w:tcW w:w="960" w:type="dxa"/>
                                  <w:tcBorders>
                                    <w:top w:val="nil"/>
                                    <w:left w:val="nil"/>
                                    <w:bottom w:val="nil"/>
                                    <w:right w:val="nil"/>
                                  </w:tcBorders>
                                  <w:hideMark/>
                                </w:tcPr>
                                <w:p w14:paraId="2B72B7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2,185.0 </w:t>
                                  </w:r>
                                </w:p>
                              </w:tc>
                              <w:tc>
                                <w:tcPr>
                                  <w:tcW w:w="960" w:type="dxa"/>
                                  <w:tcBorders>
                                    <w:top w:val="nil"/>
                                    <w:left w:val="nil"/>
                                    <w:bottom w:val="nil"/>
                                    <w:right w:val="nil"/>
                                  </w:tcBorders>
                                  <w:hideMark/>
                                </w:tcPr>
                                <w:p w14:paraId="6B088C5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(839.0)  </w:t>
                                  </w:r>
                                </w:p>
                              </w:tc>
                              <w:tc>
                                <w:tcPr>
                                  <w:tcW w:w="960" w:type="dxa"/>
                                  <w:tcBorders>
                                    <w:top w:val="nil"/>
                                    <w:left w:val="nil"/>
                                    <w:bottom w:val="nil"/>
                                    <w:right w:val="nil"/>
                                  </w:tcBorders>
                                  <w:hideMark/>
                                </w:tcPr>
                                <w:p w14:paraId="41FCF15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(2,703.0)  </w:t>
                                  </w:r>
                                </w:p>
                              </w:tc>
                              <w:tc>
                                <w:tcPr>
                                  <w:tcW w:w="960" w:type="dxa"/>
                                  <w:tcBorders>
                                    <w:top w:val="nil"/>
                                    <w:left w:val="nil"/>
                                    <w:bottom w:val="nil"/>
                                    <w:right w:val="nil"/>
                                  </w:tcBorders>
                                  <w:hideMark/>
                                </w:tcPr>
                                <w:p w14:paraId="1FC3B4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(303.0)  </w:t>
                                  </w:r>
                                </w:p>
                              </w:tc>
                              <w:tc>
                                <w:tcPr>
                                  <w:tcW w:w="1160" w:type="dxa"/>
                                  <w:tcBorders>
                                    <w:top w:val="nil"/>
                                    <w:left w:val="nil"/>
                                    <w:bottom w:val="nil"/>
                                    <w:right w:val="nil"/>
                                  </w:tcBorders>
                                  <w:hideMark/>
                                </w:tcPr>
                                <w:p w14:paraId="31DE62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670.0 </w:t>
                                  </w:r>
                                </w:p>
                              </w:tc>
                            </w:tr>
                            <w:tr w:rsidR="007D5332" w:rsidRPr="007D5332" w14:paraId="2AEED347" w14:textId="77777777" w:rsidTr="007D5332">
                              <w:trPr>
                                <w:trHeight w:val="204"/>
                              </w:trPr>
                              <w:tc>
                                <w:tcPr>
                                  <w:tcW w:w="3240" w:type="dxa"/>
                                  <w:tcBorders>
                                    <w:top w:val="nil"/>
                                    <w:left w:val="nil"/>
                                    <w:bottom w:val="nil"/>
                                    <w:right w:val="nil"/>
                                  </w:tcBorders>
                                  <w:noWrap/>
                                  <w:hideMark/>
                                </w:tcPr>
                                <w:p w14:paraId="49B014B9"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Net Debt Issued</w:t>
                                  </w:r>
                                </w:p>
                              </w:tc>
                              <w:tc>
                                <w:tcPr>
                                  <w:tcW w:w="960" w:type="dxa"/>
                                  <w:tcBorders>
                                    <w:top w:val="nil"/>
                                    <w:left w:val="nil"/>
                                    <w:bottom w:val="nil"/>
                                    <w:right w:val="nil"/>
                                  </w:tcBorders>
                                  <w:hideMark/>
                                </w:tcPr>
                                <w:p w14:paraId="0317D09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(1,071.0)  </w:t>
                                  </w:r>
                                </w:p>
                              </w:tc>
                              <w:tc>
                                <w:tcPr>
                                  <w:tcW w:w="960" w:type="dxa"/>
                                  <w:tcBorders>
                                    <w:top w:val="nil"/>
                                    <w:left w:val="nil"/>
                                    <w:bottom w:val="nil"/>
                                    <w:right w:val="nil"/>
                                  </w:tcBorders>
                                  <w:hideMark/>
                                </w:tcPr>
                                <w:p w14:paraId="43AA84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(5,706.0)  </w:t>
                                  </w:r>
                                </w:p>
                              </w:tc>
                              <w:tc>
                                <w:tcPr>
                                  <w:tcW w:w="960" w:type="dxa"/>
                                  <w:tcBorders>
                                    <w:top w:val="nil"/>
                                    <w:left w:val="nil"/>
                                    <w:bottom w:val="nil"/>
                                    <w:right w:val="nil"/>
                                  </w:tcBorders>
                                  <w:hideMark/>
                                </w:tcPr>
                                <w:p w14:paraId="7F9CAEB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(5,872.0)  </w:t>
                                  </w:r>
                                </w:p>
                              </w:tc>
                              <w:tc>
                                <w:tcPr>
                                  <w:tcW w:w="960" w:type="dxa"/>
                                  <w:tcBorders>
                                    <w:top w:val="nil"/>
                                    <w:left w:val="nil"/>
                                    <w:bottom w:val="nil"/>
                                    <w:right w:val="nil"/>
                                  </w:tcBorders>
                                  <w:hideMark/>
                                </w:tcPr>
                                <w:p w14:paraId="38E6F46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2,318.0 </w:t>
                                  </w:r>
                                </w:p>
                              </w:tc>
                              <w:tc>
                                <w:tcPr>
                                  <w:tcW w:w="960" w:type="dxa"/>
                                  <w:tcBorders>
                                    <w:top w:val="nil"/>
                                    <w:left w:val="nil"/>
                                    <w:bottom w:val="nil"/>
                                    <w:right w:val="nil"/>
                                  </w:tcBorders>
                                  <w:hideMark/>
                                </w:tcPr>
                                <w:p w14:paraId="0F3AD22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1,262.0 </w:t>
                                  </w:r>
                                </w:p>
                              </w:tc>
                              <w:tc>
                                <w:tcPr>
                                  <w:tcW w:w="1160" w:type="dxa"/>
                                  <w:tcBorders>
                                    <w:top w:val="nil"/>
                                    <w:left w:val="nil"/>
                                    <w:bottom w:val="nil"/>
                                    <w:right w:val="nil"/>
                                  </w:tcBorders>
                                  <w:hideMark/>
                                </w:tcPr>
                                <w:p w14:paraId="5E9C3D7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(1,256.0)  </w:t>
                                  </w:r>
                                </w:p>
                              </w:tc>
                            </w:tr>
                          </w:tbl>
                          <w:p w14:paraId="4D28AFD5" w14:textId="4A7F58B8" w:rsidR="00FB2C6B" w:rsidRDefault="00FB2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3D185" id="_x0000_s1050" type="#_x0000_t202" style="position:absolute;left:0;text-align:left;margin-left:9.6pt;margin-top:0;width:486pt;height:627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" filled="f" stroked="f">
                <v:textbox>
                  <w:txbxContent>
                    <w:tbl>
                      <w:tblPr>
                        <w:tblW w:w="9200" w:type="dxa"/>
                        <w:tblLook w:val="04A0" w:firstRow="1" w:lastRow="0" w:firstColumn="1" w:lastColumn="0" w:noHBand="0" w:noVBand="1"/>
                      </w:tblPr>
                      <w:tblGrid>
                        <w:gridCol w:w="3240"/>
                        <w:gridCol w:w="960"/>
                        <w:gridCol w:w="960"/>
                        <w:gridCol w:w="960"/>
                        <w:gridCol w:w="960"/>
                        <w:gridCol w:w="960"/>
                        <w:gridCol w:w="1160"/>
                      </w:tblGrid>
                      <w:tr w:rsidR="007D5332" w:rsidRPr="007D5332" w14:paraId="7FF6511A" w14:textId="77777777" w:rsidTr="007D5332">
                        <w:trPr>
                          <w:trHeight w:val="324"/>
                        </w:trPr>
                        <w:tc>
                          <w:tcPr>
                            <w:tcW w:w="8040" w:type="dxa"/>
                            <w:gridSpan w:val="6"/>
                            <w:tcBorders>
                              <w:top w:val="nil"/>
                              <w:left w:val="nil"/>
                              <w:bottom w:val="nil"/>
                              <w:right w:val="nil"/>
                            </w:tcBorders>
                            <w:noWrap/>
                            <w:vAlign w:val="bottom"/>
                            <w:hideMark/>
                          </w:tcPr>
                          <w:p w14:paraId="784CEF73"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Walmart Inc. (</w:t>
                            </w:r>
                            <w:r w:rsidRPr="007D5332">
                              <w:rPr>
                                <w:rFonts w:ascii="Cambria" w:eastAsia="Times New Roman" w:hAnsi="Cambria" w:cs="Arial"/>
                                <w:b/>
                                <w:bCs/>
                                <w:color w:val="000000"/>
                                <w:kern w:val="0"/>
                                <w:sz w:val="14"/>
                                <w:szCs w:val="14"/>
                                <w:lang w:eastAsia="en-IN"/>
                                <w14:ligatures w14:val="none"/>
                              </w:rPr>
                              <w:t>NYSE:WMT) &gt; Financials &gt; Cash Flow</w:t>
                            </w:r>
                          </w:p>
                        </w:tc>
                        <w:tc>
                          <w:tcPr>
                            <w:tcW w:w="1160" w:type="dxa"/>
                            <w:tcBorders>
                              <w:top w:val="nil"/>
                              <w:left w:val="nil"/>
                              <w:bottom w:val="nil"/>
                              <w:right w:val="nil"/>
                            </w:tcBorders>
                            <w:noWrap/>
                            <w:vAlign w:val="bottom"/>
                            <w:hideMark/>
                          </w:tcPr>
                          <w:p w14:paraId="3A8AF56E"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r>
                      <w:tr w:rsidR="007D5332" w:rsidRPr="007D5332" w14:paraId="7F5AEB39" w14:textId="77777777" w:rsidTr="007D5332">
                        <w:trPr>
                          <w:trHeight w:val="204"/>
                        </w:trPr>
                        <w:tc>
                          <w:tcPr>
                            <w:tcW w:w="3240" w:type="dxa"/>
                            <w:tcBorders>
                              <w:top w:val="nil"/>
                              <w:left w:val="nil"/>
                              <w:bottom w:val="nil"/>
                              <w:right w:val="nil"/>
                            </w:tcBorders>
                            <w:shd w:val="clear" w:color="000000" w:fill="003366"/>
                            <w:noWrap/>
                            <w:vAlign w:val="bottom"/>
                            <w:hideMark/>
                          </w:tcPr>
                          <w:p w14:paraId="279251FA"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Cash Flow</w:t>
                            </w:r>
                          </w:p>
                        </w:tc>
                        <w:tc>
                          <w:tcPr>
                            <w:tcW w:w="960" w:type="dxa"/>
                            <w:tcBorders>
                              <w:top w:val="nil"/>
                              <w:left w:val="nil"/>
                              <w:bottom w:val="nil"/>
                              <w:right w:val="nil"/>
                            </w:tcBorders>
                            <w:shd w:val="clear" w:color="000000" w:fill="003366"/>
                            <w:noWrap/>
                            <w:vAlign w:val="bottom"/>
                            <w:hideMark/>
                          </w:tcPr>
                          <w:p w14:paraId="335F9D4B"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762205EF"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124A8ACD"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50BBA061"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960" w:type="dxa"/>
                            <w:tcBorders>
                              <w:top w:val="nil"/>
                              <w:left w:val="nil"/>
                              <w:bottom w:val="nil"/>
                              <w:right w:val="nil"/>
                            </w:tcBorders>
                            <w:shd w:val="clear" w:color="000000" w:fill="003366"/>
                            <w:noWrap/>
                            <w:vAlign w:val="bottom"/>
                            <w:hideMark/>
                          </w:tcPr>
                          <w:p w14:paraId="49049523"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c>
                          <w:tcPr>
                            <w:tcW w:w="1160" w:type="dxa"/>
                            <w:tcBorders>
                              <w:top w:val="nil"/>
                              <w:left w:val="nil"/>
                              <w:bottom w:val="nil"/>
                              <w:right w:val="nil"/>
                            </w:tcBorders>
                            <w:shd w:val="clear" w:color="000000" w:fill="003366"/>
                            <w:noWrap/>
                            <w:vAlign w:val="bottom"/>
                            <w:hideMark/>
                          </w:tcPr>
                          <w:p w14:paraId="4FDA28C5" w14:textId="77777777" w:rsidR="007D5332" w:rsidRPr="007D5332" w:rsidRDefault="007D5332" w:rsidP="007D5332">
                            <w:pPr>
                              <w:spacing w:after="0" w:line="240" w:lineRule="auto"/>
                              <w:rPr>
                                <w:rFonts w:ascii="Cambria" w:eastAsia="Times New Roman" w:hAnsi="Cambria" w:cs="Arial"/>
                                <w:b/>
                                <w:bCs/>
                                <w:color w:val="FFFFFF"/>
                                <w:kern w:val="0"/>
                                <w:sz w:val="14"/>
                                <w:szCs w:val="14"/>
                                <w:lang w:eastAsia="en-IN"/>
                                <w14:ligatures w14:val="none"/>
                              </w:rPr>
                            </w:pPr>
                            <w:r w:rsidRPr="007D5332">
                              <w:rPr>
                                <w:rFonts w:ascii="Cambria" w:eastAsia="Times New Roman" w:hAnsi="Cambria" w:cs="Arial"/>
                                <w:b/>
                                <w:bCs/>
                                <w:color w:val="FFFFFF"/>
                                <w:kern w:val="0"/>
                                <w:sz w:val="14"/>
                                <w:szCs w:val="14"/>
                                <w:lang w:eastAsia="en-IN"/>
                                <w14:ligatures w14:val="none"/>
                              </w:rPr>
                              <w:t> </w:t>
                            </w:r>
                          </w:p>
                        </w:tc>
                      </w:tr>
                      <w:tr w:rsidR="007D5332" w:rsidRPr="007D5332" w14:paraId="1A3494AD" w14:textId="77777777" w:rsidTr="007D5332">
                        <w:trPr>
                          <w:trHeight w:val="612"/>
                        </w:trPr>
                        <w:tc>
                          <w:tcPr>
                            <w:tcW w:w="3240" w:type="dxa"/>
                            <w:tcBorders>
                              <w:top w:val="nil"/>
                              <w:left w:val="nil"/>
                              <w:bottom w:val="nil"/>
                              <w:right w:val="nil"/>
                            </w:tcBorders>
                            <w:shd w:val="clear" w:color="000000" w:fill="F0F0DC"/>
                            <w:vAlign w:val="bottom"/>
                            <w:hideMark/>
                          </w:tcPr>
                          <w:p w14:paraId="5DFEEBDB"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For the Fiscal Period Ending</w:t>
                            </w:r>
                          </w:p>
                        </w:tc>
                        <w:tc>
                          <w:tcPr>
                            <w:tcW w:w="960" w:type="dxa"/>
                            <w:tcBorders>
                              <w:top w:val="nil"/>
                              <w:left w:val="nil"/>
                              <w:bottom w:val="nil"/>
                              <w:right w:val="nil"/>
                            </w:tcBorders>
                            <w:shd w:val="clear" w:color="000000" w:fill="F0F0DC"/>
                            <w:vAlign w:val="bottom"/>
                            <w:hideMark/>
                          </w:tcPr>
                          <w:p w14:paraId="17AB1E0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Jan-31-2020</w:t>
                            </w:r>
                          </w:p>
                        </w:tc>
                        <w:tc>
                          <w:tcPr>
                            <w:tcW w:w="960" w:type="dxa"/>
                            <w:tcBorders>
                              <w:top w:val="nil"/>
                              <w:left w:val="nil"/>
                              <w:bottom w:val="nil"/>
                              <w:right w:val="nil"/>
                            </w:tcBorders>
                            <w:shd w:val="clear" w:color="000000" w:fill="F0F0DC"/>
                            <w:vAlign w:val="bottom"/>
                            <w:hideMark/>
                          </w:tcPr>
                          <w:p w14:paraId="1AABDAD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Jan-31-2021</w:t>
                            </w:r>
                          </w:p>
                        </w:tc>
                        <w:tc>
                          <w:tcPr>
                            <w:tcW w:w="960" w:type="dxa"/>
                            <w:tcBorders>
                              <w:top w:val="nil"/>
                              <w:left w:val="nil"/>
                              <w:bottom w:val="nil"/>
                              <w:right w:val="nil"/>
                            </w:tcBorders>
                            <w:shd w:val="clear" w:color="000000" w:fill="F0F0DC"/>
                            <w:vAlign w:val="bottom"/>
                            <w:hideMark/>
                          </w:tcPr>
                          <w:p w14:paraId="4DF7645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Jan-31-2022</w:t>
                            </w:r>
                          </w:p>
                        </w:tc>
                        <w:tc>
                          <w:tcPr>
                            <w:tcW w:w="960" w:type="dxa"/>
                            <w:tcBorders>
                              <w:top w:val="nil"/>
                              <w:left w:val="nil"/>
                              <w:bottom w:val="nil"/>
                              <w:right w:val="nil"/>
                            </w:tcBorders>
                            <w:shd w:val="clear" w:color="000000" w:fill="F0F0DC"/>
                            <w:vAlign w:val="bottom"/>
                            <w:hideMark/>
                          </w:tcPr>
                          <w:p w14:paraId="26D034B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Jan-31-2023</w:t>
                            </w:r>
                          </w:p>
                        </w:tc>
                        <w:tc>
                          <w:tcPr>
                            <w:tcW w:w="960" w:type="dxa"/>
                            <w:tcBorders>
                              <w:top w:val="nil"/>
                              <w:left w:val="nil"/>
                              <w:bottom w:val="nil"/>
                              <w:right w:val="nil"/>
                            </w:tcBorders>
                            <w:shd w:val="clear" w:color="000000" w:fill="F0F0DC"/>
                            <w:vAlign w:val="bottom"/>
                            <w:hideMark/>
                          </w:tcPr>
                          <w:p w14:paraId="1C8340A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12 months</w:t>
                            </w:r>
                            <w:r w:rsidRPr="007D5332">
                              <w:rPr>
                                <w:rFonts w:ascii="Cambria" w:eastAsia="Times New Roman" w:hAnsi="Cambria" w:cs="Arial"/>
                                <w:b/>
                                <w:bCs/>
                                <w:color w:val="000000"/>
                                <w:kern w:val="0"/>
                                <w:sz w:val="14"/>
                                <w:szCs w:val="14"/>
                                <w:lang w:eastAsia="en-IN"/>
                                <w14:ligatures w14:val="none"/>
                              </w:rPr>
                              <w:br/>
                              <w:t>Jan-31-2024</w:t>
                            </w:r>
                          </w:p>
                        </w:tc>
                        <w:tc>
                          <w:tcPr>
                            <w:tcW w:w="1160" w:type="dxa"/>
                            <w:tcBorders>
                              <w:top w:val="nil"/>
                              <w:left w:val="nil"/>
                              <w:bottom w:val="nil"/>
                              <w:right w:val="nil"/>
                            </w:tcBorders>
                            <w:shd w:val="clear" w:color="000000" w:fill="F0F0DC"/>
                            <w:vAlign w:val="bottom"/>
                            <w:hideMark/>
                          </w:tcPr>
                          <w:p w14:paraId="7253F6E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Press Release</w:t>
                            </w:r>
                            <w:r w:rsidRPr="007D5332">
                              <w:rPr>
                                <w:rFonts w:ascii="Cambria" w:eastAsia="Times New Roman" w:hAnsi="Cambria" w:cs="Arial"/>
                                <w:b/>
                                <w:bCs/>
                                <w:color w:val="000000"/>
                                <w:kern w:val="0"/>
                                <w:sz w:val="14"/>
                                <w:szCs w:val="14"/>
                                <w:lang w:eastAsia="en-IN"/>
                                <w14:ligatures w14:val="none"/>
                              </w:rPr>
                              <w:br/>
                              <w:t>12 months</w:t>
                            </w:r>
                            <w:r w:rsidRPr="007D5332">
                              <w:rPr>
                                <w:rFonts w:ascii="Cambria" w:eastAsia="Times New Roman" w:hAnsi="Cambria" w:cs="Arial"/>
                                <w:b/>
                                <w:bCs/>
                                <w:color w:val="000000"/>
                                <w:kern w:val="0"/>
                                <w:sz w:val="14"/>
                                <w:szCs w:val="14"/>
                                <w:lang w:eastAsia="en-IN"/>
                                <w14:ligatures w14:val="none"/>
                              </w:rPr>
                              <w:br/>
                              <w:t>Jan-31-2025</w:t>
                            </w:r>
                          </w:p>
                        </w:tc>
                      </w:tr>
                      <w:tr w:rsidR="007D5332" w:rsidRPr="007D5332" w14:paraId="4BED4B09" w14:textId="77777777" w:rsidTr="007D5332">
                        <w:trPr>
                          <w:trHeight w:val="204"/>
                        </w:trPr>
                        <w:tc>
                          <w:tcPr>
                            <w:tcW w:w="3240" w:type="dxa"/>
                            <w:tcBorders>
                              <w:top w:val="nil"/>
                              <w:left w:val="nil"/>
                              <w:bottom w:val="nil"/>
                              <w:right w:val="nil"/>
                            </w:tcBorders>
                            <w:shd w:val="clear" w:color="000000" w:fill="F0F0DC"/>
                            <w:vAlign w:val="bottom"/>
                            <w:hideMark/>
                          </w:tcPr>
                          <w:p w14:paraId="6E387BB3" w14:textId="77777777" w:rsidR="007D5332" w:rsidRPr="007D5332" w:rsidRDefault="007D5332" w:rsidP="007D5332">
                            <w:pPr>
                              <w:spacing w:after="0" w:line="240" w:lineRule="auto"/>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Currency</w:t>
                            </w:r>
                          </w:p>
                        </w:tc>
                        <w:tc>
                          <w:tcPr>
                            <w:tcW w:w="960" w:type="dxa"/>
                            <w:tcBorders>
                              <w:top w:val="nil"/>
                              <w:left w:val="nil"/>
                              <w:bottom w:val="nil"/>
                              <w:right w:val="nil"/>
                            </w:tcBorders>
                            <w:shd w:val="clear" w:color="000000" w:fill="F0F0DC"/>
                            <w:vAlign w:val="bottom"/>
                            <w:hideMark/>
                          </w:tcPr>
                          <w:p w14:paraId="07EE6D7A"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60EAA714"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2518883A"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392EEA5E"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960" w:type="dxa"/>
                            <w:tcBorders>
                              <w:top w:val="nil"/>
                              <w:left w:val="nil"/>
                              <w:bottom w:val="nil"/>
                              <w:right w:val="nil"/>
                            </w:tcBorders>
                            <w:shd w:val="clear" w:color="000000" w:fill="F0F0DC"/>
                            <w:vAlign w:val="bottom"/>
                            <w:hideMark/>
                          </w:tcPr>
                          <w:p w14:paraId="57E1F50F"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c>
                          <w:tcPr>
                            <w:tcW w:w="1160" w:type="dxa"/>
                            <w:tcBorders>
                              <w:top w:val="nil"/>
                              <w:left w:val="nil"/>
                              <w:bottom w:val="nil"/>
                              <w:right w:val="nil"/>
                            </w:tcBorders>
                            <w:shd w:val="clear" w:color="000000" w:fill="F0F0DC"/>
                            <w:vAlign w:val="bottom"/>
                            <w:hideMark/>
                          </w:tcPr>
                          <w:p w14:paraId="12832348" w14:textId="77777777" w:rsidR="007D5332" w:rsidRPr="007D5332" w:rsidRDefault="007D5332" w:rsidP="007D5332">
                            <w:pPr>
                              <w:spacing w:after="0" w:line="240" w:lineRule="auto"/>
                              <w:jc w:val="right"/>
                              <w:rPr>
                                <w:rFonts w:ascii="Cambria" w:eastAsia="Times New Roman" w:hAnsi="Cambria" w:cs="Arial"/>
                                <w:b/>
                                <w:bCs/>
                                <w:i/>
                                <w:iCs/>
                                <w:color w:val="000000"/>
                                <w:kern w:val="0"/>
                                <w:sz w:val="14"/>
                                <w:szCs w:val="14"/>
                                <w:lang w:eastAsia="en-IN"/>
                                <w14:ligatures w14:val="none"/>
                              </w:rPr>
                            </w:pPr>
                            <w:r w:rsidRPr="007D5332">
                              <w:rPr>
                                <w:rFonts w:ascii="Cambria" w:eastAsia="Times New Roman" w:hAnsi="Cambria" w:cs="Arial"/>
                                <w:b/>
                                <w:bCs/>
                                <w:i/>
                                <w:iCs/>
                                <w:color w:val="000000"/>
                                <w:kern w:val="0"/>
                                <w:sz w:val="14"/>
                                <w:szCs w:val="14"/>
                                <w:lang w:eastAsia="en-IN"/>
                                <w14:ligatures w14:val="none"/>
                              </w:rPr>
                              <w:t>USD</w:t>
                            </w:r>
                          </w:p>
                        </w:tc>
                      </w:tr>
                      <w:tr w:rsidR="007D5332" w:rsidRPr="007D5332" w14:paraId="380C9444" w14:textId="77777777" w:rsidTr="007D5332">
                        <w:trPr>
                          <w:trHeight w:val="204"/>
                        </w:trPr>
                        <w:tc>
                          <w:tcPr>
                            <w:tcW w:w="3240" w:type="dxa"/>
                            <w:tcBorders>
                              <w:top w:val="nil"/>
                              <w:left w:val="nil"/>
                              <w:bottom w:val="nil"/>
                              <w:right w:val="nil"/>
                            </w:tcBorders>
                            <w:noWrap/>
                            <w:hideMark/>
                          </w:tcPr>
                          <w:p w14:paraId="696475DA"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w:t>
                            </w:r>
                          </w:p>
                        </w:tc>
                        <w:tc>
                          <w:tcPr>
                            <w:tcW w:w="960" w:type="dxa"/>
                            <w:tcBorders>
                              <w:top w:val="nil"/>
                              <w:left w:val="nil"/>
                              <w:bottom w:val="nil"/>
                              <w:right w:val="nil"/>
                            </w:tcBorders>
                            <w:noWrap/>
                            <w:hideMark/>
                          </w:tcPr>
                          <w:p w14:paraId="4E0A2760"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76957F6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045004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228CC2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22CF9F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127F487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6E4925A7" w14:textId="77777777" w:rsidTr="007D5332">
                        <w:trPr>
                          <w:trHeight w:val="204"/>
                        </w:trPr>
                        <w:tc>
                          <w:tcPr>
                            <w:tcW w:w="3240" w:type="dxa"/>
                            <w:tcBorders>
                              <w:top w:val="nil"/>
                              <w:left w:val="nil"/>
                              <w:bottom w:val="nil"/>
                              <w:right w:val="nil"/>
                            </w:tcBorders>
                            <w:noWrap/>
                            <w:hideMark/>
                          </w:tcPr>
                          <w:p w14:paraId="55A0CFAA"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Net Income</w:t>
                            </w:r>
                          </w:p>
                        </w:tc>
                        <w:tc>
                          <w:tcPr>
                            <w:tcW w:w="960" w:type="dxa"/>
                            <w:tcBorders>
                              <w:top w:val="nil"/>
                              <w:left w:val="nil"/>
                              <w:bottom w:val="nil"/>
                              <w:right w:val="nil"/>
                            </w:tcBorders>
                            <w:hideMark/>
                          </w:tcPr>
                          <w:p w14:paraId="154B9A3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14,881.0 </w:t>
                            </w:r>
                          </w:p>
                        </w:tc>
                        <w:tc>
                          <w:tcPr>
                            <w:tcW w:w="960" w:type="dxa"/>
                            <w:tcBorders>
                              <w:top w:val="nil"/>
                              <w:left w:val="nil"/>
                              <w:bottom w:val="nil"/>
                              <w:right w:val="nil"/>
                            </w:tcBorders>
                            <w:hideMark/>
                          </w:tcPr>
                          <w:p w14:paraId="10688B6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13,510.0 </w:t>
                            </w:r>
                          </w:p>
                        </w:tc>
                        <w:tc>
                          <w:tcPr>
                            <w:tcW w:w="960" w:type="dxa"/>
                            <w:tcBorders>
                              <w:top w:val="nil"/>
                              <w:left w:val="nil"/>
                              <w:bottom w:val="nil"/>
                              <w:right w:val="nil"/>
                            </w:tcBorders>
                            <w:hideMark/>
                          </w:tcPr>
                          <w:p w14:paraId="15B78F5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13,673.0 </w:t>
                            </w:r>
                          </w:p>
                        </w:tc>
                        <w:tc>
                          <w:tcPr>
                            <w:tcW w:w="960" w:type="dxa"/>
                            <w:tcBorders>
                              <w:top w:val="nil"/>
                              <w:left w:val="nil"/>
                              <w:bottom w:val="nil"/>
                              <w:right w:val="nil"/>
                            </w:tcBorders>
                            <w:hideMark/>
                          </w:tcPr>
                          <w:p w14:paraId="3E0379B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11,680.0 </w:t>
                            </w:r>
                          </w:p>
                        </w:tc>
                        <w:tc>
                          <w:tcPr>
                            <w:tcW w:w="960" w:type="dxa"/>
                            <w:tcBorders>
                              <w:top w:val="nil"/>
                              <w:left w:val="nil"/>
                              <w:bottom w:val="nil"/>
                              <w:right w:val="nil"/>
                            </w:tcBorders>
                            <w:hideMark/>
                          </w:tcPr>
                          <w:p w14:paraId="26612B4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15,511.0 </w:t>
                            </w:r>
                          </w:p>
                        </w:tc>
                        <w:tc>
                          <w:tcPr>
                            <w:tcW w:w="1160" w:type="dxa"/>
                            <w:tcBorders>
                              <w:top w:val="nil"/>
                              <w:left w:val="nil"/>
                              <w:bottom w:val="nil"/>
                              <w:right w:val="nil"/>
                            </w:tcBorders>
                            <w:hideMark/>
                          </w:tcPr>
                          <w:p w14:paraId="78C6662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19,436.0 </w:t>
                            </w:r>
                          </w:p>
                        </w:tc>
                      </w:tr>
                      <w:tr w:rsidR="007D5332" w:rsidRPr="007D5332" w14:paraId="3DBB7B3C" w14:textId="77777777" w:rsidTr="007D5332">
                        <w:trPr>
                          <w:trHeight w:val="204"/>
                        </w:trPr>
                        <w:tc>
                          <w:tcPr>
                            <w:tcW w:w="3240" w:type="dxa"/>
                            <w:tcBorders>
                              <w:top w:val="nil"/>
                              <w:left w:val="nil"/>
                              <w:bottom w:val="nil"/>
                              <w:right w:val="nil"/>
                            </w:tcBorders>
                            <w:noWrap/>
                            <w:hideMark/>
                          </w:tcPr>
                          <w:p w14:paraId="073668E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Depreciation &amp; Amort.</w:t>
                            </w:r>
                          </w:p>
                        </w:tc>
                        <w:tc>
                          <w:tcPr>
                            <w:tcW w:w="960" w:type="dxa"/>
                            <w:tcBorders>
                              <w:top w:val="nil"/>
                              <w:left w:val="nil"/>
                              <w:bottom w:val="nil"/>
                              <w:right w:val="nil"/>
                            </w:tcBorders>
                            <w:hideMark/>
                          </w:tcPr>
                          <w:p w14:paraId="4D6291A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10,987.0 </w:t>
                            </w:r>
                          </w:p>
                        </w:tc>
                        <w:tc>
                          <w:tcPr>
                            <w:tcW w:w="960" w:type="dxa"/>
                            <w:tcBorders>
                              <w:top w:val="nil"/>
                              <w:left w:val="nil"/>
                              <w:bottom w:val="nil"/>
                              <w:right w:val="nil"/>
                            </w:tcBorders>
                            <w:hideMark/>
                          </w:tcPr>
                          <w:p w14:paraId="597973B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11,152.0 </w:t>
                            </w:r>
                          </w:p>
                        </w:tc>
                        <w:tc>
                          <w:tcPr>
                            <w:tcW w:w="960" w:type="dxa"/>
                            <w:tcBorders>
                              <w:top w:val="nil"/>
                              <w:left w:val="nil"/>
                              <w:bottom w:val="nil"/>
                              <w:right w:val="nil"/>
                            </w:tcBorders>
                            <w:hideMark/>
                          </w:tcPr>
                          <w:p w14:paraId="23588C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10,658.0 </w:t>
                            </w:r>
                          </w:p>
                        </w:tc>
                        <w:tc>
                          <w:tcPr>
                            <w:tcW w:w="960" w:type="dxa"/>
                            <w:tcBorders>
                              <w:top w:val="nil"/>
                              <w:left w:val="nil"/>
                              <w:bottom w:val="nil"/>
                              <w:right w:val="nil"/>
                            </w:tcBorders>
                            <w:hideMark/>
                          </w:tcPr>
                          <w:p w14:paraId="170AF32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10,945.0 </w:t>
                            </w:r>
                          </w:p>
                        </w:tc>
                        <w:tc>
                          <w:tcPr>
                            <w:tcW w:w="960" w:type="dxa"/>
                            <w:tcBorders>
                              <w:top w:val="nil"/>
                              <w:left w:val="nil"/>
                              <w:bottom w:val="nil"/>
                              <w:right w:val="nil"/>
                            </w:tcBorders>
                            <w:hideMark/>
                          </w:tcPr>
                          <w:p w14:paraId="1A1F44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11,853.0 </w:t>
                            </w:r>
                          </w:p>
                        </w:tc>
                        <w:tc>
                          <w:tcPr>
                            <w:tcW w:w="1160" w:type="dxa"/>
                            <w:tcBorders>
                              <w:top w:val="nil"/>
                              <w:left w:val="nil"/>
                              <w:bottom w:val="nil"/>
                              <w:right w:val="nil"/>
                            </w:tcBorders>
                            <w:hideMark/>
                          </w:tcPr>
                          <w:p w14:paraId="3C9511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12,973.0 </w:t>
                            </w:r>
                          </w:p>
                        </w:tc>
                      </w:tr>
                      <w:tr w:rsidR="007D5332" w:rsidRPr="007D5332" w14:paraId="1B15A8B9" w14:textId="77777777" w:rsidTr="007D5332">
                        <w:trPr>
                          <w:trHeight w:val="204"/>
                        </w:trPr>
                        <w:tc>
                          <w:tcPr>
                            <w:tcW w:w="3240" w:type="dxa"/>
                            <w:tcBorders>
                              <w:top w:val="nil"/>
                              <w:left w:val="nil"/>
                              <w:bottom w:val="nil"/>
                              <w:right w:val="nil"/>
                            </w:tcBorders>
                            <w:noWrap/>
                            <w:hideMark/>
                          </w:tcPr>
                          <w:p w14:paraId="5C73750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Depreciation &amp; Amort., Total</w:t>
                            </w:r>
                          </w:p>
                        </w:tc>
                        <w:tc>
                          <w:tcPr>
                            <w:tcW w:w="960" w:type="dxa"/>
                            <w:tcBorders>
                              <w:top w:val="single" w:sz="4" w:space="0" w:color="000000"/>
                              <w:left w:val="nil"/>
                              <w:bottom w:val="nil"/>
                              <w:right w:val="nil"/>
                            </w:tcBorders>
                            <w:hideMark/>
                          </w:tcPr>
                          <w:p w14:paraId="545D6B4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10,987.0 </w:t>
                            </w:r>
                          </w:p>
                        </w:tc>
                        <w:tc>
                          <w:tcPr>
                            <w:tcW w:w="960" w:type="dxa"/>
                            <w:tcBorders>
                              <w:top w:val="single" w:sz="4" w:space="0" w:color="000000"/>
                              <w:left w:val="nil"/>
                              <w:bottom w:val="nil"/>
                              <w:right w:val="nil"/>
                            </w:tcBorders>
                            <w:hideMark/>
                          </w:tcPr>
                          <w:p w14:paraId="1EE9658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11,152.0 </w:t>
                            </w:r>
                          </w:p>
                        </w:tc>
                        <w:tc>
                          <w:tcPr>
                            <w:tcW w:w="960" w:type="dxa"/>
                            <w:tcBorders>
                              <w:top w:val="single" w:sz="4" w:space="0" w:color="000000"/>
                              <w:left w:val="nil"/>
                              <w:bottom w:val="nil"/>
                              <w:right w:val="nil"/>
                            </w:tcBorders>
                            <w:hideMark/>
                          </w:tcPr>
                          <w:p w14:paraId="7AE9952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10,658.0 </w:t>
                            </w:r>
                          </w:p>
                        </w:tc>
                        <w:tc>
                          <w:tcPr>
                            <w:tcW w:w="960" w:type="dxa"/>
                            <w:tcBorders>
                              <w:top w:val="single" w:sz="4" w:space="0" w:color="000000"/>
                              <w:left w:val="nil"/>
                              <w:bottom w:val="nil"/>
                              <w:right w:val="nil"/>
                            </w:tcBorders>
                            <w:hideMark/>
                          </w:tcPr>
                          <w:p w14:paraId="6E0B1B0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10,945.0 </w:t>
                            </w:r>
                          </w:p>
                        </w:tc>
                        <w:tc>
                          <w:tcPr>
                            <w:tcW w:w="960" w:type="dxa"/>
                            <w:tcBorders>
                              <w:top w:val="single" w:sz="4" w:space="0" w:color="000000"/>
                              <w:left w:val="nil"/>
                              <w:bottom w:val="nil"/>
                              <w:right w:val="nil"/>
                            </w:tcBorders>
                            <w:hideMark/>
                          </w:tcPr>
                          <w:p w14:paraId="3B19E2E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11,853.0 </w:t>
                            </w:r>
                          </w:p>
                        </w:tc>
                        <w:tc>
                          <w:tcPr>
                            <w:tcW w:w="1160" w:type="dxa"/>
                            <w:tcBorders>
                              <w:top w:val="single" w:sz="4" w:space="0" w:color="000000"/>
                              <w:left w:val="nil"/>
                              <w:bottom w:val="nil"/>
                              <w:right w:val="nil"/>
                            </w:tcBorders>
                            <w:hideMark/>
                          </w:tcPr>
                          <w:p w14:paraId="6B2239F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12,973.0 </w:t>
                            </w:r>
                          </w:p>
                        </w:tc>
                      </w:tr>
                      <w:tr w:rsidR="007D5332" w:rsidRPr="007D5332" w14:paraId="373BED12" w14:textId="77777777" w:rsidTr="007D5332">
                        <w:trPr>
                          <w:trHeight w:val="204"/>
                        </w:trPr>
                        <w:tc>
                          <w:tcPr>
                            <w:tcW w:w="3240" w:type="dxa"/>
                            <w:tcBorders>
                              <w:top w:val="nil"/>
                              <w:left w:val="nil"/>
                              <w:bottom w:val="nil"/>
                              <w:right w:val="nil"/>
                            </w:tcBorders>
                            <w:noWrap/>
                            <w:hideMark/>
                          </w:tcPr>
                          <w:p w14:paraId="28F6707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1146367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DA5336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5B1AFA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CACDDE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EC9DC4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111394B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63282528" w14:textId="77777777" w:rsidTr="007D5332">
                        <w:trPr>
                          <w:trHeight w:val="204"/>
                        </w:trPr>
                        <w:tc>
                          <w:tcPr>
                            <w:tcW w:w="3240" w:type="dxa"/>
                            <w:tcBorders>
                              <w:top w:val="nil"/>
                              <w:left w:val="nil"/>
                              <w:bottom w:val="nil"/>
                              <w:right w:val="nil"/>
                            </w:tcBorders>
                            <w:noWrap/>
                            <w:hideMark/>
                          </w:tcPr>
                          <w:p w14:paraId="110289C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(Gain) Loss From Sale Of Assets</w:t>
                            </w:r>
                          </w:p>
                        </w:tc>
                        <w:tc>
                          <w:tcPr>
                            <w:tcW w:w="960" w:type="dxa"/>
                            <w:tcBorders>
                              <w:top w:val="nil"/>
                              <w:left w:val="nil"/>
                              <w:bottom w:val="nil"/>
                              <w:right w:val="nil"/>
                            </w:tcBorders>
                            <w:hideMark/>
                          </w:tcPr>
                          <w:p w14:paraId="296D7B8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15.0 </w:t>
                            </w:r>
                          </w:p>
                        </w:tc>
                        <w:tc>
                          <w:tcPr>
                            <w:tcW w:w="960" w:type="dxa"/>
                            <w:tcBorders>
                              <w:top w:val="nil"/>
                              <w:left w:val="nil"/>
                              <w:bottom w:val="nil"/>
                              <w:right w:val="nil"/>
                            </w:tcBorders>
                            <w:hideMark/>
                          </w:tcPr>
                          <w:p w14:paraId="6827CB4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8,401.0 </w:t>
                            </w:r>
                          </w:p>
                        </w:tc>
                        <w:tc>
                          <w:tcPr>
                            <w:tcW w:w="960" w:type="dxa"/>
                            <w:tcBorders>
                              <w:top w:val="nil"/>
                              <w:left w:val="nil"/>
                              <w:bottom w:val="nil"/>
                              <w:right w:val="nil"/>
                            </w:tcBorders>
                            <w:hideMark/>
                          </w:tcPr>
                          <w:p w14:paraId="59ADF3E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433.0 </w:t>
                            </w:r>
                          </w:p>
                        </w:tc>
                        <w:tc>
                          <w:tcPr>
                            <w:tcW w:w="960" w:type="dxa"/>
                            <w:tcBorders>
                              <w:top w:val="nil"/>
                              <w:left w:val="nil"/>
                              <w:bottom w:val="nil"/>
                              <w:right w:val="nil"/>
                            </w:tcBorders>
                            <w:hideMark/>
                          </w:tcPr>
                          <w:p w14:paraId="0171C21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4301E3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4504C5E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343C7DA7" w14:textId="77777777" w:rsidTr="007D5332">
                        <w:trPr>
                          <w:trHeight w:val="204"/>
                        </w:trPr>
                        <w:tc>
                          <w:tcPr>
                            <w:tcW w:w="3240" w:type="dxa"/>
                            <w:tcBorders>
                              <w:top w:val="nil"/>
                              <w:left w:val="nil"/>
                              <w:bottom w:val="nil"/>
                              <w:right w:val="nil"/>
                            </w:tcBorders>
                            <w:noWrap/>
                            <w:hideMark/>
                          </w:tcPr>
                          <w:p w14:paraId="1626570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(Gain) Loss On Sale Of Invest.</w:t>
                            </w:r>
                          </w:p>
                        </w:tc>
                        <w:tc>
                          <w:tcPr>
                            <w:tcW w:w="960" w:type="dxa"/>
                            <w:tcBorders>
                              <w:top w:val="nil"/>
                              <w:left w:val="nil"/>
                              <w:bottom w:val="nil"/>
                              <w:right w:val="nil"/>
                            </w:tcBorders>
                            <w:hideMark/>
                          </w:tcPr>
                          <w:p w14:paraId="57E4BBA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(1,886.0)  </w:t>
                            </w:r>
                          </w:p>
                        </w:tc>
                        <w:tc>
                          <w:tcPr>
                            <w:tcW w:w="960" w:type="dxa"/>
                            <w:tcBorders>
                              <w:top w:val="nil"/>
                              <w:left w:val="nil"/>
                              <w:bottom w:val="nil"/>
                              <w:right w:val="nil"/>
                            </w:tcBorders>
                            <w:hideMark/>
                          </w:tcPr>
                          <w:p w14:paraId="7CFF939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(8,589.0)  </w:t>
                            </w:r>
                          </w:p>
                        </w:tc>
                        <w:tc>
                          <w:tcPr>
                            <w:tcW w:w="960" w:type="dxa"/>
                            <w:tcBorders>
                              <w:top w:val="nil"/>
                              <w:left w:val="nil"/>
                              <w:bottom w:val="nil"/>
                              <w:right w:val="nil"/>
                            </w:tcBorders>
                            <w:hideMark/>
                          </w:tcPr>
                          <w:p w14:paraId="73CCE75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2,440.0 </w:t>
                            </w:r>
                          </w:p>
                        </w:tc>
                        <w:tc>
                          <w:tcPr>
                            <w:tcW w:w="960" w:type="dxa"/>
                            <w:tcBorders>
                              <w:top w:val="nil"/>
                              <w:left w:val="nil"/>
                              <w:bottom w:val="nil"/>
                              <w:right w:val="nil"/>
                            </w:tcBorders>
                            <w:hideMark/>
                          </w:tcPr>
                          <w:p w14:paraId="16D48B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1,683.0 </w:t>
                            </w:r>
                          </w:p>
                        </w:tc>
                        <w:tc>
                          <w:tcPr>
                            <w:tcW w:w="960" w:type="dxa"/>
                            <w:tcBorders>
                              <w:top w:val="nil"/>
                              <w:left w:val="nil"/>
                              <w:bottom w:val="nil"/>
                              <w:right w:val="nil"/>
                            </w:tcBorders>
                            <w:hideMark/>
                          </w:tcPr>
                          <w:p w14:paraId="72FAF6B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3,193.0 </w:t>
                            </w:r>
                          </w:p>
                        </w:tc>
                        <w:tc>
                          <w:tcPr>
                            <w:tcW w:w="1160" w:type="dxa"/>
                            <w:tcBorders>
                              <w:top w:val="nil"/>
                              <w:left w:val="nil"/>
                              <w:bottom w:val="nil"/>
                              <w:right w:val="nil"/>
                            </w:tcBorders>
                            <w:hideMark/>
                          </w:tcPr>
                          <w:p w14:paraId="20D8B2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878.0 </w:t>
                            </w:r>
                          </w:p>
                        </w:tc>
                      </w:tr>
                      <w:tr w:rsidR="007D5332" w:rsidRPr="007D5332" w14:paraId="23BD0F77" w14:textId="77777777" w:rsidTr="007D5332">
                        <w:trPr>
                          <w:trHeight w:val="204"/>
                        </w:trPr>
                        <w:tc>
                          <w:tcPr>
                            <w:tcW w:w="3240" w:type="dxa"/>
                            <w:tcBorders>
                              <w:top w:val="nil"/>
                              <w:left w:val="nil"/>
                              <w:bottom w:val="nil"/>
                              <w:right w:val="nil"/>
                            </w:tcBorders>
                            <w:noWrap/>
                            <w:hideMark/>
                          </w:tcPr>
                          <w:p w14:paraId="0FAD2F10"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Operating Activities</w:t>
                            </w:r>
                          </w:p>
                        </w:tc>
                        <w:tc>
                          <w:tcPr>
                            <w:tcW w:w="960" w:type="dxa"/>
                            <w:tcBorders>
                              <w:top w:val="nil"/>
                              <w:left w:val="nil"/>
                              <w:bottom w:val="nil"/>
                              <w:right w:val="nil"/>
                            </w:tcBorders>
                            <w:hideMark/>
                          </w:tcPr>
                          <w:p w14:paraId="01F31F8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1,585.0 </w:t>
                            </w:r>
                          </w:p>
                        </w:tc>
                        <w:tc>
                          <w:tcPr>
                            <w:tcW w:w="960" w:type="dxa"/>
                            <w:tcBorders>
                              <w:top w:val="nil"/>
                              <w:left w:val="nil"/>
                              <w:bottom w:val="nil"/>
                              <w:right w:val="nil"/>
                            </w:tcBorders>
                            <w:hideMark/>
                          </w:tcPr>
                          <w:p w14:paraId="670E3A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3,628.0 </w:t>
                            </w:r>
                          </w:p>
                        </w:tc>
                        <w:tc>
                          <w:tcPr>
                            <w:tcW w:w="960" w:type="dxa"/>
                            <w:tcBorders>
                              <w:top w:val="nil"/>
                              <w:left w:val="nil"/>
                              <w:bottom w:val="nil"/>
                              <w:right w:val="nil"/>
                            </w:tcBorders>
                            <w:hideMark/>
                          </w:tcPr>
                          <w:p w14:paraId="27E8A3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3,574.0 </w:t>
                            </w:r>
                          </w:p>
                        </w:tc>
                        <w:tc>
                          <w:tcPr>
                            <w:tcW w:w="960" w:type="dxa"/>
                            <w:tcBorders>
                              <w:top w:val="nil"/>
                              <w:left w:val="nil"/>
                              <w:bottom w:val="nil"/>
                              <w:right w:val="nil"/>
                            </w:tcBorders>
                            <w:hideMark/>
                          </w:tcPr>
                          <w:p w14:paraId="22D7BD9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1,980.0 </w:t>
                            </w:r>
                          </w:p>
                        </w:tc>
                        <w:tc>
                          <w:tcPr>
                            <w:tcW w:w="960" w:type="dxa"/>
                            <w:tcBorders>
                              <w:top w:val="nil"/>
                              <w:left w:val="nil"/>
                              <w:bottom w:val="nil"/>
                              <w:right w:val="nil"/>
                            </w:tcBorders>
                            <w:hideMark/>
                          </w:tcPr>
                          <w:p w14:paraId="4990B0A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3,226.0 </w:t>
                            </w:r>
                          </w:p>
                        </w:tc>
                        <w:tc>
                          <w:tcPr>
                            <w:tcW w:w="1160" w:type="dxa"/>
                            <w:tcBorders>
                              <w:top w:val="nil"/>
                              <w:left w:val="nil"/>
                              <w:bottom w:val="nil"/>
                              <w:right w:val="nil"/>
                            </w:tcBorders>
                            <w:hideMark/>
                          </w:tcPr>
                          <w:p w14:paraId="4ED6DBD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2,975.0 </w:t>
                            </w:r>
                          </w:p>
                        </w:tc>
                      </w:tr>
                      <w:tr w:rsidR="007D5332" w:rsidRPr="007D5332" w14:paraId="30DA346B" w14:textId="77777777" w:rsidTr="007D5332">
                        <w:trPr>
                          <w:trHeight w:val="204"/>
                        </w:trPr>
                        <w:tc>
                          <w:tcPr>
                            <w:tcW w:w="3240" w:type="dxa"/>
                            <w:tcBorders>
                              <w:top w:val="nil"/>
                              <w:left w:val="nil"/>
                              <w:bottom w:val="nil"/>
                              <w:right w:val="nil"/>
                            </w:tcBorders>
                            <w:noWrap/>
                            <w:hideMark/>
                          </w:tcPr>
                          <w:p w14:paraId="270716D5"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Acc. Receivable</w:t>
                            </w:r>
                          </w:p>
                        </w:tc>
                        <w:tc>
                          <w:tcPr>
                            <w:tcW w:w="960" w:type="dxa"/>
                            <w:tcBorders>
                              <w:top w:val="nil"/>
                              <w:left w:val="nil"/>
                              <w:bottom w:val="nil"/>
                              <w:right w:val="nil"/>
                            </w:tcBorders>
                            <w:hideMark/>
                          </w:tcPr>
                          <w:p w14:paraId="5603B19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154.0 </w:t>
                            </w:r>
                          </w:p>
                        </w:tc>
                        <w:tc>
                          <w:tcPr>
                            <w:tcW w:w="960" w:type="dxa"/>
                            <w:tcBorders>
                              <w:top w:val="nil"/>
                              <w:left w:val="nil"/>
                              <w:bottom w:val="nil"/>
                              <w:right w:val="nil"/>
                            </w:tcBorders>
                            <w:hideMark/>
                          </w:tcPr>
                          <w:p w14:paraId="66C18B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(1,086.0)  </w:t>
                            </w:r>
                          </w:p>
                        </w:tc>
                        <w:tc>
                          <w:tcPr>
                            <w:tcW w:w="960" w:type="dxa"/>
                            <w:tcBorders>
                              <w:top w:val="nil"/>
                              <w:left w:val="nil"/>
                              <w:bottom w:val="nil"/>
                              <w:right w:val="nil"/>
                            </w:tcBorders>
                            <w:hideMark/>
                          </w:tcPr>
                          <w:p w14:paraId="2A0DF78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(1,796.0)  </w:t>
                            </w:r>
                          </w:p>
                        </w:tc>
                        <w:tc>
                          <w:tcPr>
                            <w:tcW w:w="960" w:type="dxa"/>
                            <w:tcBorders>
                              <w:top w:val="nil"/>
                              <w:left w:val="nil"/>
                              <w:bottom w:val="nil"/>
                              <w:right w:val="nil"/>
                            </w:tcBorders>
                            <w:hideMark/>
                          </w:tcPr>
                          <w:p w14:paraId="74DE2C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240.0 </w:t>
                            </w:r>
                          </w:p>
                        </w:tc>
                        <w:tc>
                          <w:tcPr>
                            <w:tcW w:w="960" w:type="dxa"/>
                            <w:tcBorders>
                              <w:top w:val="nil"/>
                              <w:left w:val="nil"/>
                              <w:bottom w:val="nil"/>
                              <w:right w:val="nil"/>
                            </w:tcBorders>
                            <w:hideMark/>
                          </w:tcPr>
                          <w:p w14:paraId="0A4C83B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(797.0)  </w:t>
                            </w:r>
                          </w:p>
                        </w:tc>
                        <w:tc>
                          <w:tcPr>
                            <w:tcW w:w="1160" w:type="dxa"/>
                            <w:tcBorders>
                              <w:top w:val="nil"/>
                              <w:left w:val="nil"/>
                              <w:bottom w:val="nil"/>
                              <w:right w:val="nil"/>
                            </w:tcBorders>
                            <w:hideMark/>
                          </w:tcPr>
                          <w:p w14:paraId="346564D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(1,106.0)  </w:t>
                            </w:r>
                          </w:p>
                        </w:tc>
                      </w:tr>
                      <w:tr w:rsidR="007D5332" w:rsidRPr="007D5332" w14:paraId="4B4E90A0" w14:textId="77777777" w:rsidTr="007D5332">
                        <w:trPr>
                          <w:trHeight w:val="204"/>
                        </w:trPr>
                        <w:tc>
                          <w:tcPr>
                            <w:tcW w:w="3240" w:type="dxa"/>
                            <w:tcBorders>
                              <w:top w:val="nil"/>
                              <w:left w:val="nil"/>
                              <w:bottom w:val="nil"/>
                              <w:right w:val="nil"/>
                            </w:tcBorders>
                            <w:noWrap/>
                            <w:hideMark/>
                          </w:tcPr>
                          <w:p w14:paraId="3E19BC12"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Inventories</w:t>
                            </w:r>
                          </w:p>
                        </w:tc>
                        <w:tc>
                          <w:tcPr>
                            <w:tcW w:w="960" w:type="dxa"/>
                            <w:tcBorders>
                              <w:top w:val="nil"/>
                              <w:left w:val="nil"/>
                              <w:bottom w:val="nil"/>
                              <w:right w:val="nil"/>
                            </w:tcBorders>
                            <w:hideMark/>
                          </w:tcPr>
                          <w:p w14:paraId="7C50D82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(300.0)  </w:t>
                            </w:r>
                          </w:p>
                        </w:tc>
                        <w:tc>
                          <w:tcPr>
                            <w:tcW w:w="960" w:type="dxa"/>
                            <w:tcBorders>
                              <w:top w:val="nil"/>
                              <w:left w:val="nil"/>
                              <w:bottom w:val="nil"/>
                              <w:right w:val="nil"/>
                            </w:tcBorders>
                            <w:hideMark/>
                          </w:tcPr>
                          <w:p w14:paraId="448133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(2,395.0)  </w:t>
                            </w:r>
                          </w:p>
                        </w:tc>
                        <w:tc>
                          <w:tcPr>
                            <w:tcW w:w="960" w:type="dxa"/>
                            <w:tcBorders>
                              <w:top w:val="nil"/>
                              <w:left w:val="nil"/>
                              <w:bottom w:val="nil"/>
                              <w:right w:val="nil"/>
                            </w:tcBorders>
                            <w:hideMark/>
                          </w:tcPr>
                          <w:p w14:paraId="2B99D07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(11,764.0)  </w:t>
                            </w:r>
                          </w:p>
                        </w:tc>
                        <w:tc>
                          <w:tcPr>
                            <w:tcW w:w="960" w:type="dxa"/>
                            <w:tcBorders>
                              <w:top w:val="nil"/>
                              <w:left w:val="nil"/>
                              <w:bottom w:val="nil"/>
                              <w:right w:val="nil"/>
                            </w:tcBorders>
                            <w:hideMark/>
                          </w:tcPr>
                          <w:p w14:paraId="46DE2CC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(528.0)  </w:t>
                            </w:r>
                          </w:p>
                        </w:tc>
                        <w:tc>
                          <w:tcPr>
                            <w:tcW w:w="960" w:type="dxa"/>
                            <w:tcBorders>
                              <w:top w:val="nil"/>
                              <w:left w:val="nil"/>
                              <w:bottom w:val="nil"/>
                              <w:right w:val="nil"/>
                            </w:tcBorders>
                            <w:hideMark/>
                          </w:tcPr>
                          <w:p w14:paraId="5467E0A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2,017.0 </w:t>
                            </w:r>
                          </w:p>
                        </w:tc>
                        <w:tc>
                          <w:tcPr>
                            <w:tcW w:w="1160" w:type="dxa"/>
                            <w:tcBorders>
                              <w:top w:val="nil"/>
                              <w:left w:val="nil"/>
                              <w:bottom w:val="nil"/>
                              <w:right w:val="nil"/>
                            </w:tcBorders>
                            <w:hideMark/>
                          </w:tcPr>
                          <w:p w14:paraId="30230A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(2,755.0)  </w:t>
                            </w:r>
                          </w:p>
                        </w:tc>
                      </w:tr>
                      <w:tr w:rsidR="007D5332" w:rsidRPr="007D5332" w14:paraId="58B550A2" w14:textId="77777777" w:rsidTr="007D5332">
                        <w:trPr>
                          <w:trHeight w:val="204"/>
                        </w:trPr>
                        <w:tc>
                          <w:tcPr>
                            <w:tcW w:w="3240" w:type="dxa"/>
                            <w:tcBorders>
                              <w:top w:val="nil"/>
                              <w:left w:val="nil"/>
                              <w:bottom w:val="nil"/>
                              <w:right w:val="nil"/>
                            </w:tcBorders>
                            <w:noWrap/>
                            <w:hideMark/>
                          </w:tcPr>
                          <w:p w14:paraId="200F188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Acc. Payable</w:t>
                            </w:r>
                          </w:p>
                        </w:tc>
                        <w:tc>
                          <w:tcPr>
                            <w:tcW w:w="960" w:type="dxa"/>
                            <w:tcBorders>
                              <w:top w:val="nil"/>
                              <w:left w:val="nil"/>
                              <w:bottom w:val="nil"/>
                              <w:right w:val="nil"/>
                            </w:tcBorders>
                            <w:hideMark/>
                          </w:tcPr>
                          <w:p w14:paraId="7E2BC03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(274.0)  </w:t>
                            </w:r>
                          </w:p>
                        </w:tc>
                        <w:tc>
                          <w:tcPr>
                            <w:tcW w:w="960" w:type="dxa"/>
                            <w:tcBorders>
                              <w:top w:val="nil"/>
                              <w:left w:val="nil"/>
                              <w:bottom w:val="nil"/>
                              <w:right w:val="nil"/>
                            </w:tcBorders>
                            <w:hideMark/>
                          </w:tcPr>
                          <w:p w14:paraId="6F78DB8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6,966.0 </w:t>
                            </w:r>
                          </w:p>
                        </w:tc>
                        <w:tc>
                          <w:tcPr>
                            <w:tcW w:w="960" w:type="dxa"/>
                            <w:tcBorders>
                              <w:top w:val="nil"/>
                              <w:left w:val="nil"/>
                              <w:bottom w:val="nil"/>
                              <w:right w:val="nil"/>
                            </w:tcBorders>
                            <w:hideMark/>
                          </w:tcPr>
                          <w:p w14:paraId="0A8AF8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5,520.0 </w:t>
                            </w:r>
                          </w:p>
                        </w:tc>
                        <w:tc>
                          <w:tcPr>
                            <w:tcW w:w="960" w:type="dxa"/>
                            <w:tcBorders>
                              <w:top w:val="nil"/>
                              <w:left w:val="nil"/>
                              <w:bottom w:val="nil"/>
                              <w:right w:val="nil"/>
                            </w:tcBorders>
                            <w:hideMark/>
                          </w:tcPr>
                          <w:p w14:paraId="106854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(1,425.0)  </w:t>
                            </w:r>
                          </w:p>
                        </w:tc>
                        <w:tc>
                          <w:tcPr>
                            <w:tcW w:w="960" w:type="dxa"/>
                            <w:tcBorders>
                              <w:top w:val="nil"/>
                              <w:left w:val="nil"/>
                              <w:bottom w:val="nil"/>
                              <w:right w:val="nil"/>
                            </w:tcBorders>
                            <w:hideMark/>
                          </w:tcPr>
                          <w:p w14:paraId="0D9087D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2,515.0 </w:t>
                            </w:r>
                          </w:p>
                        </w:tc>
                        <w:tc>
                          <w:tcPr>
                            <w:tcW w:w="1160" w:type="dxa"/>
                            <w:tcBorders>
                              <w:top w:val="nil"/>
                              <w:left w:val="nil"/>
                              <w:bottom w:val="nil"/>
                              <w:right w:val="nil"/>
                            </w:tcBorders>
                            <w:hideMark/>
                          </w:tcPr>
                          <w:p w14:paraId="7CB8CD9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3,228.0 </w:t>
                            </w:r>
                          </w:p>
                        </w:tc>
                      </w:tr>
                      <w:tr w:rsidR="007D5332" w:rsidRPr="007D5332" w14:paraId="05A78FDD" w14:textId="77777777" w:rsidTr="007D5332">
                        <w:trPr>
                          <w:trHeight w:val="204"/>
                        </w:trPr>
                        <w:tc>
                          <w:tcPr>
                            <w:tcW w:w="3240" w:type="dxa"/>
                            <w:tcBorders>
                              <w:top w:val="nil"/>
                              <w:left w:val="nil"/>
                              <w:bottom w:val="nil"/>
                              <w:right w:val="nil"/>
                            </w:tcBorders>
                            <w:noWrap/>
                            <w:hideMark/>
                          </w:tcPr>
                          <w:p w14:paraId="3EE34B1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Inc. Taxes</w:t>
                            </w:r>
                          </w:p>
                        </w:tc>
                        <w:tc>
                          <w:tcPr>
                            <w:tcW w:w="960" w:type="dxa"/>
                            <w:tcBorders>
                              <w:top w:val="nil"/>
                              <w:left w:val="nil"/>
                              <w:bottom w:val="nil"/>
                              <w:right w:val="nil"/>
                            </w:tcBorders>
                            <w:hideMark/>
                          </w:tcPr>
                          <w:p w14:paraId="30C39A7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(93.0)  </w:t>
                            </w:r>
                          </w:p>
                        </w:tc>
                        <w:tc>
                          <w:tcPr>
                            <w:tcW w:w="960" w:type="dxa"/>
                            <w:tcBorders>
                              <w:top w:val="nil"/>
                              <w:left w:val="nil"/>
                              <w:bottom w:val="nil"/>
                              <w:right w:val="nil"/>
                            </w:tcBorders>
                            <w:hideMark/>
                          </w:tcPr>
                          <w:p w14:paraId="5B090E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(136.0)  </w:t>
                            </w:r>
                          </w:p>
                        </w:tc>
                        <w:tc>
                          <w:tcPr>
                            <w:tcW w:w="960" w:type="dxa"/>
                            <w:tcBorders>
                              <w:top w:val="nil"/>
                              <w:left w:val="nil"/>
                              <w:bottom w:val="nil"/>
                              <w:right w:val="nil"/>
                            </w:tcBorders>
                            <w:hideMark/>
                          </w:tcPr>
                          <w:p w14:paraId="0578BE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39.0 </w:t>
                            </w:r>
                          </w:p>
                        </w:tc>
                        <w:tc>
                          <w:tcPr>
                            <w:tcW w:w="960" w:type="dxa"/>
                            <w:tcBorders>
                              <w:top w:val="nil"/>
                              <w:left w:val="nil"/>
                              <w:bottom w:val="nil"/>
                              <w:right w:val="nil"/>
                            </w:tcBorders>
                            <w:hideMark/>
                          </w:tcPr>
                          <w:p w14:paraId="042E681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(127.0)  </w:t>
                            </w:r>
                          </w:p>
                        </w:tc>
                        <w:tc>
                          <w:tcPr>
                            <w:tcW w:w="960" w:type="dxa"/>
                            <w:tcBorders>
                              <w:top w:val="nil"/>
                              <w:left w:val="nil"/>
                              <w:bottom w:val="nil"/>
                              <w:right w:val="nil"/>
                            </w:tcBorders>
                            <w:hideMark/>
                          </w:tcPr>
                          <w:p w14:paraId="035C03F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(468.0)  </w:t>
                            </w:r>
                          </w:p>
                        </w:tc>
                        <w:tc>
                          <w:tcPr>
                            <w:tcW w:w="1160" w:type="dxa"/>
                            <w:tcBorders>
                              <w:top w:val="nil"/>
                              <w:left w:val="nil"/>
                              <w:bottom w:val="nil"/>
                              <w:right w:val="nil"/>
                            </w:tcBorders>
                            <w:hideMark/>
                          </w:tcPr>
                          <w:p w14:paraId="7C0FCF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435.0 </w:t>
                            </w:r>
                          </w:p>
                        </w:tc>
                      </w:tr>
                      <w:tr w:rsidR="007D5332" w:rsidRPr="007D5332" w14:paraId="25BC9703" w14:textId="77777777" w:rsidTr="007D5332">
                        <w:trPr>
                          <w:trHeight w:val="204"/>
                        </w:trPr>
                        <w:tc>
                          <w:tcPr>
                            <w:tcW w:w="3240" w:type="dxa"/>
                            <w:tcBorders>
                              <w:top w:val="nil"/>
                              <w:left w:val="nil"/>
                              <w:bottom w:val="nil"/>
                              <w:right w:val="nil"/>
                            </w:tcBorders>
                            <w:noWrap/>
                            <w:hideMark/>
                          </w:tcPr>
                          <w:p w14:paraId="0846B495"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Other Net Operating Assets</w:t>
                            </w:r>
                          </w:p>
                        </w:tc>
                        <w:tc>
                          <w:tcPr>
                            <w:tcW w:w="960" w:type="dxa"/>
                            <w:tcBorders>
                              <w:top w:val="nil"/>
                              <w:left w:val="nil"/>
                              <w:bottom w:val="nil"/>
                              <w:right w:val="nil"/>
                            </w:tcBorders>
                            <w:hideMark/>
                          </w:tcPr>
                          <w:p w14:paraId="1B8A5A7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186.0 </w:t>
                            </w:r>
                          </w:p>
                        </w:tc>
                        <w:tc>
                          <w:tcPr>
                            <w:tcW w:w="960" w:type="dxa"/>
                            <w:tcBorders>
                              <w:top w:val="nil"/>
                              <w:left w:val="nil"/>
                              <w:bottom w:val="nil"/>
                              <w:right w:val="nil"/>
                            </w:tcBorders>
                            <w:hideMark/>
                          </w:tcPr>
                          <w:p w14:paraId="25BCA89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4,623.0 </w:t>
                            </w:r>
                          </w:p>
                        </w:tc>
                        <w:tc>
                          <w:tcPr>
                            <w:tcW w:w="960" w:type="dxa"/>
                            <w:tcBorders>
                              <w:top w:val="nil"/>
                              <w:left w:val="nil"/>
                              <w:bottom w:val="nil"/>
                              <w:right w:val="nil"/>
                            </w:tcBorders>
                            <w:hideMark/>
                          </w:tcPr>
                          <w:p w14:paraId="519CBF9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1,404.0 </w:t>
                            </w:r>
                          </w:p>
                        </w:tc>
                        <w:tc>
                          <w:tcPr>
                            <w:tcW w:w="960" w:type="dxa"/>
                            <w:tcBorders>
                              <w:top w:val="nil"/>
                              <w:left w:val="nil"/>
                              <w:bottom w:val="nil"/>
                              <w:right w:val="nil"/>
                            </w:tcBorders>
                            <w:hideMark/>
                          </w:tcPr>
                          <w:p w14:paraId="056FAF3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4,393.0 </w:t>
                            </w:r>
                          </w:p>
                        </w:tc>
                        <w:tc>
                          <w:tcPr>
                            <w:tcW w:w="960" w:type="dxa"/>
                            <w:tcBorders>
                              <w:top w:val="nil"/>
                              <w:left w:val="nil"/>
                              <w:bottom w:val="nil"/>
                              <w:right w:val="nil"/>
                            </w:tcBorders>
                            <w:hideMark/>
                          </w:tcPr>
                          <w:p w14:paraId="28A0DDB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(1,324.0)  </w:t>
                            </w:r>
                          </w:p>
                        </w:tc>
                        <w:tc>
                          <w:tcPr>
                            <w:tcW w:w="1160" w:type="dxa"/>
                            <w:tcBorders>
                              <w:top w:val="nil"/>
                              <w:left w:val="nil"/>
                              <w:bottom w:val="nil"/>
                              <w:right w:val="nil"/>
                            </w:tcBorders>
                            <w:hideMark/>
                          </w:tcPr>
                          <w:p w14:paraId="3E678DE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379.0 </w:t>
                            </w:r>
                          </w:p>
                        </w:tc>
                      </w:tr>
                      <w:tr w:rsidR="007D5332" w:rsidRPr="007D5332" w14:paraId="716DEE87" w14:textId="77777777" w:rsidTr="007D5332">
                        <w:trPr>
                          <w:trHeight w:val="204"/>
                        </w:trPr>
                        <w:tc>
                          <w:tcPr>
                            <w:tcW w:w="3240" w:type="dxa"/>
                            <w:tcBorders>
                              <w:top w:val="nil"/>
                              <w:left w:val="nil"/>
                              <w:bottom w:val="nil"/>
                              <w:right w:val="nil"/>
                            </w:tcBorders>
                            <w:noWrap/>
                            <w:hideMark/>
                          </w:tcPr>
                          <w:p w14:paraId="4EFA26BB"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Ops.</w:t>
                            </w:r>
                          </w:p>
                        </w:tc>
                        <w:tc>
                          <w:tcPr>
                            <w:tcW w:w="960" w:type="dxa"/>
                            <w:tcBorders>
                              <w:top w:val="single" w:sz="4" w:space="0" w:color="000000"/>
                              <w:left w:val="nil"/>
                              <w:bottom w:val="nil"/>
                              <w:right w:val="nil"/>
                            </w:tcBorders>
                            <w:hideMark/>
                          </w:tcPr>
                          <w:p w14:paraId="6DACA93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25,255.0 </w:t>
                            </w:r>
                          </w:p>
                        </w:tc>
                        <w:tc>
                          <w:tcPr>
                            <w:tcW w:w="960" w:type="dxa"/>
                            <w:tcBorders>
                              <w:top w:val="single" w:sz="4" w:space="0" w:color="000000"/>
                              <w:left w:val="nil"/>
                              <w:bottom w:val="nil"/>
                              <w:right w:val="nil"/>
                            </w:tcBorders>
                            <w:hideMark/>
                          </w:tcPr>
                          <w:p w14:paraId="13E3FE7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36,074.0 </w:t>
                            </w:r>
                          </w:p>
                        </w:tc>
                        <w:tc>
                          <w:tcPr>
                            <w:tcW w:w="960" w:type="dxa"/>
                            <w:tcBorders>
                              <w:top w:val="single" w:sz="4" w:space="0" w:color="000000"/>
                              <w:left w:val="nil"/>
                              <w:bottom w:val="nil"/>
                              <w:right w:val="nil"/>
                            </w:tcBorders>
                            <w:hideMark/>
                          </w:tcPr>
                          <w:p w14:paraId="2CA6F01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24,181.0 </w:t>
                            </w:r>
                          </w:p>
                        </w:tc>
                        <w:tc>
                          <w:tcPr>
                            <w:tcW w:w="960" w:type="dxa"/>
                            <w:tcBorders>
                              <w:top w:val="single" w:sz="4" w:space="0" w:color="000000"/>
                              <w:left w:val="nil"/>
                              <w:bottom w:val="nil"/>
                              <w:right w:val="nil"/>
                            </w:tcBorders>
                            <w:hideMark/>
                          </w:tcPr>
                          <w:p w14:paraId="1B5513F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28,841.0 </w:t>
                            </w:r>
                          </w:p>
                        </w:tc>
                        <w:tc>
                          <w:tcPr>
                            <w:tcW w:w="960" w:type="dxa"/>
                            <w:tcBorders>
                              <w:top w:val="single" w:sz="4" w:space="0" w:color="000000"/>
                              <w:left w:val="nil"/>
                              <w:bottom w:val="nil"/>
                              <w:right w:val="nil"/>
                            </w:tcBorders>
                            <w:hideMark/>
                          </w:tcPr>
                          <w:p w14:paraId="29EBEFB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35,726.0 </w:t>
                            </w:r>
                          </w:p>
                        </w:tc>
                        <w:tc>
                          <w:tcPr>
                            <w:tcW w:w="1160" w:type="dxa"/>
                            <w:tcBorders>
                              <w:top w:val="single" w:sz="4" w:space="0" w:color="000000"/>
                              <w:left w:val="nil"/>
                              <w:bottom w:val="nil"/>
                              <w:right w:val="nil"/>
                            </w:tcBorders>
                            <w:hideMark/>
                          </w:tcPr>
                          <w:p w14:paraId="5B589C3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36,443.0 </w:t>
                            </w:r>
                          </w:p>
                        </w:tc>
                      </w:tr>
                      <w:tr w:rsidR="007D5332" w:rsidRPr="007D5332" w14:paraId="2225C442" w14:textId="77777777" w:rsidTr="007D5332">
                        <w:trPr>
                          <w:trHeight w:val="204"/>
                        </w:trPr>
                        <w:tc>
                          <w:tcPr>
                            <w:tcW w:w="3240" w:type="dxa"/>
                            <w:tcBorders>
                              <w:top w:val="nil"/>
                              <w:left w:val="nil"/>
                              <w:bottom w:val="nil"/>
                              <w:right w:val="nil"/>
                            </w:tcBorders>
                            <w:noWrap/>
                            <w:hideMark/>
                          </w:tcPr>
                          <w:p w14:paraId="2164973F"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2B0B1C7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44EB24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A1A337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A356F1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EF39FCC"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334611C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BF6D465" w14:textId="77777777" w:rsidTr="007D5332">
                        <w:trPr>
                          <w:trHeight w:val="204"/>
                        </w:trPr>
                        <w:tc>
                          <w:tcPr>
                            <w:tcW w:w="3240" w:type="dxa"/>
                            <w:tcBorders>
                              <w:top w:val="nil"/>
                              <w:left w:val="nil"/>
                              <w:bottom w:val="nil"/>
                              <w:right w:val="nil"/>
                            </w:tcBorders>
                            <w:noWrap/>
                            <w:hideMark/>
                          </w:tcPr>
                          <w:p w14:paraId="1DE6E93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Capital Expenditure</w:t>
                            </w:r>
                          </w:p>
                        </w:tc>
                        <w:tc>
                          <w:tcPr>
                            <w:tcW w:w="960" w:type="dxa"/>
                            <w:tcBorders>
                              <w:top w:val="nil"/>
                              <w:left w:val="nil"/>
                              <w:bottom w:val="nil"/>
                              <w:right w:val="nil"/>
                            </w:tcBorders>
                            <w:hideMark/>
                          </w:tcPr>
                          <w:p w14:paraId="3E8D1F7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(10,705.0)  </w:t>
                            </w:r>
                          </w:p>
                        </w:tc>
                        <w:tc>
                          <w:tcPr>
                            <w:tcW w:w="960" w:type="dxa"/>
                            <w:tcBorders>
                              <w:top w:val="nil"/>
                              <w:left w:val="nil"/>
                              <w:bottom w:val="nil"/>
                              <w:right w:val="nil"/>
                            </w:tcBorders>
                            <w:hideMark/>
                          </w:tcPr>
                          <w:p w14:paraId="46FD258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(10,264.0)  </w:t>
                            </w:r>
                          </w:p>
                        </w:tc>
                        <w:tc>
                          <w:tcPr>
                            <w:tcW w:w="960" w:type="dxa"/>
                            <w:tcBorders>
                              <w:top w:val="nil"/>
                              <w:left w:val="nil"/>
                              <w:bottom w:val="nil"/>
                              <w:right w:val="nil"/>
                            </w:tcBorders>
                            <w:hideMark/>
                          </w:tcPr>
                          <w:p w14:paraId="789635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(13,106.0)  </w:t>
                            </w:r>
                          </w:p>
                        </w:tc>
                        <w:tc>
                          <w:tcPr>
                            <w:tcW w:w="960" w:type="dxa"/>
                            <w:tcBorders>
                              <w:top w:val="nil"/>
                              <w:left w:val="nil"/>
                              <w:bottom w:val="nil"/>
                              <w:right w:val="nil"/>
                            </w:tcBorders>
                            <w:hideMark/>
                          </w:tcPr>
                          <w:p w14:paraId="358A11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(16,857.0)  </w:t>
                            </w:r>
                          </w:p>
                        </w:tc>
                        <w:tc>
                          <w:tcPr>
                            <w:tcW w:w="960" w:type="dxa"/>
                            <w:tcBorders>
                              <w:top w:val="nil"/>
                              <w:left w:val="nil"/>
                              <w:bottom w:val="nil"/>
                              <w:right w:val="nil"/>
                            </w:tcBorders>
                            <w:hideMark/>
                          </w:tcPr>
                          <w:p w14:paraId="0CDD414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(20,606.0)  </w:t>
                            </w:r>
                          </w:p>
                        </w:tc>
                        <w:tc>
                          <w:tcPr>
                            <w:tcW w:w="1160" w:type="dxa"/>
                            <w:tcBorders>
                              <w:top w:val="nil"/>
                              <w:left w:val="nil"/>
                              <w:bottom w:val="nil"/>
                              <w:right w:val="nil"/>
                            </w:tcBorders>
                            <w:hideMark/>
                          </w:tcPr>
                          <w:p w14:paraId="1F1D23E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(23,783.0)  </w:t>
                            </w:r>
                          </w:p>
                        </w:tc>
                      </w:tr>
                      <w:tr w:rsidR="007D5332" w:rsidRPr="007D5332" w14:paraId="2DC24C67" w14:textId="77777777" w:rsidTr="007D5332">
                        <w:trPr>
                          <w:trHeight w:val="204"/>
                        </w:trPr>
                        <w:tc>
                          <w:tcPr>
                            <w:tcW w:w="3240" w:type="dxa"/>
                            <w:tcBorders>
                              <w:top w:val="nil"/>
                              <w:left w:val="nil"/>
                              <w:bottom w:val="nil"/>
                              <w:right w:val="nil"/>
                            </w:tcBorders>
                            <w:noWrap/>
                            <w:hideMark/>
                          </w:tcPr>
                          <w:p w14:paraId="073EF61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Sale of Property, Plant, and Equipment</w:t>
                            </w:r>
                          </w:p>
                        </w:tc>
                        <w:tc>
                          <w:tcPr>
                            <w:tcW w:w="960" w:type="dxa"/>
                            <w:tcBorders>
                              <w:top w:val="nil"/>
                              <w:left w:val="nil"/>
                              <w:bottom w:val="nil"/>
                              <w:right w:val="nil"/>
                            </w:tcBorders>
                            <w:hideMark/>
                          </w:tcPr>
                          <w:p w14:paraId="1574A50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321.0 </w:t>
                            </w:r>
                          </w:p>
                        </w:tc>
                        <w:tc>
                          <w:tcPr>
                            <w:tcW w:w="960" w:type="dxa"/>
                            <w:tcBorders>
                              <w:top w:val="nil"/>
                              <w:left w:val="nil"/>
                              <w:bottom w:val="nil"/>
                              <w:right w:val="nil"/>
                            </w:tcBorders>
                            <w:hideMark/>
                          </w:tcPr>
                          <w:p w14:paraId="36ECE0D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215.0 </w:t>
                            </w:r>
                          </w:p>
                        </w:tc>
                        <w:tc>
                          <w:tcPr>
                            <w:tcW w:w="960" w:type="dxa"/>
                            <w:tcBorders>
                              <w:top w:val="nil"/>
                              <w:left w:val="nil"/>
                              <w:bottom w:val="nil"/>
                              <w:right w:val="nil"/>
                            </w:tcBorders>
                            <w:hideMark/>
                          </w:tcPr>
                          <w:p w14:paraId="387AF21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394.0 </w:t>
                            </w:r>
                          </w:p>
                        </w:tc>
                        <w:tc>
                          <w:tcPr>
                            <w:tcW w:w="960" w:type="dxa"/>
                            <w:tcBorders>
                              <w:top w:val="nil"/>
                              <w:left w:val="nil"/>
                              <w:bottom w:val="nil"/>
                              <w:right w:val="nil"/>
                            </w:tcBorders>
                            <w:hideMark/>
                          </w:tcPr>
                          <w:p w14:paraId="5FA5857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170.0 </w:t>
                            </w:r>
                          </w:p>
                        </w:tc>
                        <w:tc>
                          <w:tcPr>
                            <w:tcW w:w="960" w:type="dxa"/>
                            <w:tcBorders>
                              <w:top w:val="nil"/>
                              <w:left w:val="nil"/>
                              <w:bottom w:val="nil"/>
                              <w:right w:val="nil"/>
                            </w:tcBorders>
                            <w:hideMark/>
                          </w:tcPr>
                          <w:p w14:paraId="6BFCFEE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250.0 </w:t>
                            </w:r>
                          </w:p>
                        </w:tc>
                        <w:tc>
                          <w:tcPr>
                            <w:tcW w:w="1160" w:type="dxa"/>
                            <w:tcBorders>
                              <w:top w:val="nil"/>
                              <w:left w:val="nil"/>
                              <w:bottom w:val="nil"/>
                              <w:right w:val="nil"/>
                            </w:tcBorders>
                            <w:hideMark/>
                          </w:tcPr>
                          <w:p w14:paraId="63CC400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432.0 </w:t>
                            </w:r>
                          </w:p>
                        </w:tc>
                      </w:tr>
                      <w:tr w:rsidR="007D5332" w:rsidRPr="007D5332" w14:paraId="2F77CA85" w14:textId="77777777" w:rsidTr="007D5332">
                        <w:trPr>
                          <w:trHeight w:val="204"/>
                        </w:trPr>
                        <w:tc>
                          <w:tcPr>
                            <w:tcW w:w="3240" w:type="dxa"/>
                            <w:tcBorders>
                              <w:top w:val="nil"/>
                              <w:left w:val="nil"/>
                              <w:bottom w:val="nil"/>
                              <w:right w:val="nil"/>
                            </w:tcBorders>
                            <w:noWrap/>
                            <w:hideMark/>
                          </w:tcPr>
                          <w:p w14:paraId="11F9D3CD"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Acquisitions</w:t>
                            </w:r>
                          </w:p>
                        </w:tc>
                        <w:tc>
                          <w:tcPr>
                            <w:tcW w:w="960" w:type="dxa"/>
                            <w:tcBorders>
                              <w:top w:val="nil"/>
                              <w:left w:val="nil"/>
                              <w:bottom w:val="nil"/>
                              <w:right w:val="nil"/>
                            </w:tcBorders>
                            <w:hideMark/>
                          </w:tcPr>
                          <w:p w14:paraId="383F24C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(56.0)  </w:t>
                            </w:r>
                          </w:p>
                        </w:tc>
                        <w:tc>
                          <w:tcPr>
                            <w:tcW w:w="960" w:type="dxa"/>
                            <w:tcBorders>
                              <w:top w:val="nil"/>
                              <w:left w:val="nil"/>
                              <w:bottom w:val="nil"/>
                              <w:right w:val="nil"/>
                            </w:tcBorders>
                            <w:hideMark/>
                          </w:tcPr>
                          <w:p w14:paraId="6972E72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(180.0)  </w:t>
                            </w:r>
                          </w:p>
                        </w:tc>
                        <w:tc>
                          <w:tcPr>
                            <w:tcW w:w="960" w:type="dxa"/>
                            <w:tcBorders>
                              <w:top w:val="nil"/>
                              <w:left w:val="nil"/>
                              <w:bottom w:val="nil"/>
                              <w:right w:val="nil"/>
                            </w:tcBorders>
                            <w:hideMark/>
                          </w:tcPr>
                          <w:p w14:paraId="781B46A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(359.0)  </w:t>
                            </w:r>
                          </w:p>
                        </w:tc>
                        <w:tc>
                          <w:tcPr>
                            <w:tcW w:w="960" w:type="dxa"/>
                            <w:tcBorders>
                              <w:top w:val="nil"/>
                              <w:left w:val="nil"/>
                              <w:bottom w:val="nil"/>
                              <w:right w:val="nil"/>
                            </w:tcBorders>
                            <w:hideMark/>
                          </w:tcPr>
                          <w:p w14:paraId="4972029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(740.0)  </w:t>
                            </w:r>
                          </w:p>
                        </w:tc>
                        <w:tc>
                          <w:tcPr>
                            <w:tcW w:w="960" w:type="dxa"/>
                            <w:tcBorders>
                              <w:top w:val="nil"/>
                              <w:left w:val="nil"/>
                              <w:bottom w:val="nil"/>
                              <w:right w:val="nil"/>
                            </w:tcBorders>
                            <w:hideMark/>
                          </w:tcPr>
                          <w:p w14:paraId="35DAC60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(9.0)  </w:t>
                            </w:r>
                          </w:p>
                        </w:tc>
                        <w:tc>
                          <w:tcPr>
                            <w:tcW w:w="1160" w:type="dxa"/>
                            <w:tcBorders>
                              <w:top w:val="nil"/>
                              <w:left w:val="nil"/>
                              <w:bottom w:val="nil"/>
                              <w:right w:val="nil"/>
                            </w:tcBorders>
                            <w:hideMark/>
                          </w:tcPr>
                          <w:p w14:paraId="24ECE77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(1,896.0)  </w:t>
                            </w:r>
                          </w:p>
                        </w:tc>
                      </w:tr>
                      <w:tr w:rsidR="007D5332" w:rsidRPr="007D5332" w14:paraId="2BF65DC3" w14:textId="77777777" w:rsidTr="007D5332">
                        <w:trPr>
                          <w:trHeight w:val="204"/>
                        </w:trPr>
                        <w:tc>
                          <w:tcPr>
                            <w:tcW w:w="3240" w:type="dxa"/>
                            <w:tcBorders>
                              <w:top w:val="nil"/>
                              <w:left w:val="nil"/>
                              <w:bottom w:val="nil"/>
                              <w:right w:val="nil"/>
                            </w:tcBorders>
                            <w:noWrap/>
                            <w:hideMark/>
                          </w:tcPr>
                          <w:p w14:paraId="21A11C72"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Divestitures</w:t>
                            </w:r>
                          </w:p>
                        </w:tc>
                        <w:tc>
                          <w:tcPr>
                            <w:tcW w:w="960" w:type="dxa"/>
                            <w:tcBorders>
                              <w:top w:val="nil"/>
                              <w:left w:val="nil"/>
                              <w:bottom w:val="nil"/>
                              <w:right w:val="nil"/>
                            </w:tcBorders>
                            <w:hideMark/>
                          </w:tcPr>
                          <w:p w14:paraId="3CCD09D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833.0 </w:t>
                            </w:r>
                          </w:p>
                        </w:tc>
                        <w:tc>
                          <w:tcPr>
                            <w:tcW w:w="960" w:type="dxa"/>
                            <w:tcBorders>
                              <w:top w:val="nil"/>
                              <w:left w:val="nil"/>
                              <w:bottom w:val="nil"/>
                              <w:right w:val="nil"/>
                            </w:tcBorders>
                            <w:hideMark/>
                          </w:tcPr>
                          <w:p w14:paraId="21007C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56.0 </w:t>
                            </w:r>
                          </w:p>
                        </w:tc>
                        <w:tc>
                          <w:tcPr>
                            <w:tcW w:w="960" w:type="dxa"/>
                            <w:tcBorders>
                              <w:top w:val="nil"/>
                              <w:left w:val="nil"/>
                              <w:bottom w:val="nil"/>
                              <w:right w:val="nil"/>
                            </w:tcBorders>
                            <w:hideMark/>
                          </w:tcPr>
                          <w:p w14:paraId="2AACF94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7,935.0 </w:t>
                            </w:r>
                          </w:p>
                        </w:tc>
                        <w:tc>
                          <w:tcPr>
                            <w:tcW w:w="960" w:type="dxa"/>
                            <w:tcBorders>
                              <w:top w:val="nil"/>
                              <w:left w:val="nil"/>
                              <w:bottom w:val="nil"/>
                              <w:right w:val="nil"/>
                            </w:tcBorders>
                            <w:hideMark/>
                          </w:tcPr>
                          <w:p w14:paraId="48E3DCD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89B882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135.0 </w:t>
                            </w:r>
                          </w:p>
                        </w:tc>
                        <w:tc>
                          <w:tcPr>
                            <w:tcW w:w="1160" w:type="dxa"/>
                            <w:tcBorders>
                              <w:top w:val="nil"/>
                              <w:left w:val="nil"/>
                              <w:bottom w:val="nil"/>
                              <w:right w:val="nil"/>
                            </w:tcBorders>
                            <w:hideMark/>
                          </w:tcPr>
                          <w:p w14:paraId="31C349E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724E4A2D" w14:textId="77777777" w:rsidTr="007D5332">
                        <w:trPr>
                          <w:trHeight w:val="204"/>
                        </w:trPr>
                        <w:tc>
                          <w:tcPr>
                            <w:tcW w:w="3240" w:type="dxa"/>
                            <w:tcBorders>
                              <w:top w:val="nil"/>
                              <w:left w:val="nil"/>
                              <w:bottom w:val="nil"/>
                              <w:right w:val="nil"/>
                            </w:tcBorders>
                            <w:noWrap/>
                            <w:hideMark/>
                          </w:tcPr>
                          <w:p w14:paraId="2577C29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Invest. in Marketable &amp; Equity </w:t>
                            </w:r>
                            <w:r w:rsidRPr="007D5332">
                              <w:rPr>
                                <w:rFonts w:ascii="Cambria" w:eastAsia="Times New Roman" w:hAnsi="Cambria" w:cs="Arial"/>
                                <w:color w:val="000000"/>
                                <w:kern w:val="0"/>
                                <w:sz w:val="14"/>
                                <w:szCs w:val="14"/>
                                <w:lang w:eastAsia="en-IN"/>
                                <w14:ligatures w14:val="none"/>
                              </w:rPr>
                              <w:t>Securt.</w:t>
                            </w:r>
                          </w:p>
                        </w:tc>
                        <w:tc>
                          <w:tcPr>
                            <w:tcW w:w="960" w:type="dxa"/>
                            <w:tcBorders>
                              <w:top w:val="nil"/>
                              <w:left w:val="nil"/>
                              <w:bottom w:val="nil"/>
                              <w:right w:val="nil"/>
                            </w:tcBorders>
                            <w:hideMark/>
                          </w:tcPr>
                          <w:p w14:paraId="7E707F3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CCCED1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1CB1823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0DD94E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FA5633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76DC08E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4,080.0 </w:t>
                            </w:r>
                          </w:p>
                        </w:tc>
                      </w:tr>
                      <w:tr w:rsidR="007D5332" w:rsidRPr="007D5332" w14:paraId="19EDD0E3" w14:textId="77777777" w:rsidTr="007D5332">
                        <w:trPr>
                          <w:trHeight w:val="204"/>
                        </w:trPr>
                        <w:tc>
                          <w:tcPr>
                            <w:tcW w:w="3240" w:type="dxa"/>
                            <w:tcBorders>
                              <w:top w:val="nil"/>
                              <w:left w:val="nil"/>
                              <w:bottom w:val="nil"/>
                              <w:right w:val="nil"/>
                            </w:tcBorders>
                            <w:noWrap/>
                            <w:hideMark/>
                          </w:tcPr>
                          <w:p w14:paraId="40808C78"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Net (Inc.) Dec. in Loans Originated/Sold</w:t>
                            </w:r>
                          </w:p>
                        </w:tc>
                        <w:tc>
                          <w:tcPr>
                            <w:tcW w:w="960" w:type="dxa"/>
                            <w:tcBorders>
                              <w:top w:val="nil"/>
                              <w:left w:val="nil"/>
                              <w:bottom w:val="nil"/>
                              <w:right w:val="nil"/>
                            </w:tcBorders>
                            <w:hideMark/>
                          </w:tcPr>
                          <w:p w14:paraId="1E99B5A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9D9B9C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0B7F9E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CFAF62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2C0EFF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2EC36B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74A45641" w14:textId="77777777" w:rsidTr="007D5332">
                        <w:trPr>
                          <w:trHeight w:val="204"/>
                        </w:trPr>
                        <w:tc>
                          <w:tcPr>
                            <w:tcW w:w="3240" w:type="dxa"/>
                            <w:tcBorders>
                              <w:top w:val="nil"/>
                              <w:left w:val="nil"/>
                              <w:bottom w:val="nil"/>
                              <w:right w:val="nil"/>
                            </w:tcBorders>
                            <w:noWrap/>
                            <w:hideMark/>
                          </w:tcPr>
                          <w:p w14:paraId="53734E6C"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Investing Activities</w:t>
                            </w:r>
                          </w:p>
                        </w:tc>
                        <w:tc>
                          <w:tcPr>
                            <w:tcW w:w="960" w:type="dxa"/>
                            <w:tcBorders>
                              <w:top w:val="nil"/>
                              <w:left w:val="nil"/>
                              <w:bottom w:val="nil"/>
                              <w:right w:val="nil"/>
                            </w:tcBorders>
                            <w:hideMark/>
                          </w:tcPr>
                          <w:p w14:paraId="09945F0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479.0 </w:t>
                            </w:r>
                          </w:p>
                        </w:tc>
                        <w:tc>
                          <w:tcPr>
                            <w:tcW w:w="960" w:type="dxa"/>
                            <w:tcBorders>
                              <w:top w:val="nil"/>
                              <w:left w:val="nil"/>
                              <w:bottom w:val="nil"/>
                              <w:right w:val="nil"/>
                            </w:tcBorders>
                            <w:hideMark/>
                          </w:tcPr>
                          <w:p w14:paraId="1C0EBDA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102.0 </w:t>
                            </w:r>
                          </w:p>
                        </w:tc>
                        <w:tc>
                          <w:tcPr>
                            <w:tcW w:w="960" w:type="dxa"/>
                            <w:tcBorders>
                              <w:top w:val="nil"/>
                              <w:left w:val="nil"/>
                              <w:bottom w:val="nil"/>
                              <w:right w:val="nil"/>
                            </w:tcBorders>
                            <w:hideMark/>
                          </w:tcPr>
                          <w:p w14:paraId="7C8F74C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(879.0)  </w:t>
                            </w:r>
                          </w:p>
                        </w:tc>
                        <w:tc>
                          <w:tcPr>
                            <w:tcW w:w="960" w:type="dxa"/>
                            <w:tcBorders>
                              <w:top w:val="nil"/>
                              <w:left w:val="nil"/>
                              <w:bottom w:val="nil"/>
                              <w:right w:val="nil"/>
                            </w:tcBorders>
                            <w:hideMark/>
                          </w:tcPr>
                          <w:p w14:paraId="267FFB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(295.0)  </w:t>
                            </w:r>
                          </w:p>
                        </w:tc>
                        <w:tc>
                          <w:tcPr>
                            <w:tcW w:w="960" w:type="dxa"/>
                            <w:tcBorders>
                              <w:top w:val="nil"/>
                              <w:left w:val="nil"/>
                              <w:bottom w:val="nil"/>
                              <w:right w:val="nil"/>
                            </w:tcBorders>
                            <w:hideMark/>
                          </w:tcPr>
                          <w:p w14:paraId="16EC4EC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(1,057.0)  </w:t>
                            </w:r>
                          </w:p>
                        </w:tc>
                        <w:tc>
                          <w:tcPr>
                            <w:tcW w:w="1160" w:type="dxa"/>
                            <w:tcBorders>
                              <w:top w:val="nil"/>
                              <w:left w:val="nil"/>
                              <w:bottom w:val="nil"/>
                              <w:right w:val="nil"/>
                            </w:tcBorders>
                            <w:hideMark/>
                          </w:tcPr>
                          <w:p w14:paraId="0296F79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(212.0)  </w:t>
                            </w:r>
                          </w:p>
                        </w:tc>
                      </w:tr>
                      <w:tr w:rsidR="007D5332" w:rsidRPr="007D5332" w14:paraId="32FEFFB0" w14:textId="77777777" w:rsidTr="007D5332">
                        <w:trPr>
                          <w:trHeight w:val="204"/>
                        </w:trPr>
                        <w:tc>
                          <w:tcPr>
                            <w:tcW w:w="3240" w:type="dxa"/>
                            <w:tcBorders>
                              <w:top w:val="nil"/>
                              <w:left w:val="nil"/>
                              <w:bottom w:val="nil"/>
                              <w:right w:val="nil"/>
                            </w:tcBorders>
                            <w:noWrap/>
                            <w:hideMark/>
                          </w:tcPr>
                          <w:p w14:paraId="5F8E00FD"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Investing</w:t>
                            </w:r>
                          </w:p>
                        </w:tc>
                        <w:tc>
                          <w:tcPr>
                            <w:tcW w:w="960" w:type="dxa"/>
                            <w:tcBorders>
                              <w:top w:val="single" w:sz="4" w:space="0" w:color="000000"/>
                              <w:left w:val="nil"/>
                              <w:bottom w:val="nil"/>
                              <w:right w:val="nil"/>
                            </w:tcBorders>
                            <w:hideMark/>
                          </w:tcPr>
                          <w:p w14:paraId="65C8C0C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(9,128.0)  </w:t>
                            </w:r>
                          </w:p>
                        </w:tc>
                        <w:tc>
                          <w:tcPr>
                            <w:tcW w:w="960" w:type="dxa"/>
                            <w:tcBorders>
                              <w:top w:val="single" w:sz="4" w:space="0" w:color="000000"/>
                              <w:left w:val="nil"/>
                              <w:bottom w:val="nil"/>
                              <w:right w:val="nil"/>
                            </w:tcBorders>
                            <w:hideMark/>
                          </w:tcPr>
                          <w:p w14:paraId="6197739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(10,071.0)  </w:t>
                            </w:r>
                          </w:p>
                        </w:tc>
                        <w:tc>
                          <w:tcPr>
                            <w:tcW w:w="960" w:type="dxa"/>
                            <w:tcBorders>
                              <w:top w:val="single" w:sz="4" w:space="0" w:color="000000"/>
                              <w:left w:val="nil"/>
                              <w:bottom w:val="nil"/>
                              <w:right w:val="nil"/>
                            </w:tcBorders>
                            <w:hideMark/>
                          </w:tcPr>
                          <w:p w14:paraId="0A3A730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(6,015.0)  </w:t>
                            </w:r>
                          </w:p>
                        </w:tc>
                        <w:tc>
                          <w:tcPr>
                            <w:tcW w:w="960" w:type="dxa"/>
                            <w:tcBorders>
                              <w:top w:val="single" w:sz="4" w:space="0" w:color="000000"/>
                              <w:left w:val="nil"/>
                              <w:bottom w:val="nil"/>
                              <w:right w:val="nil"/>
                            </w:tcBorders>
                            <w:hideMark/>
                          </w:tcPr>
                          <w:p w14:paraId="7F5A863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(17,722.0)  </w:t>
                            </w:r>
                          </w:p>
                        </w:tc>
                        <w:tc>
                          <w:tcPr>
                            <w:tcW w:w="960" w:type="dxa"/>
                            <w:tcBorders>
                              <w:top w:val="single" w:sz="4" w:space="0" w:color="000000"/>
                              <w:left w:val="nil"/>
                              <w:bottom w:val="nil"/>
                              <w:right w:val="nil"/>
                            </w:tcBorders>
                            <w:hideMark/>
                          </w:tcPr>
                          <w:p w14:paraId="4EDCB7B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(21,287.0)  </w:t>
                            </w:r>
                          </w:p>
                        </w:tc>
                        <w:tc>
                          <w:tcPr>
                            <w:tcW w:w="1160" w:type="dxa"/>
                            <w:tcBorders>
                              <w:top w:val="single" w:sz="4" w:space="0" w:color="000000"/>
                              <w:left w:val="nil"/>
                              <w:bottom w:val="nil"/>
                              <w:right w:val="nil"/>
                            </w:tcBorders>
                            <w:hideMark/>
                          </w:tcPr>
                          <w:p w14:paraId="047FB99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(21,379.0)  </w:t>
                            </w:r>
                          </w:p>
                        </w:tc>
                      </w:tr>
                      <w:tr w:rsidR="007D5332" w:rsidRPr="007D5332" w14:paraId="5A2880AD" w14:textId="77777777" w:rsidTr="007D5332">
                        <w:trPr>
                          <w:trHeight w:val="204"/>
                        </w:trPr>
                        <w:tc>
                          <w:tcPr>
                            <w:tcW w:w="3240" w:type="dxa"/>
                            <w:tcBorders>
                              <w:top w:val="nil"/>
                              <w:left w:val="nil"/>
                              <w:bottom w:val="nil"/>
                              <w:right w:val="nil"/>
                            </w:tcBorders>
                            <w:noWrap/>
                            <w:hideMark/>
                          </w:tcPr>
                          <w:p w14:paraId="7BA3E11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5900487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AE8CDC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02B2F3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3C069B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7A4658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68D8A46B"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D306000" w14:textId="77777777" w:rsidTr="007D5332">
                        <w:trPr>
                          <w:trHeight w:val="204"/>
                        </w:trPr>
                        <w:tc>
                          <w:tcPr>
                            <w:tcW w:w="3240" w:type="dxa"/>
                            <w:tcBorders>
                              <w:top w:val="nil"/>
                              <w:left w:val="nil"/>
                              <w:bottom w:val="nil"/>
                              <w:right w:val="nil"/>
                            </w:tcBorders>
                            <w:noWrap/>
                            <w:hideMark/>
                          </w:tcPr>
                          <w:p w14:paraId="5EDD4496"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Short Term Debt Issued</w:t>
                            </w:r>
                          </w:p>
                        </w:tc>
                        <w:tc>
                          <w:tcPr>
                            <w:tcW w:w="960" w:type="dxa"/>
                            <w:tcBorders>
                              <w:top w:val="nil"/>
                              <w:left w:val="nil"/>
                              <w:bottom w:val="nil"/>
                              <w:right w:val="nil"/>
                            </w:tcBorders>
                            <w:hideMark/>
                          </w:tcPr>
                          <w:p w14:paraId="699D233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4C5D681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670575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193.0 </w:t>
                            </w:r>
                          </w:p>
                        </w:tc>
                        <w:tc>
                          <w:tcPr>
                            <w:tcW w:w="960" w:type="dxa"/>
                            <w:tcBorders>
                              <w:top w:val="nil"/>
                              <w:left w:val="nil"/>
                              <w:bottom w:val="nil"/>
                              <w:right w:val="nil"/>
                            </w:tcBorders>
                            <w:hideMark/>
                          </w:tcPr>
                          <w:p w14:paraId="0ED4460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090549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512.0 </w:t>
                            </w:r>
                          </w:p>
                        </w:tc>
                        <w:tc>
                          <w:tcPr>
                            <w:tcW w:w="1160" w:type="dxa"/>
                            <w:tcBorders>
                              <w:top w:val="nil"/>
                              <w:left w:val="nil"/>
                              <w:bottom w:val="nil"/>
                              <w:right w:val="nil"/>
                            </w:tcBorders>
                            <w:hideMark/>
                          </w:tcPr>
                          <w:p w14:paraId="3C08EB1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2,212.0 </w:t>
                            </w:r>
                          </w:p>
                        </w:tc>
                      </w:tr>
                      <w:tr w:rsidR="007D5332" w:rsidRPr="007D5332" w14:paraId="33DCDE23" w14:textId="77777777" w:rsidTr="007D5332">
                        <w:trPr>
                          <w:trHeight w:val="204"/>
                        </w:trPr>
                        <w:tc>
                          <w:tcPr>
                            <w:tcW w:w="3240" w:type="dxa"/>
                            <w:tcBorders>
                              <w:top w:val="nil"/>
                              <w:left w:val="nil"/>
                              <w:bottom w:val="nil"/>
                              <w:right w:val="nil"/>
                            </w:tcBorders>
                            <w:noWrap/>
                            <w:hideMark/>
                          </w:tcPr>
                          <w:p w14:paraId="03DFA23E"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Long-Term Debt Issued</w:t>
                            </w:r>
                          </w:p>
                        </w:tc>
                        <w:tc>
                          <w:tcPr>
                            <w:tcW w:w="960" w:type="dxa"/>
                            <w:tcBorders>
                              <w:top w:val="nil"/>
                              <w:left w:val="nil"/>
                              <w:bottom w:val="nil"/>
                              <w:right w:val="nil"/>
                            </w:tcBorders>
                            <w:hideMark/>
                          </w:tcPr>
                          <w:p w14:paraId="355FC78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5,492.0 </w:t>
                            </w:r>
                          </w:p>
                        </w:tc>
                        <w:tc>
                          <w:tcPr>
                            <w:tcW w:w="960" w:type="dxa"/>
                            <w:tcBorders>
                              <w:top w:val="nil"/>
                              <w:left w:val="nil"/>
                              <w:bottom w:val="nil"/>
                              <w:right w:val="nil"/>
                            </w:tcBorders>
                            <w:hideMark/>
                          </w:tcPr>
                          <w:p w14:paraId="3675E62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640A24E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6,945.0 </w:t>
                            </w:r>
                          </w:p>
                        </w:tc>
                        <w:tc>
                          <w:tcPr>
                            <w:tcW w:w="960" w:type="dxa"/>
                            <w:tcBorders>
                              <w:top w:val="nil"/>
                              <w:left w:val="nil"/>
                              <w:bottom w:val="nil"/>
                              <w:right w:val="nil"/>
                            </w:tcBorders>
                            <w:hideMark/>
                          </w:tcPr>
                          <w:p w14:paraId="743786F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5,041.0 </w:t>
                            </w:r>
                          </w:p>
                        </w:tc>
                        <w:tc>
                          <w:tcPr>
                            <w:tcW w:w="960" w:type="dxa"/>
                            <w:tcBorders>
                              <w:top w:val="nil"/>
                              <w:left w:val="nil"/>
                              <w:bottom w:val="nil"/>
                              <w:right w:val="nil"/>
                            </w:tcBorders>
                            <w:hideMark/>
                          </w:tcPr>
                          <w:p w14:paraId="1142918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4,967.0 </w:t>
                            </w:r>
                          </w:p>
                        </w:tc>
                        <w:tc>
                          <w:tcPr>
                            <w:tcW w:w="1160" w:type="dxa"/>
                            <w:tcBorders>
                              <w:top w:val="nil"/>
                              <w:left w:val="nil"/>
                              <w:bottom w:val="nil"/>
                              <w:right w:val="nil"/>
                            </w:tcBorders>
                            <w:hideMark/>
                          </w:tcPr>
                          <w:p w14:paraId="41D56DA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5DC469AA" w14:textId="77777777" w:rsidTr="007D5332">
                        <w:trPr>
                          <w:trHeight w:val="204"/>
                        </w:trPr>
                        <w:tc>
                          <w:tcPr>
                            <w:tcW w:w="3240" w:type="dxa"/>
                            <w:tcBorders>
                              <w:top w:val="nil"/>
                              <w:left w:val="nil"/>
                              <w:bottom w:val="nil"/>
                              <w:right w:val="nil"/>
                            </w:tcBorders>
                            <w:noWrap/>
                            <w:hideMark/>
                          </w:tcPr>
                          <w:p w14:paraId="3B42B43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Debt Issued</w:t>
                            </w:r>
                          </w:p>
                        </w:tc>
                        <w:tc>
                          <w:tcPr>
                            <w:tcW w:w="960" w:type="dxa"/>
                            <w:tcBorders>
                              <w:top w:val="single" w:sz="4" w:space="0" w:color="000000"/>
                              <w:left w:val="nil"/>
                              <w:bottom w:val="nil"/>
                              <w:right w:val="nil"/>
                            </w:tcBorders>
                            <w:hideMark/>
                          </w:tcPr>
                          <w:p w14:paraId="0908711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5,492.0 </w:t>
                            </w:r>
                          </w:p>
                        </w:tc>
                        <w:tc>
                          <w:tcPr>
                            <w:tcW w:w="960" w:type="dxa"/>
                            <w:tcBorders>
                              <w:top w:val="single" w:sz="4" w:space="0" w:color="000000"/>
                              <w:left w:val="nil"/>
                              <w:bottom w:val="nil"/>
                              <w:right w:val="nil"/>
                            </w:tcBorders>
                            <w:hideMark/>
                          </w:tcPr>
                          <w:p w14:paraId="23E7EB7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w:t>
                            </w:r>
                          </w:p>
                        </w:tc>
                        <w:tc>
                          <w:tcPr>
                            <w:tcW w:w="960" w:type="dxa"/>
                            <w:tcBorders>
                              <w:top w:val="single" w:sz="4" w:space="0" w:color="000000"/>
                              <w:left w:val="nil"/>
                              <w:bottom w:val="nil"/>
                              <w:right w:val="nil"/>
                            </w:tcBorders>
                            <w:hideMark/>
                          </w:tcPr>
                          <w:p w14:paraId="1340A86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7,138.0 </w:t>
                            </w:r>
                          </w:p>
                        </w:tc>
                        <w:tc>
                          <w:tcPr>
                            <w:tcW w:w="960" w:type="dxa"/>
                            <w:tcBorders>
                              <w:top w:val="single" w:sz="4" w:space="0" w:color="000000"/>
                              <w:left w:val="nil"/>
                              <w:bottom w:val="nil"/>
                              <w:right w:val="nil"/>
                            </w:tcBorders>
                            <w:hideMark/>
                          </w:tcPr>
                          <w:p w14:paraId="3288E9B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5,041.0 </w:t>
                            </w:r>
                          </w:p>
                        </w:tc>
                        <w:tc>
                          <w:tcPr>
                            <w:tcW w:w="960" w:type="dxa"/>
                            <w:tcBorders>
                              <w:top w:val="single" w:sz="4" w:space="0" w:color="000000"/>
                              <w:left w:val="nil"/>
                              <w:bottom w:val="nil"/>
                              <w:right w:val="nil"/>
                            </w:tcBorders>
                            <w:hideMark/>
                          </w:tcPr>
                          <w:p w14:paraId="497A956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5,479.0 </w:t>
                            </w:r>
                          </w:p>
                        </w:tc>
                        <w:tc>
                          <w:tcPr>
                            <w:tcW w:w="1160" w:type="dxa"/>
                            <w:tcBorders>
                              <w:top w:val="single" w:sz="4" w:space="0" w:color="000000"/>
                              <w:left w:val="nil"/>
                              <w:bottom w:val="nil"/>
                              <w:right w:val="nil"/>
                            </w:tcBorders>
                            <w:hideMark/>
                          </w:tcPr>
                          <w:p w14:paraId="7EC16EC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2,212.0 </w:t>
                            </w:r>
                          </w:p>
                        </w:tc>
                      </w:tr>
                      <w:tr w:rsidR="007D5332" w:rsidRPr="007D5332" w14:paraId="772C3545" w14:textId="77777777" w:rsidTr="007D5332">
                        <w:trPr>
                          <w:trHeight w:val="204"/>
                        </w:trPr>
                        <w:tc>
                          <w:tcPr>
                            <w:tcW w:w="3240" w:type="dxa"/>
                            <w:tcBorders>
                              <w:top w:val="nil"/>
                              <w:left w:val="nil"/>
                              <w:bottom w:val="nil"/>
                              <w:right w:val="nil"/>
                            </w:tcBorders>
                            <w:noWrap/>
                            <w:hideMark/>
                          </w:tcPr>
                          <w:p w14:paraId="53168BC7"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Short Term Debt Repaid</w:t>
                            </w:r>
                          </w:p>
                        </w:tc>
                        <w:tc>
                          <w:tcPr>
                            <w:tcW w:w="960" w:type="dxa"/>
                            <w:tcBorders>
                              <w:top w:val="nil"/>
                              <w:left w:val="nil"/>
                              <w:bottom w:val="nil"/>
                              <w:right w:val="nil"/>
                            </w:tcBorders>
                            <w:hideMark/>
                          </w:tcPr>
                          <w:p w14:paraId="22FD362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(4,656.0)  </w:t>
                            </w:r>
                          </w:p>
                        </w:tc>
                        <w:tc>
                          <w:tcPr>
                            <w:tcW w:w="960" w:type="dxa"/>
                            <w:tcBorders>
                              <w:top w:val="nil"/>
                              <w:left w:val="nil"/>
                              <w:bottom w:val="nil"/>
                              <w:right w:val="nil"/>
                            </w:tcBorders>
                            <w:hideMark/>
                          </w:tcPr>
                          <w:p w14:paraId="6713160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(324.0)  </w:t>
                            </w:r>
                          </w:p>
                        </w:tc>
                        <w:tc>
                          <w:tcPr>
                            <w:tcW w:w="960" w:type="dxa"/>
                            <w:tcBorders>
                              <w:top w:val="nil"/>
                              <w:left w:val="nil"/>
                              <w:bottom w:val="nil"/>
                              <w:right w:val="nil"/>
                            </w:tcBorders>
                            <w:hideMark/>
                          </w:tcPr>
                          <w:p w14:paraId="6240527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58A9B11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(34.0)  </w:t>
                            </w:r>
                          </w:p>
                        </w:tc>
                        <w:tc>
                          <w:tcPr>
                            <w:tcW w:w="960" w:type="dxa"/>
                            <w:tcBorders>
                              <w:top w:val="nil"/>
                              <w:left w:val="nil"/>
                              <w:bottom w:val="nil"/>
                              <w:right w:val="nil"/>
                            </w:tcBorders>
                            <w:hideMark/>
                          </w:tcPr>
                          <w:p w14:paraId="00FADEB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333E46B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6A9EC8E4" w14:textId="77777777" w:rsidTr="007D5332">
                        <w:trPr>
                          <w:trHeight w:val="204"/>
                        </w:trPr>
                        <w:tc>
                          <w:tcPr>
                            <w:tcW w:w="3240" w:type="dxa"/>
                            <w:tcBorders>
                              <w:top w:val="nil"/>
                              <w:left w:val="nil"/>
                              <w:bottom w:val="nil"/>
                              <w:right w:val="nil"/>
                            </w:tcBorders>
                            <w:noWrap/>
                            <w:hideMark/>
                          </w:tcPr>
                          <w:p w14:paraId="76048C6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Long-Term Debt Repaid</w:t>
                            </w:r>
                          </w:p>
                        </w:tc>
                        <w:tc>
                          <w:tcPr>
                            <w:tcW w:w="960" w:type="dxa"/>
                            <w:tcBorders>
                              <w:top w:val="nil"/>
                              <w:left w:val="nil"/>
                              <w:bottom w:val="nil"/>
                              <w:right w:val="nil"/>
                            </w:tcBorders>
                            <w:hideMark/>
                          </w:tcPr>
                          <w:p w14:paraId="278AC55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(1,907.0)  </w:t>
                            </w:r>
                          </w:p>
                        </w:tc>
                        <w:tc>
                          <w:tcPr>
                            <w:tcW w:w="960" w:type="dxa"/>
                            <w:tcBorders>
                              <w:top w:val="nil"/>
                              <w:left w:val="nil"/>
                              <w:bottom w:val="nil"/>
                              <w:right w:val="nil"/>
                            </w:tcBorders>
                            <w:hideMark/>
                          </w:tcPr>
                          <w:p w14:paraId="11C1CC4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(5,382.0)  </w:t>
                            </w:r>
                          </w:p>
                        </w:tc>
                        <w:tc>
                          <w:tcPr>
                            <w:tcW w:w="960" w:type="dxa"/>
                            <w:tcBorders>
                              <w:top w:val="nil"/>
                              <w:left w:val="nil"/>
                              <w:bottom w:val="nil"/>
                              <w:right w:val="nil"/>
                            </w:tcBorders>
                            <w:hideMark/>
                          </w:tcPr>
                          <w:p w14:paraId="52C5F38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(13,010.0)  </w:t>
                            </w:r>
                          </w:p>
                        </w:tc>
                        <w:tc>
                          <w:tcPr>
                            <w:tcW w:w="960" w:type="dxa"/>
                            <w:tcBorders>
                              <w:top w:val="nil"/>
                              <w:left w:val="nil"/>
                              <w:bottom w:val="nil"/>
                              <w:right w:val="nil"/>
                            </w:tcBorders>
                            <w:hideMark/>
                          </w:tcPr>
                          <w:p w14:paraId="0F1BEC3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(2,689.0)  </w:t>
                            </w:r>
                          </w:p>
                        </w:tc>
                        <w:tc>
                          <w:tcPr>
                            <w:tcW w:w="960" w:type="dxa"/>
                            <w:tcBorders>
                              <w:top w:val="nil"/>
                              <w:left w:val="nil"/>
                              <w:bottom w:val="nil"/>
                              <w:right w:val="nil"/>
                            </w:tcBorders>
                            <w:hideMark/>
                          </w:tcPr>
                          <w:p w14:paraId="3D42BF7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(4,217.0)  </w:t>
                            </w:r>
                          </w:p>
                        </w:tc>
                        <w:tc>
                          <w:tcPr>
                            <w:tcW w:w="1160" w:type="dxa"/>
                            <w:tcBorders>
                              <w:top w:val="nil"/>
                              <w:left w:val="nil"/>
                              <w:bottom w:val="nil"/>
                              <w:right w:val="nil"/>
                            </w:tcBorders>
                            <w:hideMark/>
                          </w:tcPr>
                          <w:p w14:paraId="44B83A3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(3,468.0)  </w:t>
                            </w:r>
                          </w:p>
                        </w:tc>
                      </w:tr>
                      <w:tr w:rsidR="007D5332" w:rsidRPr="007D5332" w14:paraId="7133F648" w14:textId="77777777" w:rsidTr="007D5332">
                        <w:trPr>
                          <w:trHeight w:val="204"/>
                        </w:trPr>
                        <w:tc>
                          <w:tcPr>
                            <w:tcW w:w="3240" w:type="dxa"/>
                            <w:tcBorders>
                              <w:top w:val="nil"/>
                              <w:left w:val="nil"/>
                              <w:bottom w:val="nil"/>
                              <w:right w:val="nil"/>
                            </w:tcBorders>
                            <w:noWrap/>
                            <w:hideMark/>
                          </w:tcPr>
                          <w:p w14:paraId="688DBC66"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Debt Repaid</w:t>
                            </w:r>
                          </w:p>
                        </w:tc>
                        <w:tc>
                          <w:tcPr>
                            <w:tcW w:w="960" w:type="dxa"/>
                            <w:tcBorders>
                              <w:top w:val="single" w:sz="4" w:space="0" w:color="000000"/>
                              <w:left w:val="nil"/>
                              <w:bottom w:val="nil"/>
                              <w:right w:val="nil"/>
                            </w:tcBorders>
                            <w:hideMark/>
                          </w:tcPr>
                          <w:p w14:paraId="208192A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(6,563.0)  </w:t>
                            </w:r>
                          </w:p>
                        </w:tc>
                        <w:tc>
                          <w:tcPr>
                            <w:tcW w:w="960" w:type="dxa"/>
                            <w:tcBorders>
                              <w:top w:val="single" w:sz="4" w:space="0" w:color="000000"/>
                              <w:left w:val="nil"/>
                              <w:bottom w:val="nil"/>
                              <w:right w:val="nil"/>
                            </w:tcBorders>
                            <w:hideMark/>
                          </w:tcPr>
                          <w:p w14:paraId="25E33B2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(5,706.0)  </w:t>
                            </w:r>
                          </w:p>
                        </w:tc>
                        <w:tc>
                          <w:tcPr>
                            <w:tcW w:w="960" w:type="dxa"/>
                            <w:tcBorders>
                              <w:top w:val="single" w:sz="4" w:space="0" w:color="000000"/>
                              <w:left w:val="nil"/>
                              <w:bottom w:val="nil"/>
                              <w:right w:val="nil"/>
                            </w:tcBorders>
                            <w:hideMark/>
                          </w:tcPr>
                          <w:p w14:paraId="1961FD8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(13,010.0)  </w:t>
                            </w:r>
                          </w:p>
                        </w:tc>
                        <w:tc>
                          <w:tcPr>
                            <w:tcW w:w="960" w:type="dxa"/>
                            <w:tcBorders>
                              <w:top w:val="single" w:sz="4" w:space="0" w:color="000000"/>
                              <w:left w:val="nil"/>
                              <w:bottom w:val="nil"/>
                              <w:right w:val="nil"/>
                            </w:tcBorders>
                            <w:hideMark/>
                          </w:tcPr>
                          <w:p w14:paraId="5F47BEC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(2,723.0)  </w:t>
                            </w:r>
                          </w:p>
                        </w:tc>
                        <w:tc>
                          <w:tcPr>
                            <w:tcW w:w="960" w:type="dxa"/>
                            <w:tcBorders>
                              <w:top w:val="single" w:sz="4" w:space="0" w:color="000000"/>
                              <w:left w:val="nil"/>
                              <w:bottom w:val="nil"/>
                              <w:right w:val="nil"/>
                            </w:tcBorders>
                            <w:hideMark/>
                          </w:tcPr>
                          <w:p w14:paraId="5E6F45A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(4,217.0)  </w:t>
                            </w:r>
                          </w:p>
                        </w:tc>
                        <w:tc>
                          <w:tcPr>
                            <w:tcW w:w="1160" w:type="dxa"/>
                            <w:tcBorders>
                              <w:top w:val="single" w:sz="4" w:space="0" w:color="000000"/>
                              <w:left w:val="nil"/>
                              <w:bottom w:val="nil"/>
                              <w:right w:val="nil"/>
                            </w:tcBorders>
                            <w:hideMark/>
                          </w:tcPr>
                          <w:p w14:paraId="6DD0756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(3,468.0)  </w:t>
                            </w:r>
                          </w:p>
                        </w:tc>
                      </w:tr>
                      <w:tr w:rsidR="007D5332" w:rsidRPr="007D5332" w14:paraId="38131109" w14:textId="77777777" w:rsidTr="007D5332">
                        <w:trPr>
                          <w:trHeight w:val="204"/>
                        </w:trPr>
                        <w:tc>
                          <w:tcPr>
                            <w:tcW w:w="3240" w:type="dxa"/>
                            <w:tcBorders>
                              <w:top w:val="nil"/>
                              <w:left w:val="nil"/>
                              <w:bottom w:val="nil"/>
                              <w:right w:val="nil"/>
                            </w:tcBorders>
                            <w:noWrap/>
                            <w:hideMark/>
                          </w:tcPr>
                          <w:p w14:paraId="717C25A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42BDA7D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0DC24F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883E7D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762B69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104AC9E"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6B5F0A1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490C29DC" w14:textId="77777777" w:rsidTr="007D5332">
                        <w:trPr>
                          <w:trHeight w:val="204"/>
                        </w:trPr>
                        <w:tc>
                          <w:tcPr>
                            <w:tcW w:w="3240" w:type="dxa"/>
                            <w:tcBorders>
                              <w:top w:val="nil"/>
                              <w:left w:val="nil"/>
                              <w:bottom w:val="nil"/>
                              <w:right w:val="nil"/>
                            </w:tcBorders>
                            <w:noWrap/>
                            <w:hideMark/>
                          </w:tcPr>
                          <w:p w14:paraId="4E8169B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Repurchase of Common Stock</w:t>
                            </w:r>
                          </w:p>
                        </w:tc>
                        <w:tc>
                          <w:tcPr>
                            <w:tcW w:w="960" w:type="dxa"/>
                            <w:tcBorders>
                              <w:top w:val="nil"/>
                              <w:left w:val="nil"/>
                              <w:bottom w:val="nil"/>
                              <w:right w:val="nil"/>
                            </w:tcBorders>
                            <w:hideMark/>
                          </w:tcPr>
                          <w:p w14:paraId="55C0D3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(5,717.0)  </w:t>
                            </w:r>
                          </w:p>
                        </w:tc>
                        <w:tc>
                          <w:tcPr>
                            <w:tcW w:w="960" w:type="dxa"/>
                            <w:tcBorders>
                              <w:top w:val="nil"/>
                              <w:left w:val="nil"/>
                              <w:bottom w:val="nil"/>
                              <w:right w:val="nil"/>
                            </w:tcBorders>
                            <w:hideMark/>
                          </w:tcPr>
                          <w:p w14:paraId="6176A0D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(2,625.0)  </w:t>
                            </w:r>
                          </w:p>
                        </w:tc>
                        <w:tc>
                          <w:tcPr>
                            <w:tcW w:w="960" w:type="dxa"/>
                            <w:tcBorders>
                              <w:top w:val="nil"/>
                              <w:left w:val="nil"/>
                              <w:bottom w:val="nil"/>
                              <w:right w:val="nil"/>
                            </w:tcBorders>
                            <w:hideMark/>
                          </w:tcPr>
                          <w:p w14:paraId="1F06161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(9,787.0)  </w:t>
                            </w:r>
                          </w:p>
                        </w:tc>
                        <w:tc>
                          <w:tcPr>
                            <w:tcW w:w="960" w:type="dxa"/>
                            <w:tcBorders>
                              <w:top w:val="nil"/>
                              <w:left w:val="nil"/>
                              <w:bottom w:val="nil"/>
                              <w:right w:val="nil"/>
                            </w:tcBorders>
                            <w:hideMark/>
                          </w:tcPr>
                          <w:p w14:paraId="478AB8C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(9,920.0)  </w:t>
                            </w:r>
                          </w:p>
                        </w:tc>
                        <w:tc>
                          <w:tcPr>
                            <w:tcW w:w="960" w:type="dxa"/>
                            <w:tcBorders>
                              <w:top w:val="nil"/>
                              <w:left w:val="nil"/>
                              <w:bottom w:val="nil"/>
                              <w:right w:val="nil"/>
                            </w:tcBorders>
                            <w:hideMark/>
                          </w:tcPr>
                          <w:p w14:paraId="2FDFF2F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(2,779.0)  </w:t>
                            </w:r>
                          </w:p>
                        </w:tc>
                        <w:tc>
                          <w:tcPr>
                            <w:tcW w:w="1160" w:type="dxa"/>
                            <w:tcBorders>
                              <w:top w:val="nil"/>
                              <w:left w:val="nil"/>
                              <w:bottom w:val="nil"/>
                              <w:right w:val="nil"/>
                            </w:tcBorders>
                            <w:hideMark/>
                          </w:tcPr>
                          <w:p w14:paraId="3D783EC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(4,494.0)  </w:t>
                            </w:r>
                          </w:p>
                        </w:tc>
                      </w:tr>
                      <w:tr w:rsidR="007D5332" w:rsidRPr="007D5332" w14:paraId="766080C0" w14:textId="77777777" w:rsidTr="007D5332">
                        <w:trPr>
                          <w:trHeight w:val="204"/>
                        </w:trPr>
                        <w:tc>
                          <w:tcPr>
                            <w:tcW w:w="3240" w:type="dxa"/>
                            <w:tcBorders>
                              <w:top w:val="nil"/>
                              <w:left w:val="nil"/>
                              <w:bottom w:val="nil"/>
                              <w:right w:val="nil"/>
                            </w:tcBorders>
                            <w:noWrap/>
                            <w:hideMark/>
                          </w:tcPr>
                          <w:p w14:paraId="72AEBC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p>
                        </w:tc>
                        <w:tc>
                          <w:tcPr>
                            <w:tcW w:w="960" w:type="dxa"/>
                            <w:tcBorders>
                              <w:top w:val="nil"/>
                              <w:left w:val="nil"/>
                              <w:bottom w:val="nil"/>
                              <w:right w:val="nil"/>
                            </w:tcBorders>
                            <w:noWrap/>
                            <w:hideMark/>
                          </w:tcPr>
                          <w:p w14:paraId="34751F34"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C3ACB4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69473C0"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8295F3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637CD33"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55C80B25"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2C37419" w14:textId="77777777" w:rsidTr="007D5332">
                        <w:trPr>
                          <w:trHeight w:val="204"/>
                        </w:trPr>
                        <w:tc>
                          <w:tcPr>
                            <w:tcW w:w="3240" w:type="dxa"/>
                            <w:tcBorders>
                              <w:top w:val="nil"/>
                              <w:left w:val="nil"/>
                              <w:bottom w:val="nil"/>
                              <w:right w:val="nil"/>
                            </w:tcBorders>
                            <w:noWrap/>
                            <w:hideMark/>
                          </w:tcPr>
                          <w:p w14:paraId="6F383EAF"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Common Dividends Paid</w:t>
                            </w:r>
                          </w:p>
                        </w:tc>
                        <w:tc>
                          <w:tcPr>
                            <w:tcW w:w="960" w:type="dxa"/>
                            <w:tcBorders>
                              <w:top w:val="nil"/>
                              <w:left w:val="nil"/>
                              <w:bottom w:val="nil"/>
                              <w:right w:val="nil"/>
                            </w:tcBorders>
                            <w:hideMark/>
                          </w:tcPr>
                          <w:p w14:paraId="5BC9A00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(6,048.0)  </w:t>
                            </w:r>
                          </w:p>
                        </w:tc>
                        <w:tc>
                          <w:tcPr>
                            <w:tcW w:w="960" w:type="dxa"/>
                            <w:tcBorders>
                              <w:top w:val="nil"/>
                              <w:left w:val="nil"/>
                              <w:bottom w:val="nil"/>
                              <w:right w:val="nil"/>
                            </w:tcBorders>
                            <w:hideMark/>
                          </w:tcPr>
                          <w:p w14:paraId="610C3DD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(6,116.0)  </w:t>
                            </w:r>
                          </w:p>
                        </w:tc>
                        <w:tc>
                          <w:tcPr>
                            <w:tcW w:w="960" w:type="dxa"/>
                            <w:tcBorders>
                              <w:top w:val="nil"/>
                              <w:left w:val="nil"/>
                              <w:bottom w:val="nil"/>
                              <w:right w:val="nil"/>
                            </w:tcBorders>
                            <w:hideMark/>
                          </w:tcPr>
                          <w:p w14:paraId="2DAE895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(6,152.0)  </w:t>
                            </w:r>
                          </w:p>
                        </w:tc>
                        <w:tc>
                          <w:tcPr>
                            <w:tcW w:w="960" w:type="dxa"/>
                            <w:tcBorders>
                              <w:top w:val="nil"/>
                              <w:left w:val="nil"/>
                              <w:bottom w:val="nil"/>
                              <w:right w:val="nil"/>
                            </w:tcBorders>
                            <w:hideMark/>
                          </w:tcPr>
                          <w:p w14:paraId="1BD806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(6,114.0)  </w:t>
                            </w:r>
                          </w:p>
                        </w:tc>
                        <w:tc>
                          <w:tcPr>
                            <w:tcW w:w="960" w:type="dxa"/>
                            <w:tcBorders>
                              <w:top w:val="nil"/>
                              <w:left w:val="nil"/>
                              <w:bottom w:val="nil"/>
                              <w:right w:val="nil"/>
                            </w:tcBorders>
                            <w:hideMark/>
                          </w:tcPr>
                          <w:p w14:paraId="497A8CE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(6,140.0)  </w:t>
                            </w:r>
                          </w:p>
                        </w:tc>
                        <w:tc>
                          <w:tcPr>
                            <w:tcW w:w="1160" w:type="dxa"/>
                            <w:tcBorders>
                              <w:top w:val="nil"/>
                              <w:left w:val="nil"/>
                              <w:bottom w:val="nil"/>
                              <w:right w:val="nil"/>
                            </w:tcBorders>
                            <w:hideMark/>
                          </w:tcPr>
                          <w:p w14:paraId="7D7CAB4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(6,688.0)  </w:t>
                            </w:r>
                          </w:p>
                        </w:tc>
                      </w:tr>
                      <w:tr w:rsidR="007D5332" w:rsidRPr="007D5332" w14:paraId="1358AF9B" w14:textId="77777777" w:rsidTr="007D5332">
                        <w:trPr>
                          <w:trHeight w:val="204"/>
                        </w:trPr>
                        <w:tc>
                          <w:tcPr>
                            <w:tcW w:w="3240" w:type="dxa"/>
                            <w:tcBorders>
                              <w:top w:val="nil"/>
                              <w:left w:val="nil"/>
                              <w:bottom w:val="nil"/>
                              <w:right w:val="nil"/>
                            </w:tcBorders>
                            <w:noWrap/>
                            <w:hideMark/>
                          </w:tcPr>
                          <w:p w14:paraId="0F49AAA4"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Total Dividends Paid</w:t>
                            </w:r>
                          </w:p>
                        </w:tc>
                        <w:tc>
                          <w:tcPr>
                            <w:tcW w:w="960" w:type="dxa"/>
                            <w:tcBorders>
                              <w:top w:val="single" w:sz="4" w:space="0" w:color="000000"/>
                              <w:left w:val="nil"/>
                              <w:bottom w:val="nil"/>
                              <w:right w:val="nil"/>
                            </w:tcBorders>
                            <w:hideMark/>
                          </w:tcPr>
                          <w:p w14:paraId="18241AF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(6,048.0)  </w:t>
                            </w:r>
                          </w:p>
                        </w:tc>
                        <w:tc>
                          <w:tcPr>
                            <w:tcW w:w="960" w:type="dxa"/>
                            <w:tcBorders>
                              <w:top w:val="single" w:sz="4" w:space="0" w:color="000000"/>
                              <w:left w:val="nil"/>
                              <w:bottom w:val="nil"/>
                              <w:right w:val="nil"/>
                            </w:tcBorders>
                            <w:hideMark/>
                          </w:tcPr>
                          <w:p w14:paraId="3C2B30D9"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(6,116.0)  </w:t>
                            </w:r>
                          </w:p>
                        </w:tc>
                        <w:tc>
                          <w:tcPr>
                            <w:tcW w:w="960" w:type="dxa"/>
                            <w:tcBorders>
                              <w:top w:val="single" w:sz="4" w:space="0" w:color="000000"/>
                              <w:left w:val="nil"/>
                              <w:bottom w:val="nil"/>
                              <w:right w:val="nil"/>
                            </w:tcBorders>
                            <w:hideMark/>
                          </w:tcPr>
                          <w:p w14:paraId="5FFDDAB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(6,152.0)  </w:t>
                            </w:r>
                          </w:p>
                        </w:tc>
                        <w:tc>
                          <w:tcPr>
                            <w:tcW w:w="960" w:type="dxa"/>
                            <w:tcBorders>
                              <w:top w:val="single" w:sz="4" w:space="0" w:color="000000"/>
                              <w:left w:val="nil"/>
                              <w:bottom w:val="nil"/>
                              <w:right w:val="nil"/>
                            </w:tcBorders>
                            <w:hideMark/>
                          </w:tcPr>
                          <w:p w14:paraId="28BD395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(6,114.0)  </w:t>
                            </w:r>
                          </w:p>
                        </w:tc>
                        <w:tc>
                          <w:tcPr>
                            <w:tcW w:w="960" w:type="dxa"/>
                            <w:tcBorders>
                              <w:top w:val="single" w:sz="4" w:space="0" w:color="000000"/>
                              <w:left w:val="nil"/>
                              <w:bottom w:val="nil"/>
                              <w:right w:val="nil"/>
                            </w:tcBorders>
                            <w:hideMark/>
                          </w:tcPr>
                          <w:p w14:paraId="7E4D6650"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(6,140.0)  </w:t>
                            </w:r>
                          </w:p>
                        </w:tc>
                        <w:tc>
                          <w:tcPr>
                            <w:tcW w:w="1160" w:type="dxa"/>
                            <w:tcBorders>
                              <w:top w:val="single" w:sz="4" w:space="0" w:color="000000"/>
                              <w:left w:val="nil"/>
                              <w:bottom w:val="nil"/>
                              <w:right w:val="nil"/>
                            </w:tcBorders>
                            <w:hideMark/>
                          </w:tcPr>
                          <w:p w14:paraId="7A5B159A"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(6,688.0)  </w:t>
                            </w:r>
                          </w:p>
                        </w:tc>
                      </w:tr>
                      <w:tr w:rsidR="007D5332" w:rsidRPr="007D5332" w14:paraId="345E6B19" w14:textId="77777777" w:rsidTr="007D5332">
                        <w:trPr>
                          <w:trHeight w:val="204"/>
                        </w:trPr>
                        <w:tc>
                          <w:tcPr>
                            <w:tcW w:w="3240" w:type="dxa"/>
                            <w:tcBorders>
                              <w:top w:val="nil"/>
                              <w:left w:val="nil"/>
                              <w:bottom w:val="nil"/>
                              <w:right w:val="nil"/>
                            </w:tcBorders>
                            <w:noWrap/>
                            <w:hideMark/>
                          </w:tcPr>
                          <w:p w14:paraId="4C558E1F"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093A19A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4F7B03B"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D308B9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A69117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BD0508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41AD673D"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312ECFA3" w14:textId="77777777" w:rsidTr="007D5332">
                        <w:trPr>
                          <w:trHeight w:val="204"/>
                        </w:trPr>
                        <w:tc>
                          <w:tcPr>
                            <w:tcW w:w="3240" w:type="dxa"/>
                            <w:tcBorders>
                              <w:top w:val="nil"/>
                              <w:left w:val="nil"/>
                              <w:bottom w:val="nil"/>
                              <w:right w:val="nil"/>
                            </w:tcBorders>
                            <w:noWrap/>
                            <w:hideMark/>
                          </w:tcPr>
                          <w:p w14:paraId="253F730D"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Special Dividend Paid</w:t>
                            </w:r>
                          </w:p>
                        </w:tc>
                        <w:tc>
                          <w:tcPr>
                            <w:tcW w:w="960" w:type="dxa"/>
                            <w:tcBorders>
                              <w:top w:val="nil"/>
                              <w:left w:val="nil"/>
                              <w:bottom w:val="nil"/>
                              <w:right w:val="nil"/>
                            </w:tcBorders>
                            <w:hideMark/>
                          </w:tcPr>
                          <w:p w14:paraId="0E2D92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5660E4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373E96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770E7B62"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01A04D9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7DCCB45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60DF928C" w14:textId="77777777" w:rsidTr="007D5332">
                        <w:trPr>
                          <w:trHeight w:val="204"/>
                        </w:trPr>
                        <w:tc>
                          <w:tcPr>
                            <w:tcW w:w="3240" w:type="dxa"/>
                            <w:tcBorders>
                              <w:top w:val="nil"/>
                              <w:left w:val="nil"/>
                              <w:bottom w:val="nil"/>
                              <w:right w:val="nil"/>
                            </w:tcBorders>
                            <w:noWrap/>
                            <w:hideMark/>
                          </w:tcPr>
                          <w:p w14:paraId="6BE06C6A"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Other Financing Activities</w:t>
                            </w:r>
                          </w:p>
                        </w:tc>
                        <w:tc>
                          <w:tcPr>
                            <w:tcW w:w="960" w:type="dxa"/>
                            <w:tcBorders>
                              <w:top w:val="nil"/>
                              <w:left w:val="nil"/>
                              <w:bottom w:val="nil"/>
                              <w:right w:val="nil"/>
                            </w:tcBorders>
                            <w:hideMark/>
                          </w:tcPr>
                          <w:p w14:paraId="1BAC144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(1,463.0)  </w:t>
                            </w:r>
                          </w:p>
                        </w:tc>
                        <w:tc>
                          <w:tcPr>
                            <w:tcW w:w="960" w:type="dxa"/>
                            <w:tcBorders>
                              <w:top w:val="nil"/>
                              <w:left w:val="nil"/>
                              <w:bottom w:val="nil"/>
                              <w:right w:val="nil"/>
                            </w:tcBorders>
                            <w:hideMark/>
                          </w:tcPr>
                          <w:p w14:paraId="33936FC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(1,670.0)  </w:t>
                            </w:r>
                          </w:p>
                        </w:tc>
                        <w:tc>
                          <w:tcPr>
                            <w:tcW w:w="960" w:type="dxa"/>
                            <w:tcBorders>
                              <w:top w:val="nil"/>
                              <w:left w:val="nil"/>
                              <w:bottom w:val="nil"/>
                              <w:right w:val="nil"/>
                            </w:tcBorders>
                            <w:hideMark/>
                          </w:tcPr>
                          <w:p w14:paraId="3A3388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(1,017.0)  </w:t>
                            </w:r>
                          </w:p>
                        </w:tc>
                        <w:tc>
                          <w:tcPr>
                            <w:tcW w:w="960" w:type="dxa"/>
                            <w:tcBorders>
                              <w:top w:val="nil"/>
                              <w:left w:val="nil"/>
                              <w:bottom w:val="nil"/>
                              <w:right w:val="nil"/>
                            </w:tcBorders>
                            <w:hideMark/>
                          </w:tcPr>
                          <w:p w14:paraId="661A78F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(3,323.0)  </w:t>
                            </w:r>
                          </w:p>
                        </w:tc>
                        <w:tc>
                          <w:tcPr>
                            <w:tcW w:w="960" w:type="dxa"/>
                            <w:tcBorders>
                              <w:top w:val="nil"/>
                              <w:left w:val="nil"/>
                              <w:bottom w:val="nil"/>
                              <w:right w:val="nil"/>
                            </w:tcBorders>
                            <w:hideMark/>
                          </w:tcPr>
                          <w:p w14:paraId="209FAAF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(5,757.0)  </w:t>
                            </w:r>
                          </w:p>
                        </w:tc>
                        <w:tc>
                          <w:tcPr>
                            <w:tcW w:w="1160" w:type="dxa"/>
                            <w:tcBorders>
                              <w:top w:val="nil"/>
                              <w:left w:val="nil"/>
                              <w:bottom w:val="nil"/>
                              <w:right w:val="nil"/>
                            </w:tcBorders>
                            <w:hideMark/>
                          </w:tcPr>
                          <w:p w14:paraId="286FB78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(2,384.0)  </w:t>
                            </w:r>
                          </w:p>
                        </w:tc>
                      </w:tr>
                      <w:tr w:rsidR="007D5332" w:rsidRPr="007D5332" w14:paraId="7556FF18" w14:textId="77777777" w:rsidTr="007D5332">
                        <w:trPr>
                          <w:trHeight w:val="204"/>
                        </w:trPr>
                        <w:tc>
                          <w:tcPr>
                            <w:tcW w:w="3240" w:type="dxa"/>
                            <w:tcBorders>
                              <w:top w:val="nil"/>
                              <w:left w:val="nil"/>
                              <w:bottom w:val="nil"/>
                              <w:right w:val="nil"/>
                            </w:tcBorders>
                            <w:noWrap/>
                            <w:hideMark/>
                          </w:tcPr>
                          <w:p w14:paraId="7C05F805"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Cash from Financing</w:t>
                            </w:r>
                          </w:p>
                        </w:tc>
                        <w:tc>
                          <w:tcPr>
                            <w:tcW w:w="960" w:type="dxa"/>
                            <w:tcBorders>
                              <w:top w:val="single" w:sz="4" w:space="0" w:color="000000"/>
                              <w:left w:val="nil"/>
                              <w:bottom w:val="nil"/>
                              <w:right w:val="nil"/>
                            </w:tcBorders>
                            <w:hideMark/>
                          </w:tcPr>
                          <w:p w14:paraId="0C08DEF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(14,299.0)  </w:t>
                            </w:r>
                          </w:p>
                        </w:tc>
                        <w:tc>
                          <w:tcPr>
                            <w:tcW w:w="960" w:type="dxa"/>
                            <w:tcBorders>
                              <w:top w:val="single" w:sz="4" w:space="0" w:color="000000"/>
                              <w:left w:val="nil"/>
                              <w:bottom w:val="nil"/>
                              <w:right w:val="nil"/>
                            </w:tcBorders>
                            <w:hideMark/>
                          </w:tcPr>
                          <w:p w14:paraId="4B5F5D76"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(16,117.0)  </w:t>
                            </w:r>
                          </w:p>
                        </w:tc>
                        <w:tc>
                          <w:tcPr>
                            <w:tcW w:w="960" w:type="dxa"/>
                            <w:tcBorders>
                              <w:top w:val="single" w:sz="4" w:space="0" w:color="000000"/>
                              <w:left w:val="nil"/>
                              <w:bottom w:val="nil"/>
                              <w:right w:val="nil"/>
                            </w:tcBorders>
                            <w:hideMark/>
                          </w:tcPr>
                          <w:p w14:paraId="249151A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(22,828.0)  </w:t>
                            </w:r>
                          </w:p>
                        </w:tc>
                        <w:tc>
                          <w:tcPr>
                            <w:tcW w:w="960" w:type="dxa"/>
                            <w:tcBorders>
                              <w:top w:val="single" w:sz="4" w:space="0" w:color="000000"/>
                              <w:left w:val="nil"/>
                              <w:bottom w:val="nil"/>
                              <w:right w:val="nil"/>
                            </w:tcBorders>
                            <w:hideMark/>
                          </w:tcPr>
                          <w:p w14:paraId="75F57E8D"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(17,039.0)  </w:t>
                            </w:r>
                          </w:p>
                        </w:tc>
                        <w:tc>
                          <w:tcPr>
                            <w:tcW w:w="960" w:type="dxa"/>
                            <w:tcBorders>
                              <w:top w:val="single" w:sz="4" w:space="0" w:color="000000"/>
                              <w:left w:val="nil"/>
                              <w:bottom w:val="nil"/>
                              <w:right w:val="nil"/>
                            </w:tcBorders>
                            <w:hideMark/>
                          </w:tcPr>
                          <w:p w14:paraId="6604EB18"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(13,414.0)  </w:t>
                            </w:r>
                          </w:p>
                        </w:tc>
                        <w:tc>
                          <w:tcPr>
                            <w:tcW w:w="1160" w:type="dxa"/>
                            <w:tcBorders>
                              <w:top w:val="single" w:sz="4" w:space="0" w:color="000000"/>
                              <w:left w:val="nil"/>
                              <w:bottom w:val="nil"/>
                              <w:right w:val="nil"/>
                            </w:tcBorders>
                            <w:hideMark/>
                          </w:tcPr>
                          <w:p w14:paraId="65BBEBEE"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(14,822.0)  </w:t>
                            </w:r>
                          </w:p>
                        </w:tc>
                      </w:tr>
                      <w:tr w:rsidR="007D5332" w:rsidRPr="007D5332" w14:paraId="2BF37700" w14:textId="77777777" w:rsidTr="007D5332">
                        <w:trPr>
                          <w:trHeight w:val="204"/>
                        </w:trPr>
                        <w:tc>
                          <w:tcPr>
                            <w:tcW w:w="3240" w:type="dxa"/>
                            <w:tcBorders>
                              <w:top w:val="nil"/>
                              <w:left w:val="nil"/>
                              <w:bottom w:val="nil"/>
                              <w:right w:val="nil"/>
                            </w:tcBorders>
                            <w:noWrap/>
                            <w:hideMark/>
                          </w:tcPr>
                          <w:p w14:paraId="258542AB"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045B52D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E85EF34"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3336635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488E35C8"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2B21B71"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55D3731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196C772D" w14:textId="77777777" w:rsidTr="007D5332">
                        <w:trPr>
                          <w:trHeight w:val="204"/>
                        </w:trPr>
                        <w:tc>
                          <w:tcPr>
                            <w:tcW w:w="3240" w:type="dxa"/>
                            <w:tcBorders>
                              <w:top w:val="nil"/>
                              <w:left w:val="nil"/>
                              <w:bottom w:val="nil"/>
                              <w:right w:val="nil"/>
                            </w:tcBorders>
                            <w:noWrap/>
                            <w:hideMark/>
                          </w:tcPr>
                          <w:p w14:paraId="36290A93"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Foreign Exchange Rate Adj.</w:t>
                            </w:r>
                          </w:p>
                        </w:tc>
                        <w:tc>
                          <w:tcPr>
                            <w:tcW w:w="960" w:type="dxa"/>
                            <w:tcBorders>
                              <w:top w:val="nil"/>
                              <w:left w:val="nil"/>
                              <w:bottom w:val="nil"/>
                              <w:right w:val="nil"/>
                            </w:tcBorders>
                            <w:hideMark/>
                          </w:tcPr>
                          <w:p w14:paraId="5F877F7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(69.0)  </w:t>
                            </w:r>
                          </w:p>
                        </w:tc>
                        <w:tc>
                          <w:tcPr>
                            <w:tcW w:w="960" w:type="dxa"/>
                            <w:tcBorders>
                              <w:top w:val="nil"/>
                              <w:left w:val="nil"/>
                              <w:bottom w:val="nil"/>
                              <w:right w:val="nil"/>
                            </w:tcBorders>
                            <w:hideMark/>
                          </w:tcPr>
                          <w:p w14:paraId="6C32F9A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235.0 </w:t>
                            </w:r>
                          </w:p>
                        </w:tc>
                        <w:tc>
                          <w:tcPr>
                            <w:tcW w:w="960" w:type="dxa"/>
                            <w:tcBorders>
                              <w:top w:val="nil"/>
                              <w:left w:val="nil"/>
                              <w:bottom w:val="nil"/>
                              <w:right w:val="nil"/>
                            </w:tcBorders>
                            <w:hideMark/>
                          </w:tcPr>
                          <w:p w14:paraId="7AA0B00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(140.0)  </w:t>
                            </w:r>
                          </w:p>
                        </w:tc>
                        <w:tc>
                          <w:tcPr>
                            <w:tcW w:w="960" w:type="dxa"/>
                            <w:tcBorders>
                              <w:top w:val="nil"/>
                              <w:left w:val="nil"/>
                              <w:bottom w:val="nil"/>
                              <w:right w:val="nil"/>
                            </w:tcBorders>
                            <w:hideMark/>
                          </w:tcPr>
                          <w:p w14:paraId="018D91C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(73.0)  </w:t>
                            </w:r>
                          </w:p>
                        </w:tc>
                        <w:tc>
                          <w:tcPr>
                            <w:tcW w:w="960" w:type="dxa"/>
                            <w:tcBorders>
                              <w:top w:val="nil"/>
                              <w:left w:val="nil"/>
                              <w:bottom w:val="nil"/>
                              <w:right w:val="nil"/>
                            </w:tcBorders>
                            <w:hideMark/>
                          </w:tcPr>
                          <w:p w14:paraId="2F1D35D0"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69.0 </w:t>
                            </w:r>
                          </w:p>
                        </w:tc>
                        <w:tc>
                          <w:tcPr>
                            <w:tcW w:w="1160" w:type="dxa"/>
                            <w:tcBorders>
                              <w:top w:val="nil"/>
                              <w:left w:val="nil"/>
                              <w:bottom w:val="nil"/>
                              <w:right w:val="nil"/>
                            </w:tcBorders>
                            <w:hideMark/>
                          </w:tcPr>
                          <w:p w14:paraId="0EA635D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(641.0)  </w:t>
                            </w:r>
                          </w:p>
                        </w:tc>
                      </w:tr>
                      <w:tr w:rsidR="007D5332" w:rsidRPr="007D5332" w14:paraId="68C8FE86" w14:textId="77777777" w:rsidTr="007D5332">
                        <w:trPr>
                          <w:trHeight w:val="204"/>
                        </w:trPr>
                        <w:tc>
                          <w:tcPr>
                            <w:tcW w:w="3240" w:type="dxa"/>
                            <w:tcBorders>
                              <w:top w:val="nil"/>
                              <w:left w:val="nil"/>
                              <w:bottom w:val="nil"/>
                              <w:right w:val="nil"/>
                            </w:tcBorders>
                            <w:noWrap/>
                            <w:hideMark/>
                          </w:tcPr>
                          <w:p w14:paraId="7124B10E"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Misc. Cash Flow Adj.</w:t>
                            </w:r>
                          </w:p>
                        </w:tc>
                        <w:tc>
                          <w:tcPr>
                            <w:tcW w:w="960" w:type="dxa"/>
                            <w:tcBorders>
                              <w:top w:val="nil"/>
                              <w:left w:val="nil"/>
                              <w:bottom w:val="nil"/>
                              <w:right w:val="nil"/>
                            </w:tcBorders>
                            <w:hideMark/>
                          </w:tcPr>
                          <w:p w14:paraId="27A9550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262F647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(1,848.0)  </w:t>
                            </w:r>
                          </w:p>
                        </w:tc>
                        <w:tc>
                          <w:tcPr>
                            <w:tcW w:w="960" w:type="dxa"/>
                            <w:tcBorders>
                              <w:top w:val="nil"/>
                              <w:left w:val="nil"/>
                              <w:bottom w:val="nil"/>
                              <w:right w:val="nil"/>
                            </w:tcBorders>
                            <w:hideMark/>
                          </w:tcPr>
                          <w:p w14:paraId="032E76F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1,848.0 </w:t>
                            </w:r>
                          </w:p>
                        </w:tc>
                        <w:tc>
                          <w:tcPr>
                            <w:tcW w:w="960" w:type="dxa"/>
                            <w:tcBorders>
                              <w:top w:val="nil"/>
                              <w:left w:val="nil"/>
                              <w:bottom w:val="nil"/>
                              <w:right w:val="nil"/>
                            </w:tcBorders>
                            <w:hideMark/>
                          </w:tcPr>
                          <w:p w14:paraId="2897732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960" w:type="dxa"/>
                            <w:tcBorders>
                              <w:top w:val="nil"/>
                              <w:left w:val="nil"/>
                              <w:bottom w:val="nil"/>
                              <w:right w:val="nil"/>
                            </w:tcBorders>
                            <w:hideMark/>
                          </w:tcPr>
                          <w:p w14:paraId="552924DD"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c>
                          <w:tcPr>
                            <w:tcW w:w="1160" w:type="dxa"/>
                            <w:tcBorders>
                              <w:top w:val="nil"/>
                              <w:left w:val="nil"/>
                              <w:bottom w:val="nil"/>
                              <w:right w:val="nil"/>
                            </w:tcBorders>
                            <w:hideMark/>
                          </w:tcPr>
                          <w:p w14:paraId="26781BA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w:t>
                            </w:r>
                          </w:p>
                        </w:tc>
                      </w:tr>
                      <w:tr w:rsidR="007D5332" w:rsidRPr="007D5332" w14:paraId="1ADB23FF" w14:textId="77777777" w:rsidTr="007D5332">
                        <w:trPr>
                          <w:trHeight w:val="204"/>
                        </w:trPr>
                        <w:tc>
                          <w:tcPr>
                            <w:tcW w:w="3240" w:type="dxa"/>
                            <w:tcBorders>
                              <w:top w:val="nil"/>
                              <w:left w:val="nil"/>
                              <w:bottom w:val="nil"/>
                              <w:right w:val="nil"/>
                            </w:tcBorders>
                            <w:noWrap/>
                            <w:hideMark/>
                          </w:tcPr>
                          <w:p w14:paraId="01D9515F"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 xml:space="preserve">  Net Change in Cash</w:t>
                            </w:r>
                          </w:p>
                        </w:tc>
                        <w:tc>
                          <w:tcPr>
                            <w:tcW w:w="960" w:type="dxa"/>
                            <w:tcBorders>
                              <w:top w:val="single" w:sz="4" w:space="0" w:color="000000"/>
                              <w:left w:val="nil"/>
                              <w:bottom w:val="nil"/>
                              <w:right w:val="nil"/>
                            </w:tcBorders>
                            <w:hideMark/>
                          </w:tcPr>
                          <w:p w14:paraId="09135234"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1,759.0 </w:t>
                            </w:r>
                          </w:p>
                        </w:tc>
                        <w:tc>
                          <w:tcPr>
                            <w:tcW w:w="960" w:type="dxa"/>
                            <w:tcBorders>
                              <w:top w:val="single" w:sz="4" w:space="0" w:color="000000"/>
                              <w:left w:val="nil"/>
                              <w:bottom w:val="nil"/>
                              <w:right w:val="nil"/>
                            </w:tcBorders>
                            <w:hideMark/>
                          </w:tcPr>
                          <w:p w14:paraId="45453A35"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8,273.0 </w:t>
                            </w:r>
                          </w:p>
                        </w:tc>
                        <w:tc>
                          <w:tcPr>
                            <w:tcW w:w="960" w:type="dxa"/>
                            <w:tcBorders>
                              <w:top w:val="single" w:sz="4" w:space="0" w:color="000000"/>
                              <w:left w:val="nil"/>
                              <w:bottom w:val="nil"/>
                              <w:right w:val="nil"/>
                            </w:tcBorders>
                            <w:hideMark/>
                          </w:tcPr>
                          <w:p w14:paraId="0BD6DF43"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(2,954.0)  </w:t>
                            </w:r>
                          </w:p>
                        </w:tc>
                        <w:tc>
                          <w:tcPr>
                            <w:tcW w:w="960" w:type="dxa"/>
                            <w:tcBorders>
                              <w:top w:val="single" w:sz="4" w:space="0" w:color="000000"/>
                              <w:left w:val="nil"/>
                              <w:bottom w:val="nil"/>
                              <w:right w:val="nil"/>
                            </w:tcBorders>
                            <w:hideMark/>
                          </w:tcPr>
                          <w:p w14:paraId="4D3FB3A1"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(5,993.0)  </w:t>
                            </w:r>
                          </w:p>
                        </w:tc>
                        <w:tc>
                          <w:tcPr>
                            <w:tcW w:w="960" w:type="dxa"/>
                            <w:tcBorders>
                              <w:top w:val="single" w:sz="4" w:space="0" w:color="000000"/>
                              <w:left w:val="nil"/>
                              <w:bottom w:val="nil"/>
                              <w:right w:val="nil"/>
                            </w:tcBorders>
                            <w:hideMark/>
                          </w:tcPr>
                          <w:p w14:paraId="1FDAFA5C"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1,094.0 </w:t>
                            </w:r>
                          </w:p>
                        </w:tc>
                        <w:tc>
                          <w:tcPr>
                            <w:tcW w:w="1160" w:type="dxa"/>
                            <w:tcBorders>
                              <w:top w:val="single" w:sz="4" w:space="0" w:color="000000"/>
                              <w:left w:val="nil"/>
                              <w:bottom w:val="nil"/>
                              <w:right w:val="nil"/>
                            </w:tcBorders>
                            <w:hideMark/>
                          </w:tcPr>
                          <w:p w14:paraId="2EC37137"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r w:rsidRPr="007D5332">
                              <w:rPr>
                                <w:rFonts w:ascii="Cambria" w:eastAsia="Times New Roman" w:hAnsi="Cambria" w:cs="Arial"/>
                                <w:b/>
                                <w:bCs/>
                                <w:color w:val="000000"/>
                                <w:kern w:val="0"/>
                                <w:sz w:val="14"/>
                                <w:szCs w:val="14"/>
                                <w:u w:val="double"/>
                                <w:lang w:eastAsia="en-IN"/>
                                <w14:ligatures w14:val="none"/>
                              </w:rPr>
                              <w:t xml:space="preserve">          (399.0)  </w:t>
                            </w:r>
                          </w:p>
                        </w:tc>
                      </w:tr>
                      <w:tr w:rsidR="007D5332" w:rsidRPr="007D5332" w14:paraId="67F23CB7" w14:textId="77777777" w:rsidTr="007D5332">
                        <w:trPr>
                          <w:trHeight w:val="204"/>
                        </w:trPr>
                        <w:tc>
                          <w:tcPr>
                            <w:tcW w:w="3240" w:type="dxa"/>
                            <w:tcBorders>
                              <w:top w:val="nil"/>
                              <w:left w:val="nil"/>
                              <w:bottom w:val="nil"/>
                              <w:right w:val="nil"/>
                            </w:tcBorders>
                            <w:noWrap/>
                            <w:hideMark/>
                          </w:tcPr>
                          <w:p w14:paraId="6400BF62" w14:textId="77777777" w:rsidR="007D5332" w:rsidRPr="007D5332" w:rsidRDefault="007D5332" w:rsidP="007D5332">
                            <w:pPr>
                              <w:spacing w:after="0" w:line="240" w:lineRule="auto"/>
                              <w:jc w:val="right"/>
                              <w:rPr>
                                <w:rFonts w:ascii="Cambria" w:eastAsia="Times New Roman" w:hAnsi="Cambria" w:cs="Arial"/>
                                <w:b/>
                                <w:bCs/>
                                <w:color w:val="000000"/>
                                <w:kern w:val="0"/>
                                <w:sz w:val="14"/>
                                <w:szCs w:val="14"/>
                                <w:u w:val="double"/>
                                <w:lang w:eastAsia="en-IN"/>
                                <w14:ligatures w14:val="none"/>
                              </w:rPr>
                            </w:pPr>
                          </w:p>
                        </w:tc>
                        <w:tc>
                          <w:tcPr>
                            <w:tcW w:w="960" w:type="dxa"/>
                            <w:tcBorders>
                              <w:top w:val="nil"/>
                              <w:left w:val="nil"/>
                              <w:bottom w:val="nil"/>
                              <w:right w:val="nil"/>
                            </w:tcBorders>
                            <w:noWrap/>
                            <w:hideMark/>
                          </w:tcPr>
                          <w:p w14:paraId="0BBAF2F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E07917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23649B16"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659E637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0859FF0F"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7F9A927A"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7C0E839A" w14:textId="77777777" w:rsidTr="007D5332">
                        <w:trPr>
                          <w:trHeight w:val="204"/>
                        </w:trPr>
                        <w:tc>
                          <w:tcPr>
                            <w:tcW w:w="3240" w:type="dxa"/>
                            <w:tcBorders>
                              <w:top w:val="nil"/>
                              <w:left w:val="nil"/>
                              <w:bottom w:val="nil"/>
                              <w:right w:val="nil"/>
                            </w:tcBorders>
                            <w:noWrap/>
                            <w:hideMark/>
                          </w:tcPr>
                          <w:p w14:paraId="531035FC"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r w:rsidRPr="007D5332">
                              <w:rPr>
                                <w:rFonts w:ascii="Cambria" w:eastAsia="Times New Roman" w:hAnsi="Cambria" w:cs="Arial"/>
                                <w:b/>
                                <w:bCs/>
                                <w:color w:val="000000"/>
                                <w:kern w:val="0"/>
                                <w:sz w:val="14"/>
                                <w:szCs w:val="14"/>
                                <w:lang w:eastAsia="en-IN"/>
                                <w14:ligatures w14:val="none"/>
                              </w:rPr>
                              <w:t>Supplemental Items</w:t>
                            </w:r>
                          </w:p>
                        </w:tc>
                        <w:tc>
                          <w:tcPr>
                            <w:tcW w:w="960" w:type="dxa"/>
                            <w:tcBorders>
                              <w:top w:val="nil"/>
                              <w:left w:val="nil"/>
                              <w:bottom w:val="nil"/>
                              <w:right w:val="nil"/>
                            </w:tcBorders>
                            <w:noWrap/>
                            <w:hideMark/>
                          </w:tcPr>
                          <w:p w14:paraId="2FF3E7E7" w14:textId="77777777" w:rsidR="007D5332" w:rsidRPr="007D5332" w:rsidRDefault="007D5332" w:rsidP="007D5332">
                            <w:pPr>
                              <w:spacing w:after="0" w:line="240" w:lineRule="auto"/>
                              <w:rPr>
                                <w:rFonts w:ascii="Cambria" w:eastAsia="Times New Roman" w:hAnsi="Cambria" w:cs="Arial"/>
                                <w:b/>
                                <w:bCs/>
                                <w:color w:val="000000"/>
                                <w:kern w:val="0"/>
                                <w:sz w:val="14"/>
                                <w:szCs w:val="14"/>
                                <w:lang w:eastAsia="en-IN"/>
                                <w14:ligatures w14:val="none"/>
                              </w:rPr>
                            </w:pPr>
                          </w:p>
                        </w:tc>
                        <w:tc>
                          <w:tcPr>
                            <w:tcW w:w="960" w:type="dxa"/>
                            <w:tcBorders>
                              <w:top w:val="nil"/>
                              <w:left w:val="nil"/>
                              <w:bottom w:val="nil"/>
                              <w:right w:val="nil"/>
                            </w:tcBorders>
                            <w:noWrap/>
                            <w:hideMark/>
                          </w:tcPr>
                          <w:p w14:paraId="3B145D3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1748C7B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5E22B549"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960" w:type="dxa"/>
                            <w:tcBorders>
                              <w:top w:val="nil"/>
                              <w:left w:val="nil"/>
                              <w:bottom w:val="nil"/>
                              <w:right w:val="nil"/>
                            </w:tcBorders>
                            <w:noWrap/>
                            <w:hideMark/>
                          </w:tcPr>
                          <w:p w14:paraId="74918A62"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c>
                          <w:tcPr>
                            <w:tcW w:w="1160" w:type="dxa"/>
                            <w:tcBorders>
                              <w:top w:val="nil"/>
                              <w:left w:val="nil"/>
                              <w:bottom w:val="nil"/>
                              <w:right w:val="nil"/>
                            </w:tcBorders>
                            <w:noWrap/>
                            <w:hideMark/>
                          </w:tcPr>
                          <w:p w14:paraId="0E76BBC7" w14:textId="77777777" w:rsidR="007D5332" w:rsidRPr="007D5332" w:rsidRDefault="007D5332" w:rsidP="007D5332">
                            <w:pPr>
                              <w:spacing w:after="0" w:line="240" w:lineRule="auto"/>
                              <w:rPr>
                                <w:rFonts w:ascii="Cambria" w:eastAsia="Times New Roman" w:hAnsi="Cambria" w:cs="Times New Roman"/>
                                <w:kern w:val="0"/>
                                <w:sz w:val="14"/>
                                <w:szCs w:val="14"/>
                                <w:lang w:eastAsia="en-IN"/>
                                <w14:ligatures w14:val="none"/>
                              </w:rPr>
                            </w:pPr>
                          </w:p>
                        </w:tc>
                      </w:tr>
                      <w:tr w:rsidR="007D5332" w:rsidRPr="007D5332" w14:paraId="70FF2849" w14:textId="77777777" w:rsidTr="007D5332">
                        <w:trPr>
                          <w:trHeight w:val="204"/>
                        </w:trPr>
                        <w:tc>
                          <w:tcPr>
                            <w:tcW w:w="3240" w:type="dxa"/>
                            <w:tcBorders>
                              <w:top w:val="nil"/>
                              <w:left w:val="nil"/>
                              <w:bottom w:val="nil"/>
                              <w:right w:val="nil"/>
                            </w:tcBorders>
                            <w:noWrap/>
                            <w:hideMark/>
                          </w:tcPr>
                          <w:p w14:paraId="53DBA1A1"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Interest Paid</w:t>
                            </w:r>
                          </w:p>
                        </w:tc>
                        <w:tc>
                          <w:tcPr>
                            <w:tcW w:w="960" w:type="dxa"/>
                            <w:tcBorders>
                              <w:top w:val="nil"/>
                              <w:left w:val="nil"/>
                              <w:bottom w:val="nil"/>
                              <w:right w:val="nil"/>
                            </w:tcBorders>
                            <w:hideMark/>
                          </w:tcPr>
                          <w:p w14:paraId="2BD492E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2,464.0 </w:t>
                            </w:r>
                          </w:p>
                        </w:tc>
                        <w:tc>
                          <w:tcPr>
                            <w:tcW w:w="960" w:type="dxa"/>
                            <w:tcBorders>
                              <w:top w:val="nil"/>
                              <w:left w:val="nil"/>
                              <w:bottom w:val="nil"/>
                              <w:right w:val="nil"/>
                            </w:tcBorders>
                            <w:hideMark/>
                          </w:tcPr>
                          <w:p w14:paraId="1514739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2,216.0 </w:t>
                            </w:r>
                          </w:p>
                        </w:tc>
                        <w:tc>
                          <w:tcPr>
                            <w:tcW w:w="960" w:type="dxa"/>
                            <w:tcBorders>
                              <w:top w:val="nil"/>
                              <w:left w:val="nil"/>
                              <w:bottom w:val="nil"/>
                              <w:right w:val="nil"/>
                            </w:tcBorders>
                            <w:hideMark/>
                          </w:tcPr>
                          <w:p w14:paraId="4CA3799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2,237.0 </w:t>
                            </w:r>
                          </w:p>
                        </w:tc>
                        <w:tc>
                          <w:tcPr>
                            <w:tcW w:w="960" w:type="dxa"/>
                            <w:tcBorders>
                              <w:top w:val="nil"/>
                              <w:left w:val="nil"/>
                              <w:bottom w:val="nil"/>
                              <w:right w:val="nil"/>
                            </w:tcBorders>
                            <w:hideMark/>
                          </w:tcPr>
                          <w:p w14:paraId="367C7AD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2,051.0 </w:t>
                            </w:r>
                          </w:p>
                        </w:tc>
                        <w:tc>
                          <w:tcPr>
                            <w:tcW w:w="960" w:type="dxa"/>
                            <w:tcBorders>
                              <w:top w:val="nil"/>
                              <w:left w:val="nil"/>
                              <w:bottom w:val="nil"/>
                              <w:right w:val="nil"/>
                            </w:tcBorders>
                            <w:hideMark/>
                          </w:tcPr>
                          <w:p w14:paraId="60821E1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2,519.0 </w:t>
                            </w:r>
                          </w:p>
                        </w:tc>
                        <w:tc>
                          <w:tcPr>
                            <w:tcW w:w="1160" w:type="dxa"/>
                            <w:tcBorders>
                              <w:top w:val="nil"/>
                              <w:left w:val="nil"/>
                              <w:bottom w:val="nil"/>
                              <w:right w:val="nil"/>
                            </w:tcBorders>
                            <w:hideMark/>
                          </w:tcPr>
                          <w:p w14:paraId="7AC84B5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NA</w:t>
                            </w:r>
                          </w:p>
                        </w:tc>
                      </w:tr>
                      <w:tr w:rsidR="007D5332" w:rsidRPr="007D5332" w14:paraId="3DA40F6E" w14:textId="77777777" w:rsidTr="007D5332">
                        <w:trPr>
                          <w:trHeight w:val="204"/>
                        </w:trPr>
                        <w:tc>
                          <w:tcPr>
                            <w:tcW w:w="3240" w:type="dxa"/>
                            <w:tcBorders>
                              <w:top w:val="nil"/>
                              <w:left w:val="nil"/>
                              <w:bottom w:val="nil"/>
                              <w:right w:val="nil"/>
                            </w:tcBorders>
                            <w:noWrap/>
                            <w:hideMark/>
                          </w:tcPr>
                          <w:p w14:paraId="07B97714"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Cash Taxes Paid</w:t>
                            </w:r>
                          </w:p>
                        </w:tc>
                        <w:tc>
                          <w:tcPr>
                            <w:tcW w:w="960" w:type="dxa"/>
                            <w:tcBorders>
                              <w:top w:val="nil"/>
                              <w:left w:val="nil"/>
                              <w:bottom w:val="nil"/>
                              <w:right w:val="nil"/>
                            </w:tcBorders>
                            <w:hideMark/>
                          </w:tcPr>
                          <w:p w14:paraId="7119E5C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3,616.0 </w:t>
                            </w:r>
                          </w:p>
                        </w:tc>
                        <w:tc>
                          <w:tcPr>
                            <w:tcW w:w="960" w:type="dxa"/>
                            <w:tcBorders>
                              <w:top w:val="nil"/>
                              <w:left w:val="nil"/>
                              <w:bottom w:val="nil"/>
                              <w:right w:val="nil"/>
                            </w:tcBorders>
                            <w:hideMark/>
                          </w:tcPr>
                          <w:p w14:paraId="0991B16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5,271.0 </w:t>
                            </w:r>
                          </w:p>
                        </w:tc>
                        <w:tc>
                          <w:tcPr>
                            <w:tcW w:w="960" w:type="dxa"/>
                            <w:tcBorders>
                              <w:top w:val="nil"/>
                              <w:left w:val="nil"/>
                              <w:bottom w:val="nil"/>
                              <w:right w:val="nil"/>
                            </w:tcBorders>
                            <w:hideMark/>
                          </w:tcPr>
                          <w:p w14:paraId="354FA4A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5,918.0 </w:t>
                            </w:r>
                          </w:p>
                        </w:tc>
                        <w:tc>
                          <w:tcPr>
                            <w:tcW w:w="960" w:type="dxa"/>
                            <w:tcBorders>
                              <w:top w:val="nil"/>
                              <w:left w:val="nil"/>
                              <w:bottom w:val="nil"/>
                              <w:right w:val="nil"/>
                            </w:tcBorders>
                            <w:hideMark/>
                          </w:tcPr>
                          <w:p w14:paraId="4B6C1A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3,310.0 </w:t>
                            </w:r>
                          </w:p>
                        </w:tc>
                        <w:tc>
                          <w:tcPr>
                            <w:tcW w:w="960" w:type="dxa"/>
                            <w:tcBorders>
                              <w:top w:val="nil"/>
                              <w:left w:val="nil"/>
                              <w:bottom w:val="nil"/>
                              <w:right w:val="nil"/>
                            </w:tcBorders>
                            <w:hideMark/>
                          </w:tcPr>
                          <w:p w14:paraId="0D4DABB4"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5,879.0 </w:t>
                            </w:r>
                          </w:p>
                        </w:tc>
                        <w:tc>
                          <w:tcPr>
                            <w:tcW w:w="1160" w:type="dxa"/>
                            <w:tcBorders>
                              <w:top w:val="nil"/>
                              <w:left w:val="nil"/>
                              <w:bottom w:val="nil"/>
                              <w:right w:val="nil"/>
                            </w:tcBorders>
                            <w:hideMark/>
                          </w:tcPr>
                          <w:p w14:paraId="77C0E1D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NA</w:t>
                            </w:r>
                          </w:p>
                        </w:tc>
                      </w:tr>
                      <w:tr w:rsidR="007D5332" w:rsidRPr="007D5332" w14:paraId="017C928C" w14:textId="77777777" w:rsidTr="007D5332">
                        <w:trPr>
                          <w:trHeight w:val="204"/>
                        </w:trPr>
                        <w:tc>
                          <w:tcPr>
                            <w:tcW w:w="3240" w:type="dxa"/>
                            <w:tcBorders>
                              <w:top w:val="nil"/>
                              <w:left w:val="nil"/>
                              <w:bottom w:val="nil"/>
                              <w:right w:val="nil"/>
                            </w:tcBorders>
                            <w:noWrap/>
                            <w:hideMark/>
                          </w:tcPr>
                          <w:p w14:paraId="59F0B637"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Levered Free Cash Flow</w:t>
                            </w:r>
                          </w:p>
                        </w:tc>
                        <w:tc>
                          <w:tcPr>
                            <w:tcW w:w="960" w:type="dxa"/>
                            <w:tcBorders>
                              <w:top w:val="nil"/>
                              <w:left w:val="nil"/>
                              <w:bottom w:val="nil"/>
                              <w:right w:val="nil"/>
                            </w:tcBorders>
                            <w:hideMark/>
                          </w:tcPr>
                          <w:p w14:paraId="028B523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14,665.1 </w:t>
                            </w:r>
                          </w:p>
                        </w:tc>
                        <w:tc>
                          <w:tcPr>
                            <w:tcW w:w="960" w:type="dxa"/>
                            <w:tcBorders>
                              <w:top w:val="nil"/>
                              <w:left w:val="nil"/>
                              <w:bottom w:val="nil"/>
                              <w:right w:val="nil"/>
                            </w:tcBorders>
                            <w:hideMark/>
                          </w:tcPr>
                          <w:p w14:paraId="35DDF9F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12,517.6 </w:t>
                            </w:r>
                          </w:p>
                        </w:tc>
                        <w:tc>
                          <w:tcPr>
                            <w:tcW w:w="960" w:type="dxa"/>
                            <w:tcBorders>
                              <w:top w:val="nil"/>
                              <w:left w:val="nil"/>
                              <w:bottom w:val="nil"/>
                              <w:right w:val="nil"/>
                            </w:tcBorders>
                            <w:hideMark/>
                          </w:tcPr>
                          <w:p w14:paraId="1FCA9D5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14,521.5 </w:t>
                            </w:r>
                          </w:p>
                        </w:tc>
                        <w:tc>
                          <w:tcPr>
                            <w:tcW w:w="960" w:type="dxa"/>
                            <w:tcBorders>
                              <w:top w:val="nil"/>
                              <w:left w:val="nil"/>
                              <w:bottom w:val="nil"/>
                              <w:right w:val="nil"/>
                            </w:tcBorders>
                            <w:hideMark/>
                          </w:tcPr>
                          <w:p w14:paraId="3B022C8E"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12,369.0 </w:t>
                            </w:r>
                          </w:p>
                        </w:tc>
                        <w:tc>
                          <w:tcPr>
                            <w:tcW w:w="960" w:type="dxa"/>
                            <w:tcBorders>
                              <w:top w:val="nil"/>
                              <w:left w:val="nil"/>
                              <w:bottom w:val="nil"/>
                              <w:right w:val="nil"/>
                            </w:tcBorders>
                            <w:hideMark/>
                          </w:tcPr>
                          <w:p w14:paraId="5D740E4A"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8,848.6 </w:t>
                            </w:r>
                          </w:p>
                        </w:tc>
                        <w:tc>
                          <w:tcPr>
                            <w:tcW w:w="1160" w:type="dxa"/>
                            <w:tcBorders>
                              <w:top w:val="nil"/>
                              <w:left w:val="nil"/>
                              <w:bottom w:val="nil"/>
                              <w:right w:val="nil"/>
                            </w:tcBorders>
                            <w:hideMark/>
                          </w:tcPr>
                          <w:p w14:paraId="48550A65"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5,255.0 </w:t>
                            </w:r>
                          </w:p>
                        </w:tc>
                      </w:tr>
                      <w:tr w:rsidR="007D5332" w:rsidRPr="007D5332" w14:paraId="47B82660" w14:textId="77777777" w:rsidTr="007D5332">
                        <w:trPr>
                          <w:trHeight w:val="204"/>
                        </w:trPr>
                        <w:tc>
                          <w:tcPr>
                            <w:tcW w:w="3240" w:type="dxa"/>
                            <w:tcBorders>
                              <w:top w:val="nil"/>
                              <w:left w:val="nil"/>
                              <w:bottom w:val="nil"/>
                              <w:right w:val="nil"/>
                            </w:tcBorders>
                            <w:noWrap/>
                            <w:hideMark/>
                          </w:tcPr>
                          <w:p w14:paraId="230EADC6"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Unlevered Free Cash Flow</w:t>
                            </w:r>
                          </w:p>
                        </w:tc>
                        <w:tc>
                          <w:tcPr>
                            <w:tcW w:w="960" w:type="dxa"/>
                            <w:tcBorders>
                              <w:top w:val="nil"/>
                              <w:left w:val="nil"/>
                              <w:bottom w:val="nil"/>
                              <w:right w:val="nil"/>
                            </w:tcBorders>
                            <w:hideMark/>
                          </w:tcPr>
                          <w:p w14:paraId="052D3F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16,289.5 </w:t>
                            </w:r>
                          </w:p>
                        </w:tc>
                        <w:tc>
                          <w:tcPr>
                            <w:tcW w:w="960" w:type="dxa"/>
                            <w:tcBorders>
                              <w:top w:val="nil"/>
                              <w:left w:val="nil"/>
                              <w:bottom w:val="nil"/>
                              <w:right w:val="nil"/>
                            </w:tcBorders>
                            <w:hideMark/>
                          </w:tcPr>
                          <w:p w14:paraId="33DC7F5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13,964.5 </w:t>
                            </w:r>
                          </w:p>
                        </w:tc>
                        <w:tc>
                          <w:tcPr>
                            <w:tcW w:w="960" w:type="dxa"/>
                            <w:tcBorders>
                              <w:top w:val="nil"/>
                              <w:left w:val="nil"/>
                              <w:bottom w:val="nil"/>
                              <w:right w:val="nil"/>
                            </w:tcBorders>
                            <w:hideMark/>
                          </w:tcPr>
                          <w:p w14:paraId="2D0D14D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15,767.8 </w:t>
                            </w:r>
                          </w:p>
                        </w:tc>
                        <w:tc>
                          <w:tcPr>
                            <w:tcW w:w="960" w:type="dxa"/>
                            <w:tcBorders>
                              <w:top w:val="nil"/>
                              <w:left w:val="nil"/>
                              <w:bottom w:val="nil"/>
                              <w:right w:val="nil"/>
                            </w:tcBorders>
                            <w:hideMark/>
                          </w:tcPr>
                          <w:p w14:paraId="69E5461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13,699.0 </w:t>
                            </w:r>
                          </w:p>
                        </w:tc>
                        <w:tc>
                          <w:tcPr>
                            <w:tcW w:w="960" w:type="dxa"/>
                            <w:tcBorders>
                              <w:top w:val="nil"/>
                              <w:left w:val="nil"/>
                              <w:bottom w:val="nil"/>
                              <w:right w:val="nil"/>
                            </w:tcBorders>
                            <w:hideMark/>
                          </w:tcPr>
                          <w:p w14:paraId="1BBF01F1"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10,525.5 </w:t>
                            </w:r>
                          </w:p>
                        </w:tc>
                        <w:tc>
                          <w:tcPr>
                            <w:tcW w:w="1160" w:type="dxa"/>
                            <w:tcBorders>
                              <w:top w:val="nil"/>
                              <w:left w:val="nil"/>
                              <w:bottom w:val="nil"/>
                              <w:right w:val="nil"/>
                            </w:tcBorders>
                            <w:hideMark/>
                          </w:tcPr>
                          <w:p w14:paraId="09BA360C"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6,960.0 </w:t>
                            </w:r>
                          </w:p>
                        </w:tc>
                      </w:tr>
                      <w:tr w:rsidR="007D5332" w:rsidRPr="007D5332" w14:paraId="3B7319C3" w14:textId="77777777" w:rsidTr="007D5332">
                        <w:trPr>
                          <w:trHeight w:val="204"/>
                        </w:trPr>
                        <w:tc>
                          <w:tcPr>
                            <w:tcW w:w="3240" w:type="dxa"/>
                            <w:tcBorders>
                              <w:top w:val="nil"/>
                              <w:left w:val="nil"/>
                              <w:bottom w:val="nil"/>
                              <w:right w:val="nil"/>
                            </w:tcBorders>
                            <w:noWrap/>
                            <w:hideMark/>
                          </w:tcPr>
                          <w:p w14:paraId="7EA51DAB"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Change in Net Working Capital</w:t>
                            </w:r>
                          </w:p>
                        </w:tc>
                        <w:tc>
                          <w:tcPr>
                            <w:tcW w:w="960" w:type="dxa"/>
                            <w:tcBorders>
                              <w:top w:val="nil"/>
                              <w:left w:val="nil"/>
                              <w:bottom w:val="nil"/>
                              <w:right w:val="nil"/>
                            </w:tcBorders>
                            <w:hideMark/>
                          </w:tcPr>
                          <w:p w14:paraId="1F701F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(1,736.0)  </w:t>
                            </w:r>
                          </w:p>
                        </w:tc>
                        <w:tc>
                          <w:tcPr>
                            <w:tcW w:w="960" w:type="dxa"/>
                            <w:tcBorders>
                              <w:top w:val="nil"/>
                              <w:left w:val="nil"/>
                              <w:bottom w:val="nil"/>
                              <w:right w:val="nil"/>
                            </w:tcBorders>
                            <w:hideMark/>
                          </w:tcPr>
                          <w:p w14:paraId="2B72B7F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2,185.0 </w:t>
                            </w:r>
                          </w:p>
                        </w:tc>
                        <w:tc>
                          <w:tcPr>
                            <w:tcW w:w="960" w:type="dxa"/>
                            <w:tcBorders>
                              <w:top w:val="nil"/>
                              <w:left w:val="nil"/>
                              <w:bottom w:val="nil"/>
                              <w:right w:val="nil"/>
                            </w:tcBorders>
                            <w:hideMark/>
                          </w:tcPr>
                          <w:p w14:paraId="6B088C5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(839.0)  </w:t>
                            </w:r>
                          </w:p>
                        </w:tc>
                        <w:tc>
                          <w:tcPr>
                            <w:tcW w:w="960" w:type="dxa"/>
                            <w:tcBorders>
                              <w:top w:val="nil"/>
                              <w:left w:val="nil"/>
                              <w:bottom w:val="nil"/>
                              <w:right w:val="nil"/>
                            </w:tcBorders>
                            <w:hideMark/>
                          </w:tcPr>
                          <w:p w14:paraId="41FCF159"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(2,703.0)  </w:t>
                            </w:r>
                          </w:p>
                        </w:tc>
                        <w:tc>
                          <w:tcPr>
                            <w:tcW w:w="960" w:type="dxa"/>
                            <w:tcBorders>
                              <w:top w:val="nil"/>
                              <w:left w:val="nil"/>
                              <w:bottom w:val="nil"/>
                              <w:right w:val="nil"/>
                            </w:tcBorders>
                            <w:hideMark/>
                          </w:tcPr>
                          <w:p w14:paraId="1FC3B408"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(303.0)  </w:t>
                            </w:r>
                          </w:p>
                        </w:tc>
                        <w:tc>
                          <w:tcPr>
                            <w:tcW w:w="1160" w:type="dxa"/>
                            <w:tcBorders>
                              <w:top w:val="nil"/>
                              <w:left w:val="nil"/>
                              <w:bottom w:val="nil"/>
                              <w:right w:val="nil"/>
                            </w:tcBorders>
                            <w:hideMark/>
                          </w:tcPr>
                          <w:p w14:paraId="31DE626F"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670.0 </w:t>
                            </w:r>
                          </w:p>
                        </w:tc>
                      </w:tr>
                      <w:tr w:rsidR="007D5332" w:rsidRPr="007D5332" w14:paraId="2AEED347" w14:textId="77777777" w:rsidTr="007D5332">
                        <w:trPr>
                          <w:trHeight w:val="204"/>
                        </w:trPr>
                        <w:tc>
                          <w:tcPr>
                            <w:tcW w:w="3240" w:type="dxa"/>
                            <w:tcBorders>
                              <w:top w:val="nil"/>
                              <w:left w:val="nil"/>
                              <w:bottom w:val="nil"/>
                              <w:right w:val="nil"/>
                            </w:tcBorders>
                            <w:noWrap/>
                            <w:hideMark/>
                          </w:tcPr>
                          <w:p w14:paraId="49B014B9" w14:textId="77777777" w:rsidR="007D5332" w:rsidRPr="007D5332" w:rsidRDefault="007D5332" w:rsidP="007D5332">
                            <w:pPr>
                              <w:spacing w:after="0" w:line="240" w:lineRule="auto"/>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Net Debt Issued</w:t>
                            </w:r>
                          </w:p>
                        </w:tc>
                        <w:tc>
                          <w:tcPr>
                            <w:tcW w:w="960" w:type="dxa"/>
                            <w:tcBorders>
                              <w:top w:val="nil"/>
                              <w:left w:val="nil"/>
                              <w:bottom w:val="nil"/>
                              <w:right w:val="nil"/>
                            </w:tcBorders>
                            <w:hideMark/>
                          </w:tcPr>
                          <w:p w14:paraId="0317D09B"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(1,071.0)  </w:t>
                            </w:r>
                          </w:p>
                        </w:tc>
                        <w:tc>
                          <w:tcPr>
                            <w:tcW w:w="960" w:type="dxa"/>
                            <w:tcBorders>
                              <w:top w:val="nil"/>
                              <w:left w:val="nil"/>
                              <w:bottom w:val="nil"/>
                              <w:right w:val="nil"/>
                            </w:tcBorders>
                            <w:hideMark/>
                          </w:tcPr>
                          <w:p w14:paraId="43AA8427"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(5,706.0)  </w:t>
                            </w:r>
                          </w:p>
                        </w:tc>
                        <w:tc>
                          <w:tcPr>
                            <w:tcW w:w="960" w:type="dxa"/>
                            <w:tcBorders>
                              <w:top w:val="nil"/>
                              <w:left w:val="nil"/>
                              <w:bottom w:val="nil"/>
                              <w:right w:val="nil"/>
                            </w:tcBorders>
                            <w:hideMark/>
                          </w:tcPr>
                          <w:p w14:paraId="7F9CAEB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(5,872.0)  </w:t>
                            </w:r>
                          </w:p>
                        </w:tc>
                        <w:tc>
                          <w:tcPr>
                            <w:tcW w:w="960" w:type="dxa"/>
                            <w:tcBorders>
                              <w:top w:val="nil"/>
                              <w:left w:val="nil"/>
                              <w:bottom w:val="nil"/>
                              <w:right w:val="nil"/>
                            </w:tcBorders>
                            <w:hideMark/>
                          </w:tcPr>
                          <w:p w14:paraId="38E6F46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2,318.0 </w:t>
                            </w:r>
                          </w:p>
                        </w:tc>
                        <w:tc>
                          <w:tcPr>
                            <w:tcW w:w="960" w:type="dxa"/>
                            <w:tcBorders>
                              <w:top w:val="nil"/>
                              <w:left w:val="nil"/>
                              <w:bottom w:val="nil"/>
                              <w:right w:val="nil"/>
                            </w:tcBorders>
                            <w:hideMark/>
                          </w:tcPr>
                          <w:p w14:paraId="0F3AD223"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1,262.0 </w:t>
                            </w:r>
                          </w:p>
                        </w:tc>
                        <w:tc>
                          <w:tcPr>
                            <w:tcW w:w="1160" w:type="dxa"/>
                            <w:tcBorders>
                              <w:top w:val="nil"/>
                              <w:left w:val="nil"/>
                              <w:bottom w:val="nil"/>
                              <w:right w:val="nil"/>
                            </w:tcBorders>
                            <w:hideMark/>
                          </w:tcPr>
                          <w:p w14:paraId="5E9C3D76" w14:textId="77777777" w:rsidR="007D5332" w:rsidRPr="007D5332" w:rsidRDefault="007D5332" w:rsidP="007D5332">
                            <w:pPr>
                              <w:spacing w:after="0" w:line="240" w:lineRule="auto"/>
                              <w:jc w:val="right"/>
                              <w:rPr>
                                <w:rFonts w:ascii="Cambria" w:eastAsia="Times New Roman" w:hAnsi="Cambria" w:cs="Arial"/>
                                <w:color w:val="000000"/>
                                <w:kern w:val="0"/>
                                <w:sz w:val="14"/>
                                <w:szCs w:val="14"/>
                                <w:lang w:eastAsia="en-IN"/>
                                <w14:ligatures w14:val="none"/>
                              </w:rPr>
                            </w:pPr>
                            <w:r w:rsidRPr="007D5332">
                              <w:rPr>
                                <w:rFonts w:ascii="Cambria" w:eastAsia="Times New Roman" w:hAnsi="Cambria" w:cs="Arial"/>
                                <w:color w:val="000000"/>
                                <w:kern w:val="0"/>
                                <w:sz w:val="14"/>
                                <w:szCs w:val="14"/>
                                <w:lang w:eastAsia="en-IN"/>
                                <w14:ligatures w14:val="none"/>
                              </w:rPr>
                              <w:t xml:space="preserve">        (1,256.0)  </w:t>
                            </w:r>
                          </w:p>
                        </w:tc>
                      </w:tr>
                    </w:tbl>
                    <w:p w14:paraId="4D28AFD5" w14:textId="4A7F58B8" w:rsidR="00FB2C6B" w:rsidRDefault="00FB2C6B"/>
                  </w:txbxContent>
                </v:textbox>
                <w10:wrap type="square" anchorx="margin"/>
              </v:shape>
            </w:pict>
          </mc:Fallback>
        </mc:AlternateContent>
      </w:r>
      <w:r w:rsidR="0014207C" w:rsidRPr="00456405">
        <w:rPr>
          <w:rFonts w:ascii="Cambria" w:hAnsi="Cambria"/>
          <w:b/>
          <w:bCs/>
          <w:sz w:val="24"/>
          <w:szCs w:val="24"/>
        </w:rPr>
        <w:br/>
      </w:r>
      <w:r w:rsidR="00FF566C" w:rsidRPr="00456405">
        <w:rPr>
          <w:rFonts w:ascii="Cambria" w:hAnsi="Cambria"/>
          <w:b/>
          <w:bCs/>
          <w:sz w:val="24"/>
          <w:szCs w:val="24"/>
        </w:rPr>
        <w:br/>
      </w:r>
      <w:r w:rsidR="00FF566C" w:rsidRPr="00456405">
        <w:rPr>
          <w:rFonts w:ascii="Cambria" w:hAnsi="Cambria"/>
          <w:b/>
          <w:bCs/>
          <w:sz w:val="24"/>
          <w:szCs w:val="24"/>
        </w:rPr>
        <w:br/>
      </w:r>
      <w:r w:rsidR="00FF566C" w:rsidRPr="00456405">
        <w:rPr>
          <w:rFonts w:ascii="Cambria" w:hAnsi="Cambria"/>
          <w:b/>
          <w:bCs/>
          <w:sz w:val="24"/>
          <w:szCs w:val="24"/>
        </w:rPr>
        <w:br/>
      </w:r>
      <w:r w:rsidR="00D9758B" w:rsidRPr="00456405">
        <w:rPr>
          <w:rFonts w:ascii="Cambria" w:hAnsi="Cambria"/>
          <w:b/>
          <w:bCs/>
          <w:noProof/>
          <w:sz w:val="24"/>
          <w:szCs w:val="24"/>
        </w:rPr>
        <w:lastRenderedPageBreak/>
        <mc:AlternateContent>
          <mc:Choice Requires="wps">
            <w:drawing>
              <wp:anchor distT="45720" distB="45720" distL="114300" distR="114300" simplePos="0" relativeHeight="251745280" behindDoc="0" locked="0" layoutInCell="1" allowOverlap="1" wp14:anchorId="7A238067" wp14:editId="54F35E30">
                <wp:simplePos x="0" y="0"/>
                <wp:positionH relativeFrom="column">
                  <wp:posOffset>160020</wp:posOffset>
                </wp:positionH>
                <wp:positionV relativeFrom="paragraph">
                  <wp:posOffset>0</wp:posOffset>
                </wp:positionV>
                <wp:extent cx="4221480" cy="358140"/>
                <wp:effectExtent l="0" t="0" r="7620" b="3810"/>
                <wp:wrapSquare wrapText="bothSides"/>
                <wp:docPr id="1400000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358140"/>
                        </a:xfrm>
                        <a:prstGeom prst="rect">
                          <a:avLst/>
                        </a:prstGeom>
                        <a:solidFill>
                          <a:srgbClr val="FFFFFF"/>
                        </a:solidFill>
                        <a:ln w="9525">
                          <a:noFill/>
                          <a:miter lim="800000"/>
                          <a:headEnd/>
                          <a:tailEnd/>
                        </a:ln>
                      </wps:spPr>
                      <wps:txbx>
                        <w:txbxContent>
                          <w:p w14:paraId="3B8E8B01" w14:textId="416B8CC9" w:rsidR="00D9758B" w:rsidRDefault="00D9758B">
                            <w:r>
                              <w:rPr>
                                <w:rFonts w:ascii="Cambria" w:hAnsi="Cambria"/>
                                <w:b/>
                                <w:bCs/>
                                <w:sz w:val="24"/>
                                <w:szCs w:val="24"/>
                              </w:rPr>
                              <w:t>2. Costco Wholesale Corporation</w:t>
                            </w:r>
                            <w:r>
                              <w:rPr>
                                <w:rFonts w:ascii="Cambria" w:hAnsi="Cambria"/>
                                <w:b/>
                                <w:bCs/>
                                <w:sz w:val="24"/>
                                <w:szCs w:val="24"/>
                              </w:rPr>
                              <w:tab/>
                              <w:t xml:space="preserve"> Financial Statements</w:t>
                            </w:r>
                            <w:r>
                              <w:rPr>
                                <w:rFonts w:ascii="Cambria" w:hAnsi="Cambria"/>
                                <w:b/>
                                <w:bCs/>
                                <w:sz w:val="24"/>
                                <w:szCs w:val="24"/>
                              </w:rPr>
                              <w:tab/>
                            </w:r>
                            <w:r>
                              <w:rPr>
                                <w:rFonts w:ascii="Cambria" w:hAnsi="Cambria"/>
                                <w:b/>
                                <w:bCs/>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38067" id="_x0000_s1051" type="#_x0000_t202" style="position:absolute;left:0;text-align:left;margin-left:12.6pt;margin-top:0;width:332.4pt;height:28.2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" stroked="f">
                <v:textbox>
                  <w:txbxContent>
                    <w:p w14:paraId="3B8E8B01" w14:textId="416B8CC9" w:rsidR="00D9758B" w:rsidRDefault="00D9758B">
                      <w:r>
                        <w:rPr>
                          <w:rFonts w:ascii="Cambria" w:hAnsi="Cambria"/>
                          <w:b/>
                          <w:bCs/>
                          <w:sz w:val="24"/>
                          <w:szCs w:val="24"/>
                        </w:rPr>
                        <w:t>2. Costco Wholesale Corporation</w:t>
                      </w:r>
                      <w:r>
                        <w:rPr>
                          <w:rFonts w:ascii="Cambria" w:hAnsi="Cambria"/>
                          <w:b/>
                          <w:bCs/>
                          <w:sz w:val="24"/>
                          <w:szCs w:val="24"/>
                        </w:rPr>
                        <w:tab/>
                        <w:t xml:space="preserve"> Financial Statements</w:t>
                      </w:r>
                      <w:r>
                        <w:rPr>
                          <w:rFonts w:ascii="Cambria" w:hAnsi="Cambria"/>
                          <w:b/>
                          <w:bCs/>
                          <w:sz w:val="24"/>
                          <w:szCs w:val="24"/>
                        </w:rPr>
                        <w:tab/>
                      </w:r>
                      <w:r>
                        <w:rPr>
                          <w:rFonts w:ascii="Cambria" w:hAnsi="Cambria"/>
                          <w:b/>
                          <w:bCs/>
                          <w:sz w:val="24"/>
                          <w:szCs w:val="24"/>
                        </w:rPr>
                        <w:br/>
                      </w:r>
                    </w:p>
                  </w:txbxContent>
                </v:textbox>
                <w10:wrap type="square"/>
              </v:shape>
            </w:pict>
          </mc:Fallback>
        </mc:AlternateContent>
      </w:r>
      <w:r w:rsidR="00FF566C" w:rsidRPr="00456405">
        <w:rPr>
          <w:rFonts w:ascii="Cambria" w:hAnsi="Cambria"/>
          <w:b/>
          <w:bCs/>
          <w:noProof/>
          <w:sz w:val="24"/>
          <w:szCs w:val="24"/>
        </w:rPr>
        <mc:AlternateContent>
          <mc:Choice Requires="wps">
            <w:drawing>
              <wp:anchor distT="45720" distB="45720" distL="114300" distR="114300" simplePos="0" relativeHeight="251712512" behindDoc="0" locked="0" layoutInCell="1" allowOverlap="1" wp14:anchorId="58621A80" wp14:editId="6BC311CA">
                <wp:simplePos x="0" y="0"/>
                <wp:positionH relativeFrom="margin">
                  <wp:align>right</wp:align>
                </wp:positionH>
                <wp:positionV relativeFrom="paragraph">
                  <wp:posOffset>403860</wp:posOffset>
                </wp:positionV>
                <wp:extent cx="6172200" cy="7338060"/>
                <wp:effectExtent l="0" t="0" r="0" b="0"/>
                <wp:wrapSquare wrapText="bothSides"/>
                <wp:docPr id="362614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338060"/>
                        </a:xfrm>
                        <a:prstGeom prst="rect">
                          <a:avLst/>
                        </a:prstGeom>
                        <a:solidFill>
                          <a:srgbClr val="FFFFFF"/>
                        </a:solidFill>
                        <a:ln w="9525">
                          <a:noFill/>
                          <a:miter lim="800000"/>
                          <a:headEnd/>
                          <a:tailEnd/>
                        </a:ln>
                      </wps:spPr>
                      <wps:txbx>
                        <w:txbxContent>
                          <w:tbl>
                            <w:tblPr>
                              <w:tblW w:w="4992" w:type="pct"/>
                              <w:tblLook w:val="04A0" w:firstRow="1" w:lastRow="0" w:firstColumn="1" w:lastColumn="0" w:noHBand="0" w:noVBand="1"/>
                            </w:tblPr>
                            <w:tblGrid>
                              <w:gridCol w:w="2881"/>
                              <w:gridCol w:w="910"/>
                              <w:gridCol w:w="910"/>
                              <w:gridCol w:w="910"/>
                              <w:gridCol w:w="910"/>
                              <w:gridCol w:w="910"/>
                              <w:gridCol w:w="910"/>
                              <w:gridCol w:w="1077"/>
                            </w:tblGrid>
                            <w:tr w:rsidR="00FF566C" w:rsidRPr="00FF566C" w14:paraId="32268FAC" w14:textId="77777777" w:rsidTr="00FF566C">
                              <w:trPr>
                                <w:trHeight w:val="204"/>
                              </w:trPr>
                              <w:tc>
                                <w:tcPr>
                                  <w:tcW w:w="2496" w:type="pct"/>
                                  <w:gridSpan w:val="3"/>
                                  <w:tcBorders>
                                    <w:top w:val="nil"/>
                                    <w:left w:val="nil"/>
                                    <w:bottom w:val="nil"/>
                                    <w:right w:val="nil"/>
                                  </w:tcBorders>
                                  <w:noWrap/>
                                  <w:vAlign w:val="bottom"/>
                                  <w:hideMark/>
                                </w:tcPr>
                                <w:p w14:paraId="3E60993D"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Costco Wholesale Corporation (</w:t>
                                  </w:r>
                                  <w:r w:rsidRPr="00FF566C">
                                    <w:rPr>
                                      <w:rFonts w:ascii="Cambria" w:eastAsia="Times New Roman" w:hAnsi="Cambria" w:cs="Arial"/>
                                      <w:b/>
                                      <w:bCs/>
                                      <w:color w:val="000000"/>
                                      <w:kern w:val="0"/>
                                      <w:sz w:val="14"/>
                                      <w:szCs w:val="14"/>
                                      <w:lang w:eastAsia="en-IN"/>
                                      <w14:ligatures w14:val="none"/>
                                    </w:rPr>
                                    <w:t>NasdaqGS:COST) &gt; Financials &gt; Ratios</w:t>
                                  </w:r>
                                </w:p>
                              </w:tc>
                              <w:tc>
                                <w:tcPr>
                                  <w:tcW w:w="483" w:type="pct"/>
                                  <w:tcBorders>
                                    <w:top w:val="nil"/>
                                    <w:left w:val="nil"/>
                                    <w:bottom w:val="nil"/>
                                    <w:right w:val="nil"/>
                                  </w:tcBorders>
                                  <w:noWrap/>
                                  <w:vAlign w:val="bottom"/>
                                  <w:hideMark/>
                                </w:tcPr>
                                <w:p w14:paraId="1AE37DA6"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vAlign w:val="bottom"/>
                                  <w:hideMark/>
                                </w:tcPr>
                                <w:p w14:paraId="2457FD88"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vAlign w:val="bottom"/>
                                  <w:hideMark/>
                                </w:tcPr>
                                <w:p w14:paraId="5EA6150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vAlign w:val="bottom"/>
                                  <w:hideMark/>
                                </w:tcPr>
                                <w:p w14:paraId="2481D0D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vAlign w:val="bottom"/>
                                  <w:hideMark/>
                                </w:tcPr>
                                <w:p w14:paraId="23348D8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791DD56F" w14:textId="77777777" w:rsidTr="00FF566C">
                              <w:trPr>
                                <w:trHeight w:val="204"/>
                              </w:trPr>
                              <w:tc>
                                <w:tcPr>
                                  <w:tcW w:w="1530" w:type="pct"/>
                                  <w:tcBorders>
                                    <w:top w:val="nil"/>
                                    <w:left w:val="nil"/>
                                    <w:bottom w:val="nil"/>
                                    <w:right w:val="nil"/>
                                  </w:tcBorders>
                                  <w:shd w:val="clear" w:color="000000" w:fill="003366"/>
                                  <w:noWrap/>
                                  <w:vAlign w:val="bottom"/>
                                  <w:hideMark/>
                                </w:tcPr>
                                <w:p w14:paraId="0C62773B"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Ratios</w:t>
                                  </w:r>
                                </w:p>
                              </w:tc>
                              <w:tc>
                                <w:tcPr>
                                  <w:tcW w:w="483" w:type="pct"/>
                                  <w:tcBorders>
                                    <w:top w:val="nil"/>
                                    <w:left w:val="nil"/>
                                    <w:bottom w:val="nil"/>
                                    <w:right w:val="nil"/>
                                  </w:tcBorders>
                                  <w:shd w:val="clear" w:color="000000" w:fill="003366"/>
                                  <w:noWrap/>
                                  <w:vAlign w:val="bottom"/>
                                  <w:hideMark/>
                                </w:tcPr>
                                <w:p w14:paraId="3884B952"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56C6630B"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13D27830"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0C597F17"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606D4AED"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5BE0616E"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572" w:type="pct"/>
                                  <w:tcBorders>
                                    <w:top w:val="nil"/>
                                    <w:left w:val="nil"/>
                                    <w:bottom w:val="nil"/>
                                    <w:right w:val="nil"/>
                                  </w:tcBorders>
                                  <w:shd w:val="clear" w:color="000000" w:fill="003366"/>
                                  <w:noWrap/>
                                  <w:vAlign w:val="bottom"/>
                                  <w:hideMark/>
                                </w:tcPr>
                                <w:p w14:paraId="4A06920D"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r>
                            <w:tr w:rsidR="00FF566C" w:rsidRPr="00FF566C" w14:paraId="6E744AC7" w14:textId="77777777" w:rsidTr="00FF566C">
                              <w:trPr>
                                <w:trHeight w:val="768"/>
                              </w:trPr>
                              <w:tc>
                                <w:tcPr>
                                  <w:tcW w:w="1530" w:type="pct"/>
                                  <w:tcBorders>
                                    <w:top w:val="nil"/>
                                    <w:left w:val="nil"/>
                                    <w:bottom w:val="nil"/>
                                    <w:right w:val="nil"/>
                                  </w:tcBorders>
                                  <w:shd w:val="clear" w:color="000000" w:fill="F0F0DC"/>
                                  <w:vAlign w:val="bottom"/>
                                  <w:hideMark/>
                                </w:tcPr>
                                <w:p w14:paraId="089205EE"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For the Fiscal Period Ending</w:t>
                                  </w:r>
                                </w:p>
                              </w:tc>
                              <w:tc>
                                <w:tcPr>
                                  <w:tcW w:w="483" w:type="pct"/>
                                  <w:tcBorders>
                                    <w:top w:val="nil"/>
                                    <w:left w:val="nil"/>
                                    <w:bottom w:val="nil"/>
                                    <w:right w:val="nil"/>
                                  </w:tcBorders>
                                  <w:shd w:val="clear" w:color="000000" w:fill="F0F0DC"/>
                                  <w:vAlign w:val="bottom"/>
                                  <w:hideMark/>
                                </w:tcPr>
                                <w:p w14:paraId="64FA1FA6"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Sep-01-2019</w:t>
                                  </w:r>
                                </w:p>
                              </w:tc>
                              <w:tc>
                                <w:tcPr>
                                  <w:tcW w:w="483" w:type="pct"/>
                                  <w:tcBorders>
                                    <w:top w:val="nil"/>
                                    <w:left w:val="nil"/>
                                    <w:bottom w:val="nil"/>
                                    <w:right w:val="nil"/>
                                  </w:tcBorders>
                                  <w:shd w:val="clear" w:color="000000" w:fill="F0F0DC"/>
                                  <w:vAlign w:val="bottom"/>
                                  <w:hideMark/>
                                </w:tcPr>
                                <w:p w14:paraId="6A9D193D"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Aug-30-2020</w:t>
                                  </w:r>
                                </w:p>
                              </w:tc>
                              <w:tc>
                                <w:tcPr>
                                  <w:tcW w:w="483" w:type="pct"/>
                                  <w:tcBorders>
                                    <w:top w:val="nil"/>
                                    <w:left w:val="nil"/>
                                    <w:bottom w:val="nil"/>
                                    <w:right w:val="nil"/>
                                  </w:tcBorders>
                                  <w:shd w:val="clear" w:color="000000" w:fill="F0F0DC"/>
                                  <w:vAlign w:val="bottom"/>
                                  <w:hideMark/>
                                </w:tcPr>
                                <w:p w14:paraId="27DE359E"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Aug-29-2021</w:t>
                                  </w:r>
                                </w:p>
                              </w:tc>
                              <w:tc>
                                <w:tcPr>
                                  <w:tcW w:w="483" w:type="pct"/>
                                  <w:tcBorders>
                                    <w:top w:val="nil"/>
                                    <w:left w:val="nil"/>
                                    <w:bottom w:val="nil"/>
                                    <w:right w:val="nil"/>
                                  </w:tcBorders>
                                  <w:shd w:val="clear" w:color="000000" w:fill="F0F0DC"/>
                                  <w:vAlign w:val="bottom"/>
                                  <w:hideMark/>
                                </w:tcPr>
                                <w:p w14:paraId="12BBBCED"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Aug-28-2022</w:t>
                                  </w:r>
                                </w:p>
                              </w:tc>
                              <w:tc>
                                <w:tcPr>
                                  <w:tcW w:w="483" w:type="pct"/>
                                  <w:tcBorders>
                                    <w:top w:val="nil"/>
                                    <w:left w:val="nil"/>
                                    <w:bottom w:val="nil"/>
                                    <w:right w:val="nil"/>
                                  </w:tcBorders>
                                  <w:shd w:val="clear" w:color="000000" w:fill="F0F0DC"/>
                                  <w:vAlign w:val="bottom"/>
                                  <w:hideMark/>
                                </w:tcPr>
                                <w:p w14:paraId="474B915C"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Sep-03-2023</w:t>
                                  </w:r>
                                </w:p>
                              </w:tc>
                              <w:tc>
                                <w:tcPr>
                                  <w:tcW w:w="483" w:type="pct"/>
                                  <w:tcBorders>
                                    <w:top w:val="nil"/>
                                    <w:left w:val="nil"/>
                                    <w:bottom w:val="nil"/>
                                    <w:right w:val="nil"/>
                                  </w:tcBorders>
                                  <w:shd w:val="clear" w:color="000000" w:fill="F0F0DC"/>
                                  <w:vAlign w:val="bottom"/>
                                  <w:hideMark/>
                                </w:tcPr>
                                <w:p w14:paraId="39145847"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Sep-01-2024</w:t>
                                  </w:r>
                                </w:p>
                              </w:tc>
                              <w:tc>
                                <w:tcPr>
                                  <w:tcW w:w="572" w:type="pct"/>
                                  <w:tcBorders>
                                    <w:top w:val="nil"/>
                                    <w:left w:val="nil"/>
                                    <w:bottom w:val="nil"/>
                                    <w:right w:val="nil"/>
                                  </w:tcBorders>
                                  <w:shd w:val="clear" w:color="000000" w:fill="F0F0DC"/>
                                  <w:vAlign w:val="bottom"/>
                                  <w:hideMark/>
                                </w:tcPr>
                                <w:p w14:paraId="5C8B7E2C"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LTM</w:t>
                                  </w:r>
                                  <w:r w:rsidRPr="00FF566C">
                                    <w:rPr>
                                      <w:rFonts w:ascii="Cambria" w:eastAsia="Times New Roman" w:hAnsi="Cambria" w:cs="Arial"/>
                                      <w:b/>
                                      <w:bCs/>
                                      <w:color w:val="000000"/>
                                      <w:kern w:val="0"/>
                                      <w:sz w:val="14"/>
                                      <w:szCs w:val="14"/>
                                      <w:lang w:eastAsia="en-IN"/>
                                      <w14:ligatures w14:val="none"/>
                                    </w:rPr>
                                    <w:br/>
                                    <w:t>Press Release</w:t>
                                  </w:r>
                                  <w:r w:rsidRPr="00FF566C">
                                    <w:rPr>
                                      <w:rFonts w:ascii="Cambria" w:eastAsia="Times New Roman" w:hAnsi="Cambria" w:cs="Arial"/>
                                      <w:b/>
                                      <w:bCs/>
                                      <w:color w:val="000000"/>
                                      <w:kern w:val="0"/>
                                      <w:sz w:val="14"/>
                                      <w:szCs w:val="14"/>
                                      <w:lang w:eastAsia="en-IN"/>
                                      <w14:ligatures w14:val="none"/>
                                    </w:rPr>
                                    <w:br/>
                                    <w:t>12 months</w:t>
                                  </w:r>
                                  <w:r w:rsidRPr="00FF566C">
                                    <w:rPr>
                                      <w:rFonts w:ascii="Cambria" w:eastAsia="Times New Roman" w:hAnsi="Cambria" w:cs="Arial"/>
                                      <w:b/>
                                      <w:bCs/>
                                      <w:color w:val="000000"/>
                                      <w:kern w:val="0"/>
                                      <w:sz w:val="14"/>
                                      <w:szCs w:val="14"/>
                                      <w:lang w:eastAsia="en-IN"/>
                                      <w14:ligatures w14:val="none"/>
                                    </w:rPr>
                                    <w:br/>
                                    <w:t>Feb-16-2025</w:t>
                                  </w:r>
                                </w:p>
                              </w:tc>
                            </w:tr>
                            <w:tr w:rsidR="00FF566C" w:rsidRPr="00FF566C" w14:paraId="7D7FE293" w14:textId="77777777" w:rsidTr="00FF566C">
                              <w:trPr>
                                <w:trHeight w:val="204"/>
                              </w:trPr>
                              <w:tc>
                                <w:tcPr>
                                  <w:tcW w:w="1530" w:type="pct"/>
                                  <w:tcBorders>
                                    <w:top w:val="nil"/>
                                    <w:left w:val="nil"/>
                                    <w:bottom w:val="nil"/>
                                    <w:right w:val="nil"/>
                                  </w:tcBorders>
                                  <w:noWrap/>
                                  <w:hideMark/>
                                </w:tcPr>
                                <w:p w14:paraId="7E65AA9A"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Profitability</w:t>
                                  </w:r>
                                </w:p>
                              </w:tc>
                              <w:tc>
                                <w:tcPr>
                                  <w:tcW w:w="483" w:type="pct"/>
                                  <w:tcBorders>
                                    <w:top w:val="nil"/>
                                    <w:left w:val="nil"/>
                                    <w:bottom w:val="nil"/>
                                    <w:right w:val="nil"/>
                                  </w:tcBorders>
                                  <w:noWrap/>
                                  <w:hideMark/>
                                </w:tcPr>
                                <w:p w14:paraId="1D4ECEF5"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3664DF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6C9E91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AFF70E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49BBA3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544B27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477F662F"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1E34C14C" w14:textId="77777777" w:rsidTr="00FF566C">
                              <w:trPr>
                                <w:trHeight w:val="204"/>
                              </w:trPr>
                              <w:tc>
                                <w:tcPr>
                                  <w:tcW w:w="1530" w:type="pct"/>
                                  <w:tcBorders>
                                    <w:top w:val="nil"/>
                                    <w:left w:val="nil"/>
                                    <w:bottom w:val="nil"/>
                                    <w:right w:val="nil"/>
                                  </w:tcBorders>
                                  <w:noWrap/>
                                  <w:hideMark/>
                                </w:tcPr>
                                <w:p w14:paraId="2E2428E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Assets %</w:t>
                                  </w:r>
                                </w:p>
                              </w:tc>
                              <w:tc>
                                <w:tcPr>
                                  <w:tcW w:w="483" w:type="pct"/>
                                  <w:tcBorders>
                                    <w:top w:val="nil"/>
                                    <w:left w:val="nil"/>
                                    <w:bottom w:val="nil"/>
                                    <w:right w:val="nil"/>
                                  </w:tcBorders>
                                  <w:hideMark/>
                                </w:tcPr>
                                <w:p w14:paraId="3C40DC7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6.9% </w:t>
                                  </w:r>
                                </w:p>
                              </w:tc>
                              <w:tc>
                                <w:tcPr>
                                  <w:tcW w:w="483" w:type="pct"/>
                                  <w:tcBorders>
                                    <w:top w:val="nil"/>
                                    <w:left w:val="nil"/>
                                    <w:bottom w:val="nil"/>
                                    <w:right w:val="nil"/>
                                  </w:tcBorders>
                                  <w:hideMark/>
                                </w:tcPr>
                                <w:p w14:paraId="1F557D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6.7% </w:t>
                                  </w:r>
                                </w:p>
                              </w:tc>
                              <w:tc>
                                <w:tcPr>
                                  <w:tcW w:w="483" w:type="pct"/>
                                  <w:tcBorders>
                                    <w:top w:val="nil"/>
                                    <w:left w:val="nil"/>
                                    <w:bottom w:val="nil"/>
                                    <w:right w:val="nil"/>
                                  </w:tcBorders>
                                  <w:hideMark/>
                                </w:tcPr>
                                <w:p w14:paraId="2DCE5F4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 </w:t>
                                  </w:r>
                                </w:p>
                              </w:tc>
                              <w:tc>
                                <w:tcPr>
                                  <w:tcW w:w="483" w:type="pct"/>
                                  <w:tcBorders>
                                    <w:top w:val="nil"/>
                                    <w:left w:val="nil"/>
                                    <w:bottom w:val="nil"/>
                                    <w:right w:val="nil"/>
                                  </w:tcBorders>
                                  <w:hideMark/>
                                </w:tcPr>
                                <w:p w14:paraId="612AB60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8.0% </w:t>
                                  </w:r>
                                </w:p>
                              </w:tc>
                              <w:tc>
                                <w:tcPr>
                                  <w:tcW w:w="483" w:type="pct"/>
                                  <w:tcBorders>
                                    <w:top w:val="nil"/>
                                    <w:left w:val="nil"/>
                                    <w:bottom w:val="nil"/>
                                    <w:right w:val="nil"/>
                                  </w:tcBorders>
                                  <w:hideMark/>
                                </w:tcPr>
                                <w:p w14:paraId="3E963F6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8.0% </w:t>
                                  </w:r>
                                </w:p>
                              </w:tc>
                              <w:tc>
                                <w:tcPr>
                                  <w:tcW w:w="483" w:type="pct"/>
                                  <w:tcBorders>
                                    <w:top w:val="nil"/>
                                    <w:left w:val="nil"/>
                                    <w:bottom w:val="nil"/>
                                    <w:right w:val="nil"/>
                                  </w:tcBorders>
                                  <w:hideMark/>
                                </w:tcPr>
                                <w:p w14:paraId="250C0F5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8.4% </w:t>
                                  </w:r>
                                </w:p>
                              </w:tc>
                              <w:tc>
                                <w:tcPr>
                                  <w:tcW w:w="572" w:type="pct"/>
                                  <w:tcBorders>
                                    <w:top w:val="nil"/>
                                    <w:left w:val="nil"/>
                                    <w:bottom w:val="nil"/>
                                    <w:right w:val="nil"/>
                                  </w:tcBorders>
                                  <w:hideMark/>
                                </w:tcPr>
                                <w:p w14:paraId="5AB649A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8.7% </w:t>
                                  </w:r>
                                </w:p>
                              </w:tc>
                            </w:tr>
                            <w:tr w:rsidR="00FF566C" w:rsidRPr="00FF566C" w14:paraId="10D76767" w14:textId="77777777" w:rsidTr="00FF566C">
                              <w:trPr>
                                <w:trHeight w:val="204"/>
                              </w:trPr>
                              <w:tc>
                                <w:tcPr>
                                  <w:tcW w:w="1530" w:type="pct"/>
                                  <w:tcBorders>
                                    <w:top w:val="nil"/>
                                    <w:left w:val="nil"/>
                                    <w:bottom w:val="nil"/>
                                    <w:right w:val="nil"/>
                                  </w:tcBorders>
                                  <w:noWrap/>
                                  <w:hideMark/>
                                </w:tcPr>
                                <w:p w14:paraId="68E83F79"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Capital %</w:t>
                                  </w:r>
                                </w:p>
                              </w:tc>
                              <w:tc>
                                <w:tcPr>
                                  <w:tcW w:w="483" w:type="pct"/>
                                  <w:tcBorders>
                                    <w:top w:val="nil"/>
                                    <w:left w:val="nil"/>
                                    <w:bottom w:val="nil"/>
                                    <w:right w:val="nil"/>
                                  </w:tcBorders>
                                  <w:hideMark/>
                                </w:tcPr>
                                <w:p w14:paraId="30D7EE0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13.9% </w:t>
                                  </w:r>
                                </w:p>
                              </w:tc>
                              <w:tc>
                                <w:tcPr>
                                  <w:tcW w:w="483" w:type="pct"/>
                                  <w:tcBorders>
                                    <w:top w:val="nil"/>
                                    <w:left w:val="nil"/>
                                    <w:bottom w:val="nil"/>
                                    <w:right w:val="nil"/>
                                  </w:tcBorders>
                                  <w:hideMark/>
                                </w:tcPr>
                                <w:p w14:paraId="66D28F8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12.9% </w:t>
                                  </w:r>
                                </w:p>
                              </w:tc>
                              <w:tc>
                                <w:tcPr>
                                  <w:tcW w:w="483" w:type="pct"/>
                                  <w:tcBorders>
                                    <w:top w:val="nil"/>
                                    <w:left w:val="nil"/>
                                    <w:bottom w:val="nil"/>
                                    <w:right w:val="nil"/>
                                  </w:tcBorders>
                                  <w:hideMark/>
                                </w:tcPr>
                                <w:p w14:paraId="36D90ED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14.3% </w:t>
                                  </w:r>
                                </w:p>
                              </w:tc>
                              <w:tc>
                                <w:tcPr>
                                  <w:tcW w:w="483" w:type="pct"/>
                                  <w:tcBorders>
                                    <w:top w:val="nil"/>
                                    <w:left w:val="nil"/>
                                    <w:bottom w:val="nil"/>
                                    <w:right w:val="nil"/>
                                  </w:tcBorders>
                                  <w:hideMark/>
                                </w:tcPr>
                                <w:p w14:paraId="401B8EB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16.2% </w:t>
                                  </w:r>
                                </w:p>
                              </w:tc>
                              <w:tc>
                                <w:tcPr>
                                  <w:tcW w:w="483" w:type="pct"/>
                                  <w:tcBorders>
                                    <w:top w:val="nil"/>
                                    <w:left w:val="nil"/>
                                    <w:bottom w:val="nil"/>
                                    <w:right w:val="nil"/>
                                  </w:tcBorders>
                                  <w:hideMark/>
                                </w:tcPr>
                                <w:p w14:paraId="7C400F2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15.8% </w:t>
                                  </w:r>
                                </w:p>
                              </w:tc>
                              <w:tc>
                                <w:tcPr>
                                  <w:tcW w:w="483" w:type="pct"/>
                                  <w:tcBorders>
                                    <w:top w:val="nil"/>
                                    <w:left w:val="nil"/>
                                    <w:bottom w:val="nil"/>
                                    <w:right w:val="nil"/>
                                  </w:tcBorders>
                                  <w:hideMark/>
                                </w:tcPr>
                                <w:p w14:paraId="409215D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16.8% </w:t>
                                  </w:r>
                                </w:p>
                              </w:tc>
                              <w:tc>
                                <w:tcPr>
                                  <w:tcW w:w="572" w:type="pct"/>
                                  <w:tcBorders>
                                    <w:top w:val="nil"/>
                                    <w:left w:val="nil"/>
                                    <w:bottom w:val="nil"/>
                                    <w:right w:val="nil"/>
                                  </w:tcBorders>
                                  <w:hideMark/>
                                </w:tcPr>
                                <w:p w14:paraId="3F5DE9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19.1% </w:t>
                                  </w:r>
                                </w:p>
                              </w:tc>
                            </w:tr>
                            <w:tr w:rsidR="00FF566C" w:rsidRPr="00FF566C" w14:paraId="72CBE18E" w14:textId="77777777" w:rsidTr="00FF566C">
                              <w:trPr>
                                <w:trHeight w:val="204"/>
                              </w:trPr>
                              <w:tc>
                                <w:tcPr>
                                  <w:tcW w:w="1530" w:type="pct"/>
                                  <w:tcBorders>
                                    <w:top w:val="nil"/>
                                    <w:left w:val="nil"/>
                                    <w:bottom w:val="nil"/>
                                    <w:right w:val="nil"/>
                                  </w:tcBorders>
                                  <w:noWrap/>
                                  <w:hideMark/>
                                </w:tcPr>
                                <w:p w14:paraId="32A6A59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Equity %</w:t>
                                  </w:r>
                                </w:p>
                              </w:tc>
                              <w:tc>
                                <w:tcPr>
                                  <w:tcW w:w="483" w:type="pct"/>
                                  <w:tcBorders>
                                    <w:top w:val="nil"/>
                                    <w:left w:val="nil"/>
                                    <w:bottom w:val="nil"/>
                                    <w:right w:val="nil"/>
                                  </w:tcBorders>
                                  <w:hideMark/>
                                </w:tcPr>
                                <w:p w14:paraId="3E2AB2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25.8% </w:t>
                                  </w:r>
                                </w:p>
                              </w:tc>
                              <w:tc>
                                <w:tcPr>
                                  <w:tcW w:w="483" w:type="pct"/>
                                  <w:tcBorders>
                                    <w:top w:val="nil"/>
                                    <w:left w:val="nil"/>
                                    <w:bottom w:val="nil"/>
                                    <w:right w:val="nil"/>
                                  </w:tcBorders>
                                  <w:hideMark/>
                                </w:tcPr>
                                <w:p w14:paraId="0721BC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23.7% </w:t>
                                  </w:r>
                                </w:p>
                              </w:tc>
                              <w:tc>
                                <w:tcPr>
                                  <w:tcW w:w="483" w:type="pct"/>
                                  <w:tcBorders>
                                    <w:top w:val="nil"/>
                                    <w:left w:val="nil"/>
                                    <w:bottom w:val="nil"/>
                                    <w:right w:val="nil"/>
                                  </w:tcBorders>
                                  <w:hideMark/>
                                </w:tcPr>
                                <w:p w14:paraId="343AE92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27.6% </w:t>
                                  </w:r>
                                </w:p>
                              </w:tc>
                              <w:tc>
                                <w:tcPr>
                                  <w:tcW w:w="483" w:type="pct"/>
                                  <w:tcBorders>
                                    <w:top w:val="nil"/>
                                    <w:left w:val="nil"/>
                                    <w:bottom w:val="nil"/>
                                    <w:right w:val="nil"/>
                                  </w:tcBorders>
                                  <w:hideMark/>
                                </w:tcPr>
                                <w:p w14:paraId="530F224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30.5% </w:t>
                                  </w:r>
                                </w:p>
                              </w:tc>
                              <w:tc>
                                <w:tcPr>
                                  <w:tcW w:w="483" w:type="pct"/>
                                  <w:tcBorders>
                                    <w:top w:val="nil"/>
                                    <w:left w:val="nil"/>
                                    <w:bottom w:val="nil"/>
                                    <w:right w:val="nil"/>
                                  </w:tcBorders>
                                  <w:hideMark/>
                                </w:tcPr>
                                <w:p w14:paraId="06A2147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27.5% </w:t>
                                  </w:r>
                                </w:p>
                              </w:tc>
                              <w:tc>
                                <w:tcPr>
                                  <w:tcW w:w="483" w:type="pct"/>
                                  <w:tcBorders>
                                    <w:top w:val="nil"/>
                                    <w:left w:val="nil"/>
                                    <w:bottom w:val="nil"/>
                                    <w:right w:val="nil"/>
                                  </w:tcBorders>
                                  <w:hideMark/>
                                </w:tcPr>
                                <w:p w14:paraId="12F7246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30.3% </w:t>
                                  </w:r>
                                </w:p>
                              </w:tc>
                              <w:tc>
                                <w:tcPr>
                                  <w:tcW w:w="572" w:type="pct"/>
                                  <w:tcBorders>
                                    <w:top w:val="nil"/>
                                    <w:left w:val="nil"/>
                                    <w:bottom w:val="nil"/>
                                    <w:right w:val="nil"/>
                                  </w:tcBorders>
                                  <w:hideMark/>
                                </w:tcPr>
                                <w:p w14:paraId="2E3CEFE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32.9% </w:t>
                                  </w:r>
                                </w:p>
                              </w:tc>
                            </w:tr>
                            <w:tr w:rsidR="00FF566C" w:rsidRPr="00FF566C" w14:paraId="6EC1F3C5" w14:textId="77777777" w:rsidTr="00FF566C">
                              <w:trPr>
                                <w:trHeight w:val="204"/>
                              </w:trPr>
                              <w:tc>
                                <w:tcPr>
                                  <w:tcW w:w="1530" w:type="pct"/>
                                  <w:tcBorders>
                                    <w:top w:val="nil"/>
                                    <w:left w:val="nil"/>
                                    <w:bottom w:val="nil"/>
                                    <w:right w:val="nil"/>
                                  </w:tcBorders>
                                  <w:noWrap/>
                                  <w:hideMark/>
                                </w:tcPr>
                                <w:p w14:paraId="1298FBB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Common Equity %</w:t>
                                  </w:r>
                                </w:p>
                              </w:tc>
                              <w:tc>
                                <w:tcPr>
                                  <w:tcW w:w="483" w:type="pct"/>
                                  <w:tcBorders>
                                    <w:top w:val="nil"/>
                                    <w:left w:val="nil"/>
                                    <w:bottom w:val="nil"/>
                                    <w:right w:val="nil"/>
                                  </w:tcBorders>
                                  <w:hideMark/>
                                </w:tcPr>
                                <w:p w14:paraId="11FDBAD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26.1% </w:t>
                                  </w:r>
                                </w:p>
                              </w:tc>
                              <w:tc>
                                <w:tcPr>
                                  <w:tcW w:w="483" w:type="pct"/>
                                  <w:tcBorders>
                                    <w:top w:val="nil"/>
                                    <w:left w:val="nil"/>
                                    <w:bottom w:val="nil"/>
                                    <w:right w:val="nil"/>
                                  </w:tcBorders>
                                  <w:hideMark/>
                                </w:tcPr>
                                <w:p w14:paraId="4DF624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c>
                                <w:tcPr>
                                  <w:tcW w:w="483" w:type="pct"/>
                                  <w:tcBorders>
                                    <w:top w:val="nil"/>
                                    <w:left w:val="nil"/>
                                    <w:bottom w:val="nil"/>
                                    <w:right w:val="nil"/>
                                  </w:tcBorders>
                                  <w:hideMark/>
                                </w:tcPr>
                                <w:p w14:paraId="76E10E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27.9% </w:t>
                                  </w:r>
                                </w:p>
                              </w:tc>
                              <w:tc>
                                <w:tcPr>
                                  <w:tcW w:w="483" w:type="pct"/>
                                  <w:tcBorders>
                                    <w:top w:val="nil"/>
                                    <w:left w:val="nil"/>
                                    <w:bottom w:val="nil"/>
                                    <w:right w:val="nil"/>
                                  </w:tcBorders>
                                  <w:hideMark/>
                                </w:tcPr>
                                <w:p w14:paraId="3301525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30.6% </w:t>
                                  </w:r>
                                </w:p>
                              </w:tc>
                              <w:tc>
                                <w:tcPr>
                                  <w:tcW w:w="483" w:type="pct"/>
                                  <w:tcBorders>
                                    <w:top w:val="nil"/>
                                    <w:left w:val="nil"/>
                                    <w:bottom w:val="nil"/>
                                    <w:right w:val="nil"/>
                                  </w:tcBorders>
                                  <w:hideMark/>
                                </w:tcPr>
                                <w:p w14:paraId="54C1CB1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27.5% </w:t>
                                  </w:r>
                                </w:p>
                              </w:tc>
                              <w:tc>
                                <w:tcPr>
                                  <w:tcW w:w="483" w:type="pct"/>
                                  <w:tcBorders>
                                    <w:top w:val="nil"/>
                                    <w:left w:val="nil"/>
                                    <w:bottom w:val="nil"/>
                                    <w:right w:val="nil"/>
                                  </w:tcBorders>
                                  <w:hideMark/>
                                </w:tcPr>
                                <w:p w14:paraId="2998531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30.3% </w:t>
                                  </w:r>
                                </w:p>
                              </w:tc>
                              <w:tc>
                                <w:tcPr>
                                  <w:tcW w:w="572" w:type="pct"/>
                                  <w:tcBorders>
                                    <w:top w:val="nil"/>
                                    <w:left w:val="nil"/>
                                    <w:bottom w:val="nil"/>
                                    <w:right w:val="nil"/>
                                  </w:tcBorders>
                                  <w:hideMark/>
                                </w:tcPr>
                                <w:p w14:paraId="53B8AC9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32.9% </w:t>
                                  </w:r>
                                </w:p>
                              </w:tc>
                            </w:tr>
                            <w:tr w:rsidR="00FF566C" w:rsidRPr="00FF566C" w14:paraId="0307000D" w14:textId="77777777" w:rsidTr="00FF566C">
                              <w:trPr>
                                <w:trHeight w:val="204"/>
                              </w:trPr>
                              <w:tc>
                                <w:tcPr>
                                  <w:tcW w:w="1530" w:type="pct"/>
                                  <w:tcBorders>
                                    <w:top w:val="nil"/>
                                    <w:left w:val="nil"/>
                                    <w:bottom w:val="nil"/>
                                    <w:right w:val="nil"/>
                                  </w:tcBorders>
                                  <w:noWrap/>
                                  <w:hideMark/>
                                </w:tcPr>
                                <w:p w14:paraId="21B1C162"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Margin Analysis</w:t>
                                  </w:r>
                                </w:p>
                              </w:tc>
                              <w:tc>
                                <w:tcPr>
                                  <w:tcW w:w="483" w:type="pct"/>
                                  <w:tcBorders>
                                    <w:top w:val="nil"/>
                                    <w:left w:val="nil"/>
                                    <w:bottom w:val="nil"/>
                                    <w:right w:val="nil"/>
                                  </w:tcBorders>
                                  <w:noWrap/>
                                  <w:hideMark/>
                                </w:tcPr>
                                <w:p w14:paraId="3B5486F9"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34CAC50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61F5EE8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2CC2EA5"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E2650F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EFD42E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54FCD868"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097461D0" w14:textId="77777777" w:rsidTr="00FF566C">
                              <w:trPr>
                                <w:trHeight w:val="204"/>
                              </w:trPr>
                              <w:tc>
                                <w:tcPr>
                                  <w:tcW w:w="1530" w:type="pct"/>
                                  <w:tcBorders>
                                    <w:top w:val="nil"/>
                                    <w:left w:val="nil"/>
                                    <w:bottom w:val="nil"/>
                                    <w:right w:val="nil"/>
                                  </w:tcBorders>
                                  <w:noWrap/>
                                  <w:hideMark/>
                                </w:tcPr>
                                <w:p w14:paraId="3E99A646"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Gross Margin %</w:t>
                                  </w:r>
                                </w:p>
                              </w:tc>
                              <w:tc>
                                <w:tcPr>
                                  <w:tcW w:w="483" w:type="pct"/>
                                  <w:tcBorders>
                                    <w:top w:val="nil"/>
                                    <w:left w:val="nil"/>
                                    <w:bottom w:val="nil"/>
                                    <w:right w:val="nil"/>
                                  </w:tcBorders>
                                  <w:hideMark/>
                                </w:tcPr>
                                <w:p w14:paraId="278CA4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13.0% </w:t>
                                  </w:r>
                                </w:p>
                              </w:tc>
                              <w:tc>
                                <w:tcPr>
                                  <w:tcW w:w="483" w:type="pct"/>
                                  <w:tcBorders>
                                    <w:top w:val="nil"/>
                                    <w:left w:val="nil"/>
                                    <w:bottom w:val="nil"/>
                                    <w:right w:val="nil"/>
                                  </w:tcBorders>
                                  <w:hideMark/>
                                </w:tcPr>
                                <w:p w14:paraId="597F32C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13.1% </w:t>
                                  </w:r>
                                </w:p>
                              </w:tc>
                              <w:tc>
                                <w:tcPr>
                                  <w:tcW w:w="483" w:type="pct"/>
                                  <w:tcBorders>
                                    <w:top w:val="nil"/>
                                    <w:left w:val="nil"/>
                                    <w:bottom w:val="nil"/>
                                    <w:right w:val="nil"/>
                                  </w:tcBorders>
                                  <w:hideMark/>
                                </w:tcPr>
                                <w:p w14:paraId="7FCD1B1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12.9% </w:t>
                                  </w:r>
                                </w:p>
                              </w:tc>
                              <w:tc>
                                <w:tcPr>
                                  <w:tcW w:w="483" w:type="pct"/>
                                  <w:tcBorders>
                                    <w:top w:val="nil"/>
                                    <w:left w:val="nil"/>
                                    <w:bottom w:val="nil"/>
                                    <w:right w:val="nil"/>
                                  </w:tcBorders>
                                  <w:hideMark/>
                                </w:tcPr>
                                <w:p w14:paraId="7A95572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12.1% </w:t>
                                  </w:r>
                                </w:p>
                              </w:tc>
                              <w:tc>
                                <w:tcPr>
                                  <w:tcW w:w="483" w:type="pct"/>
                                  <w:tcBorders>
                                    <w:top w:val="nil"/>
                                    <w:left w:val="nil"/>
                                    <w:bottom w:val="nil"/>
                                    <w:right w:val="nil"/>
                                  </w:tcBorders>
                                  <w:hideMark/>
                                </w:tcPr>
                                <w:p w14:paraId="4E3CB77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12.4% </w:t>
                                  </w:r>
                                </w:p>
                              </w:tc>
                              <w:tc>
                                <w:tcPr>
                                  <w:tcW w:w="483" w:type="pct"/>
                                  <w:tcBorders>
                                    <w:top w:val="nil"/>
                                    <w:left w:val="nil"/>
                                    <w:bottom w:val="nil"/>
                                    <w:right w:val="nil"/>
                                  </w:tcBorders>
                                  <w:hideMark/>
                                </w:tcPr>
                                <w:p w14:paraId="0A56999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12.6% </w:t>
                                  </w:r>
                                </w:p>
                              </w:tc>
                              <w:tc>
                                <w:tcPr>
                                  <w:tcW w:w="572" w:type="pct"/>
                                  <w:tcBorders>
                                    <w:top w:val="nil"/>
                                    <w:left w:val="nil"/>
                                    <w:bottom w:val="nil"/>
                                    <w:right w:val="nil"/>
                                  </w:tcBorders>
                                  <w:hideMark/>
                                </w:tcPr>
                                <w:p w14:paraId="374FBF8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12.7% </w:t>
                                  </w:r>
                                </w:p>
                              </w:tc>
                            </w:tr>
                            <w:tr w:rsidR="00FF566C" w:rsidRPr="00FF566C" w14:paraId="0B67B243" w14:textId="77777777" w:rsidTr="00FF566C">
                              <w:trPr>
                                <w:trHeight w:val="204"/>
                              </w:trPr>
                              <w:tc>
                                <w:tcPr>
                                  <w:tcW w:w="1530" w:type="pct"/>
                                  <w:tcBorders>
                                    <w:top w:val="nil"/>
                                    <w:left w:val="nil"/>
                                    <w:bottom w:val="nil"/>
                                    <w:right w:val="nil"/>
                                  </w:tcBorders>
                                  <w:noWrap/>
                                  <w:hideMark/>
                                </w:tcPr>
                                <w:p w14:paraId="50D91704"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SG&amp;A Margin %</w:t>
                                  </w:r>
                                </w:p>
                              </w:tc>
                              <w:tc>
                                <w:tcPr>
                                  <w:tcW w:w="483" w:type="pct"/>
                                  <w:tcBorders>
                                    <w:top w:val="nil"/>
                                    <w:left w:val="nil"/>
                                    <w:bottom w:val="nil"/>
                                    <w:right w:val="nil"/>
                                  </w:tcBorders>
                                  <w:hideMark/>
                                </w:tcPr>
                                <w:p w14:paraId="3354E5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9.8% </w:t>
                                  </w:r>
                                </w:p>
                              </w:tc>
                              <w:tc>
                                <w:tcPr>
                                  <w:tcW w:w="483" w:type="pct"/>
                                  <w:tcBorders>
                                    <w:top w:val="nil"/>
                                    <w:left w:val="nil"/>
                                    <w:bottom w:val="nil"/>
                                    <w:right w:val="nil"/>
                                  </w:tcBorders>
                                  <w:hideMark/>
                                </w:tcPr>
                                <w:p w14:paraId="5B073C0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9.8% </w:t>
                                  </w:r>
                                </w:p>
                              </w:tc>
                              <w:tc>
                                <w:tcPr>
                                  <w:tcW w:w="483" w:type="pct"/>
                                  <w:tcBorders>
                                    <w:top w:val="nil"/>
                                    <w:left w:val="nil"/>
                                    <w:bottom w:val="nil"/>
                                    <w:right w:val="nil"/>
                                  </w:tcBorders>
                                  <w:hideMark/>
                                </w:tcPr>
                                <w:p w14:paraId="3F979A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9.4% </w:t>
                                  </w:r>
                                </w:p>
                              </w:tc>
                              <w:tc>
                                <w:tcPr>
                                  <w:tcW w:w="483" w:type="pct"/>
                                  <w:tcBorders>
                                    <w:top w:val="nil"/>
                                    <w:left w:val="nil"/>
                                    <w:bottom w:val="nil"/>
                                    <w:right w:val="nil"/>
                                  </w:tcBorders>
                                  <w:hideMark/>
                                </w:tcPr>
                                <w:p w14:paraId="3603DB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8.7% </w:t>
                                  </w:r>
                                </w:p>
                              </w:tc>
                              <w:tc>
                                <w:tcPr>
                                  <w:tcW w:w="483" w:type="pct"/>
                                  <w:tcBorders>
                                    <w:top w:val="nil"/>
                                    <w:left w:val="nil"/>
                                    <w:bottom w:val="nil"/>
                                    <w:right w:val="nil"/>
                                  </w:tcBorders>
                                  <w:hideMark/>
                                </w:tcPr>
                                <w:p w14:paraId="4CFABF8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8.9% </w:t>
                                  </w:r>
                                </w:p>
                              </w:tc>
                              <w:tc>
                                <w:tcPr>
                                  <w:tcW w:w="483" w:type="pct"/>
                                  <w:tcBorders>
                                    <w:top w:val="nil"/>
                                    <w:left w:val="nil"/>
                                    <w:bottom w:val="nil"/>
                                    <w:right w:val="nil"/>
                                  </w:tcBorders>
                                  <w:hideMark/>
                                </w:tcPr>
                                <w:p w14:paraId="4A929AE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9.0% </w:t>
                                  </w:r>
                                </w:p>
                              </w:tc>
                              <w:tc>
                                <w:tcPr>
                                  <w:tcW w:w="572" w:type="pct"/>
                                  <w:tcBorders>
                                    <w:top w:val="nil"/>
                                    <w:left w:val="nil"/>
                                    <w:bottom w:val="nil"/>
                                    <w:right w:val="nil"/>
                                  </w:tcBorders>
                                  <w:hideMark/>
                                </w:tcPr>
                                <w:p w14:paraId="754C4E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9.0% </w:t>
                                  </w:r>
                                </w:p>
                              </w:tc>
                            </w:tr>
                            <w:tr w:rsidR="00FF566C" w:rsidRPr="00FF566C" w14:paraId="4D61E42E" w14:textId="77777777" w:rsidTr="00FF566C">
                              <w:trPr>
                                <w:trHeight w:val="204"/>
                              </w:trPr>
                              <w:tc>
                                <w:tcPr>
                                  <w:tcW w:w="1530" w:type="pct"/>
                                  <w:tcBorders>
                                    <w:top w:val="nil"/>
                                    <w:left w:val="nil"/>
                                    <w:bottom w:val="nil"/>
                                    <w:right w:val="nil"/>
                                  </w:tcBorders>
                                  <w:noWrap/>
                                  <w:hideMark/>
                                </w:tcPr>
                                <w:p w14:paraId="242E71B5"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 Margin %</w:t>
                                  </w:r>
                                </w:p>
                              </w:tc>
                              <w:tc>
                                <w:tcPr>
                                  <w:tcW w:w="483" w:type="pct"/>
                                  <w:tcBorders>
                                    <w:top w:val="nil"/>
                                    <w:left w:val="nil"/>
                                    <w:bottom w:val="nil"/>
                                    <w:right w:val="nil"/>
                                  </w:tcBorders>
                                  <w:hideMark/>
                                </w:tcPr>
                                <w:p w14:paraId="24CCFD8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4.1% </w:t>
                                  </w:r>
                                </w:p>
                              </w:tc>
                              <w:tc>
                                <w:tcPr>
                                  <w:tcW w:w="483" w:type="pct"/>
                                  <w:tcBorders>
                                    <w:top w:val="nil"/>
                                    <w:left w:val="nil"/>
                                    <w:bottom w:val="nil"/>
                                    <w:right w:val="nil"/>
                                  </w:tcBorders>
                                  <w:hideMark/>
                                </w:tcPr>
                                <w:p w14:paraId="6726F68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 </w:t>
                                  </w:r>
                                </w:p>
                              </w:tc>
                              <w:tc>
                                <w:tcPr>
                                  <w:tcW w:w="483" w:type="pct"/>
                                  <w:tcBorders>
                                    <w:top w:val="nil"/>
                                    <w:left w:val="nil"/>
                                    <w:bottom w:val="nil"/>
                                    <w:right w:val="nil"/>
                                  </w:tcBorders>
                                  <w:hideMark/>
                                </w:tcPr>
                                <w:p w14:paraId="5CCCE5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4.4% </w:t>
                                  </w:r>
                                </w:p>
                              </w:tc>
                              <w:tc>
                                <w:tcPr>
                                  <w:tcW w:w="483" w:type="pct"/>
                                  <w:tcBorders>
                                    <w:top w:val="nil"/>
                                    <w:left w:val="nil"/>
                                    <w:bottom w:val="nil"/>
                                    <w:right w:val="nil"/>
                                  </w:tcBorders>
                                  <w:hideMark/>
                                </w:tcPr>
                                <w:p w14:paraId="3B8B340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4.3% </w:t>
                                  </w:r>
                                </w:p>
                              </w:tc>
                              <w:tc>
                                <w:tcPr>
                                  <w:tcW w:w="483" w:type="pct"/>
                                  <w:tcBorders>
                                    <w:top w:val="nil"/>
                                    <w:left w:val="nil"/>
                                    <w:bottom w:val="nil"/>
                                    <w:right w:val="nil"/>
                                  </w:tcBorders>
                                  <w:hideMark/>
                                </w:tcPr>
                                <w:p w14:paraId="66580D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4.4% </w:t>
                                  </w:r>
                                </w:p>
                              </w:tc>
                              <w:tc>
                                <w:tcPr>
                                  <w:tcW w:w="483" w:type="pct"/>
                                  <w:tcBorders>
                                    <w:top w:val="nil"/>
                                    <w:left w:val="nil"/>
                                    <w:bottom w:val="nil"/>
                                    <w:right w:val="nil"/>
                                  </w:tcBorders>
                                  <w:hideMark/>
                                </w:tcPr>
                                <w:p w14:paraId="5AFD100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4.5% </w:t>
                                  </w:r>
                                </w:p>
                              </w:tc>
                              <w:tc>
                                <w:tcPr>
                                  <w:tcW w:w="572" w:type="pct"/>
                                  <w:tcBorders>
                                    <w:top w:val="nil"/>
                                    <w:left w:val="nil"/>
                                    <w:bottom w:val="nil"/>
                                    <w:right w:val="nil"/>
                                  </w:tcBorders>
                                  <w:hideMark/>
                                </w:tcPr>
                                <w:p w14:paraId="395D5A6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4.6% </w:t>
                                  </w:r>
                                </w:p>
                              </w:tc>
                            </w:tr>
                            <w:tr w:rsidR="00FF566C" w:rsidRPr="00FF566C" w14:paraId="6537C7F5" w14:textId="77777777" w:rsidTr="00FF566C">
                              <w:trPr>
                                <w:trHeight w:val="204"/>
                              </w:trPr>
                              <w:tc>
                                <w:tcPr>
                                  <w:tcW w:w="1530" w:type="pct"/>
                                  <w:tcBorders>
                                    <w:top w:val="nil"/>
                                    <w:left w:val="nil"/>
                                    <w:bottom w:val="nil"/>
                                    <w:right w:val="nil"/>
                                  </w:tcBorders>
                                  <w:noWrap/>
                                  <w:hideMark/>
                                </w:tcPr>
                                <w:p w14:paraId="3F7B8C7B"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EBITA Margin %</w:t>
                                  </w:r>
                                </w:p>
                              </w:tc>
                              <w:tc>
                                <w:tcPr>
                                  <w:tcW w:w="483" w:type="pct"/>
                                  <w:tcBorders>
                                    <w:top w:val="nil"/>
                                    <w:left w:val="nil"/>
                                    <w:bottom w:val="nil"/>
                                    <w:right w:val="nil"/>
                                  </w:tcBorders>
                                  <w:hideMark/>
                                </w:tcPr>
                                <w:p w14:paraId="01C927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1CF835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3.3% </w:t>
                                  </w:r>
                                </w:p>
                              </w:tc>
                              <w:tc>
                                <w:tcPr>
                                  <w:tcW w:w="483" w:type="pct"/>
                                  <w:tcBorders>
                                    <w:top w:val="nil"/>
                                    <w:left w:val="nil"/>
                                    <w:bottom w:val="nil"/>
                                    <w:right w:val="nil"/>
                                  </w:tcBorders>
                                  <w:hideMark/>
                                </w:tcPr>
                                <w:p w14:paraId="7926DFE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6369A0E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664F7A7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21AF7D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2FA1975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 </w:t>
                                  </w:r>
                                </w:p>
                              </w:tc>
                            </w:tr>
                            <w:tr w:rsidR="00FF566C" w:rsidRPr="00FF566C" w14:paraId="2C40B5A0" w14:textId="77777777" w:rsidTr="00FF566C">
                              <w:trPr>
                                <w:trHeight w:val="204"/>
                              </w:trPr>
                              <w:tc>
                                <w:tcPr>
                                  <w:tcW w:w="1530" w:type="pct"/>
                                  <w:tcBorders>
                                    <w:top w:val="nil"/>
                                    <w:left w:val="nil"/>
                                    <w:bottom w:val="nil"/>
                                    <w:right w:val="nil"/>
                                  </w:tcBorders>
                                  <w:noWrap/>
                                  <w:hideMark/>
                                </w:tcPr>
                                <w:p w14:paraId="27FEFCA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 Margin %</w:t>
                                  </w:r>
                                </w:p>
                              </w:tc>
                              <w:tc>
                                <w:tcPr>
                                  <w:tcW w:w="483" w:type="pct"/>
                                  <w:tcBorders>
                                    <w:top w:val="nil"/>
                                    <w:left w:val="nil"/>
                                    <w:bottom w:val="nil"/>
                                    <w:right w:val="nil"/>
                                  </w:tcBorders>
                                  <w:hideMark/>
                                </w:tcPr>
                                <w:p w14:paraId="7C2FC67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4FDECD9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3.3% </w:t>
                                  </w:r>
                                </w:p>
                              </w:tc>
                              <w:tc>
                                <w:tcPr>
                                  <w:tcW w:w="483" w:type="pct"/>
                                  <w:tcBorders>
                                    <w:top w:val="nil"/>
                                    <w:left w:val="nil"/>
                                    <w:bottom w:val="nil"/>
                                    <w:right w:val="nil"/>
                                  </w:tcBorders>
                                  <w:hideMark/>
                                </w:tcPr>
                                <w:p w14:paraId="31817FB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500D0D8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FCCFE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65B143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3F2291D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 </w:t>
                                  </w:r>
                                </w:p>
                              </w:tc>
                            </w:tr>
                            <w:tr w:rsidR="00FF566C" w:rsidRPr="00FF566C" w14:paraId="68A13451" w14:textId="77777777" w:rsidTr="00FF566C">
                              <w:trPr>
                                <w:trHeight w:val="204"/>
                              </w:trPr>
                              <w:tc>
                                <w:tcPr>
                                  <w:tcW w:w="1530" w:type="pct"/>
                                  <w:tcBorders>
                                    <w:top w:val="nil"/>
                                    <w:left w:val="nil"/>
                                    <w:bottom w:val="nil"/>
                                    <w:right w:val="nil"/>
                                  </w:tcBorders>
                                  <w:noWrap/>
                                  <w:hideMark/>
                                </w:tcPr>
                                <w:p w14:paraId="4984858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Earnings from Cont. Ops Margin %</w:t>
                                  </w:r>
                                </w:p>
                              </w:tc>
                              <w:tc>
                                <w:tcPr>
                                  <w:tcW w:w="483" w:type="pct"/>
                                  <w:tcBorders>
                                    <w:top w:val="nil"/>
                                    <w:left w:val="nil"/>
                                    <w:bottom w:val="nil"/>
                                    <w:right w:val="nil"/>
                                  </w:tcBorders>
                                  <w:hideMark/>
                                </w:tcPr>
                                <w:p w14:paraId="7C0374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2B87A85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0E5192B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A76DF3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D5DD4D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43BAF4C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764C4FE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265A2960" w14:textId="77777777" w:rsidTr="00FF566C">
                              <w:trPr>
                                <w:trHeight w:val="204"/>
                              </w:trPr>
                              <w:tc>
                                <w:tcPr>
                                  <w:tcW w:w="1530" w:type="pct"/>
                                  <w:tcBorders>
                                    <w:top w:val="nil"/>
                                    <w:left w:val="nil"/>
                                    <w:bottom w:val="nil"/>
                                    <w:right w:val="nil"/>
                                  </w:tcBorders>
                                  <w:noWrap/>
                                  <w:hideMark/>
                                </w:tcPr>
                                <w:p w14:paraId="0B60EFA8"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Income Margin %</w:t>
                                  </w:r>
                                </w:p>
                              </w:tc>
                              <w:tc>
                                <w:tcPr>
                                  <w:tcW w:w="483" w:type="pct"/>
                                  <w:tcBorders>
                                    <w:top w:val="nil"/>
                                    <w:left w:val="nil"/>
                                    <w:bottom w:val="nil"/>
                                    <w:right w:val="nil"/>
                                  </w:tcBorders>
                                  <w:hideMark/>
                                </w:tcPr>
                                <w:p w14:paraId="20D6A68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65C00A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1356E8D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8301A1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38649E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734658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002855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6F8388AB" w14:textId="77777777" w:rsidTr="00FF566C">
                              <w:trPr>
                                <w:trHeight w:val="204"/>
                              </w:trPr>
                              <w:tc>
                                <w:tcPr>
                                  <w:tcW w:w="1530" w:type="pct"/>
                                  <w:tcBorders>
                                    <w:top w:val="nil"/>
                                    <w:left w:val="nil"/>
                                    <w:bottom w:val="nil"/>
                                    <w:right w:val="nil"/>
                                  </w:tcBorders>
                                  <w:noWrap/>
                                  <w:hideMark/>
                                </w:tcPr>
                                <w:p w14:paraId="6BF20E28"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Income Avail. for Common Margin %</w:t>
                                  </w:r>
                                </w:p>
                              </w:tc>
                              <w:tc>
                                <w:tcPr>
                                  <w:tcW w:w="483" w:type="pct"/>
                                  <w:tcBorders>
                                    <w:top w:val="nil"/>
                                    <w:left w:val="nil"/>
                                    <w:bottom w:val="nil"/>
                                    <w:right w:val="nil"/>
                                  </w:tcBorders>
                                  <w:hideMark/>
                                </w:tcPr>
                                <w:p w14:paraId="40160B4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28BC125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521862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C79739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2A552FE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211B20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28AF7E0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21620FD3" w14:textId="77777777" w:rsidTr="00FF566C">
                              <w:trPr>
                                <w:trHeight w:val="204"/>
                              </w:trPr>
                              <w:tc>
                                <w:tcPr>
                                  <w:tcW w:w="1530" w:type="pct"/>
                                  <w:tcBorders>
                                    <w:top w:val="nil"/>
                                    <w:left w:val="nil"/>
                                    <w:bottom w:val="nil"/>
                                    <w:right w:val="nil"/>
                                  </w:tcBorders>
                                  <w:noWrap/>
                                  <w:hideMark/>
                                </w:tcPr>
                                <w:p w14:paraId="241F010F"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Normalized Net Income Margin %</w:t>
                                  </w:r>
                                </w:p>
                              </w:tc>
                              <w:tc>
                                <w:tcPr>
                                  <w:tcW w:w="483" w:type="pct"/>
                                  <w:tcBorders>
                                    <w:top w:val="nil"/>
                                    <w:left w:val="nil"/>
                                    <w:bottom w:val="nil"/>
                                    <w:right w:val="nil"/>
                                  </w:tcBorders>
                                  <w:hideMark/>
                                </w:tcPr>
                                <w:p w14:paraId="5478568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1.9% </w:t>
                                  </w:r>
                                </w:p>
                              </w:tc>
                              <w:tc>
                                <w:tcPr>
                                  <w:tcW w:w="483" w:type="pct"/>
                                  <w:tcBorders>
                                    <w:top w:val="nil"/>
                                    <w:left w:val="nil"/>
                                    <w:bottom w:val="nil"/>
                                    <w:right w:val="nil"/>
                                  </w:tcBorders>
                                  <w:hideMark/>
                                </w:tcPr>
                                <w:p w14:paraId="279BFD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2.0% </w:t>
                                  </w:r>
                                </w:p>
                              </w:tc>
                              <w:tc>
                                <w:tcPr>
                                  <w:tcW w:w="483" w:type="pct"/>
                                  <w:tcBorders>
                                    <w:top w:val="nil"/>
                                    <w:left w:val="nil"/>
                                    <w:bottom w:val="nil"/>
                                    <w:right w:val="nil"/>
                                  </w:tcBorders>
                                  <w:hideMark/>
                                </w:tcPr>
                                <w:p w14:paraId="2654AD5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2.1% </w:t>
                                  </w:r>
                                </w:p>
                              </w:tc>
                              <w:tc>
                                <w:tcPr>
                                  <w:tcW w:w="483" w:type="pct"/>
                                  <w:tcBorders>
                                    <w:top w:val="nil"/>
                                    <w:left w:val="nil"/>
                                    <w:bottom w:val="nil"/>
                                    <w:right w:val="nil"/>
                                  </w:tcBorders>
                                  <w:hideMark/>
                                </w:tcPr>
                                <w:p w14:paraId="198A85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c>
                                <w:tcPr>
                                  <w:tcW w:w="483" w:type="pct"/>
                                  <w:tcBorders>
                                    <w:top w:val="nil"/>
                                    <w:left w:val="nil"/>
                                    <w:bottom w:val="nil"/>
                                    <w:right w:val="nil"/>
                                  </w:tcBorders>
                                  <w:hideMark/>
                                </w:tcPr>
                                <w:p w14:paraId="721FF2A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4EACFF2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572" w:type="pct"/>
                                  <w:tcBorders>
                                    <w:top w:val="nil"/>
                                    <w:left w:val="nil"/>
                                    <w:bottom w:val="nil"/>
                                    <w:right w:val="nil"/>
                                  </w:tcBorders>
                                  <w:hideMark/>
                                </w:tcPr>
                                <w:p w14:paraId="5DC674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r>
                            <w:tr w:rsidR="00FF566C" w:rsidRPr="00FF566C" w14:paraId="52105E31" w14:textId="77777777" w:rsidTr="00FF566C">
                              <w:trPr>
                                <w:trHeight w:val="204"/>
                              </w:trPr>
                              <w:tc>
                                <w:tcPr>
                                  <w:tcW w:w="1530" w:type="pct"/>
                                  <w:tcBorders>
                                    <w:top w:val="nil"/>
                                    <w:left w:val="nil"/>
                                    <w:bottom w:val="nil"/>
                                    <w:right w:val="nil"/>
                                  </w:tcBorders>
                                  <w:noWrap/>
                                  <w:hideMark/>
                                </w:tcPr>
                                <w:p w14:paraId="4A05D27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Levered Free Cash Flow Margin %</w:t>
                                  </w:r>
                                </w:p>
                              </w:tc>
                              <w:tc>
                                <w:tcPr>
                                  <w:tcW w:w="483" w:type="pct"/>
                                  <w:tcBorders>
                                    <w:top w:val="nil"/>
                                    <w:left w:val="nil"/>
                                    <w:bottom w:val="nil"/>
                                    <w:right w:val="nil"/>
                                  </w:tcBorders>
                                  <w:hideMark/>
                                </w:tcPr>
                                <w:p w14:paraId="5C67FDA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1.7% </w:t>
                                  </w:r>
                                </w:p>
                              </w:tc>
                              <w:tc>
                                <w:tcPr>
                                  <w:tcW w:w="483" w:type="pct"/>
                                  <w:tcBorders>
                                    <w:top w:val="nil"/>
                                    <w:left w:val="nil"/>
                                    <w:bottom w:val="nil"/>
                                    <w:right w:val="nil"/>
                                  </w:tcBorders>
                                  <w:hideMark/>
                                </w:tcPr>
                                <w:p w14:paraId="1C7A515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 </w:t>
                                  </w:r>
                                </w:p>
                              </w:tc>
                              <w:tc>
                                <w:tcPr>
                                  <w:tcW w:w="483" w:type="pct"/>
                                  <w:tcBorders>
                                    <w:top w:val="nil"/>
                                    <w:left w:val="nil"/>
                                    <w:bottom w:val="nil"/>
                                    <w:right w:val="nil"/>
                                  </w:tcBorders>
                                  <w:hideMark/>
                                </w:tcPr>
                                <w:p w14:paraId="1B8EA15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c>
                                <w:tcPr>
                                  <w:tcW w:w="483" w:type="pct"/>
                                  <w:tcBorders>
                                    <w:top w:val="nil"/>
                                    <w:left w:val="nil"/>
                                    <w:bottom w:val="nil"/>
                                    <w:right w:val="nil"/>
                                  </w:tcBorders>
                                  <w:hideMark/>
                                </w:tcPr>
                                <w:p w14:paraId="49D045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1.0% </w:t>
                                  </w:r>
                                </w:p>
                              </w:tc>
                              <w:tc>
                                <w:tcPr>
                                  <w:tcW w:w="483" w:type="pct"/>
                                  <w:tcBorders>
                                    <w:top w:val="nil"/>
                                    <w:left w:val="nil"/>
                                    <w:bottom w:val="nil"/>
                                    <w:right w:val="nil"/>
                                  </w:tcBorders>
                                  <w:hideMark/>
                                </w:tcPr>
                                <w:p w14:paraId="560035E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6120B3F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572" w:type="pct"/>
                                  <w:tcBorders>
                                    <w:top w:val="nil"/>
                                    <w:left w:val="nil"/>
                                    <w:bottom w:val="nil"/>
                                    <w:right w:val="nil"/>
                                  </w:tcBorders>
                                  <w:hideMark/>
                                </w:tcPr>
                                <w:p w14:paraId="3EA4C46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2.1% </w:t>
                                  </w:r>
                                </w:p>
                              </w:tc>
                            </w:tr>
                            <w:tr w:rsidR="00FF566C" w:rsidRPr="00FF566C" w14:paraId="76DF7915" w14:textId="77777777" w:rsidTr="00FF566C">
                              <w:trPr>
                                <w:trHeight w:val="204"/>
                              </w:trPr>
                              <w:tc>
                                <w:tcPr>
                                  <w:tcW w:w="1530" w:type="pct"/>
                                  <w:tcBorders>
                                    <w:top w:val="nil"/>
                                    <w:left w:val="nil"/>
                                    <w:bottom w:val="nil"/>
                                    <w:right w:val="nil"/>
                                  </w:tcBorders>
                                  <w:noWrap/>
                                  <w:hideMark/>
                                </w:tcPr>
                                <w:p w14:paraId="58FA5A69"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Unlevered Free Cash Flow Margin %</w:t>
                                  </w:r>
                                </w:p>
                              </w:tc>
                              <w:tc>
                                <w:tcPr>
                                  <w:tcW w:w="483" w:type="pct"/>
                                  <w:tcBorders>
                                    <w:top w:val="nil"/>
                                    <w:left w:val="nil"/>
                                    <w:bottom w:val="nil"/>
                                    <w:right w:val="nil"/>
                                  </w:tcBorders>
                                  <w:hideMark/>
                                </w:tcPr>
                                <w:p w14:paraId="176B5B7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483" w:type="pct"/>
                                  <w:tcBorders>
                                    <w:top w:val="nil"/>
                                    <w:left w:val="nil"/>
                                    <w:bottom w:val="nil"/>
                                    <w:right w:val="nil"/>
                                  </w:tcBorders>
                                  <w:hideMark/>
                                </w:tcPr>
                                <w:p w14:paraId="0CA0BE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 </w:t>
                                  </w:r>
                                </w:p>
                              </w:tc>
                              <w:tc>
                                <w:tcPr>
                                  <w:tcW w:w="483" w:type="pct"/>
                                  <w:tcBorders>
                                    <w:top w:val="nil"/>
                                    <w:left w:val="nil"/>
                                    <w:bottom w:val="nil"/>
                                    <w:right w:val="nil"/>
                                  </w:tcBorders>
                                  <w:hideMark/>
                                </w:tcPr>
                                <w:p w14:paraId="0DBCA94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19B7F83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1.1% </w:t>
                                  </w:r>
                                </w:p>
                              </w:tc>
                              <w:tc>
                                <w:tcPr>
                                  <w:tcW w:w="483" w:type="pct"/>
                                  <w:tcBorders>
                                    <w:top w:val="nil"/>
                                    <w:left w:val="nil"/>
                                    <w:bottom w:val="nil"/>
                                    <w:right w:val="nil"/>
                                  </w:tcBorders>
                                  <w:hideMark/>
                                </w:tcPr>
                                <w:p w14:paraId="41BB335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45AE9CF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572" w:type="pct"/>
                                  <w:tcBorders>
                                    <w:top w:val="nil"/>
                                    <w:left w:val="nil"/>
                                    <w:bottom w:val="nil"/>
                                    <w:right w:val="nil"/>
                                  </w:tcBorders>
                                  <w:hideMark/>
                                </w:tcPr>
                                <w:p w14:paraId="56C8F80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r>
                            <w:tr w:rsidR="00FF566C" w:rsidRPr="00FF566C" w14:paraId="26FB5021" w14:textId="77777777" w:rsidTr="00FF566C">
                              <w:trPr>
                                <w:trHeight w:val="204"/>
                              </w:trPr>
                              <w:tc>
                                <w:tcPr>
                                  <w:tcW w:w="1530" w:type="pct"/>
                                  <w:tcBorders>
                                    <w:top w:val="nil"/>
                                    <w:left w:val="nil"/>
                                    <w:bottom w:val="nil"/>
                                    <w:right w:val="nil"/>
                                  </w:tcBorders>
                                  <w:noWrap/>
                                  <w:hideMark/>
                                </w:tcPr>
                                <w:p w14:paraId="76350D5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Asset Turnover</w:t>
                                  </w:r>
                                </w:p>
                              </w:tc>
                              <w:tc>
                                <w:tcPr>
                                  <w:tcW w:w="483" w:type="pct"/>
                                  <w:tcBorders>
                                    <w:top w:val="nil"/>
                                    <w:left w:val="nil"/>
                                    <w:bottom w:val="nil"/>
                                    <w:right w:val="nil"/>
                                  </w:tcBorders>
                                  <w:noWrap/>
                                  <w:hideMark/>
                                </w:tcPr>
                                <w:p w14:paraId="6C4DC66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EC14ABC"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85D0F1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0519153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2E4F9E5F"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F7B6F9D"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7D75B05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3B241401" w14:textId="77777777" w:rsidTr="00FF566C">
                              <w:trPr>
                                <w:trHeight w:val="204"/>
                              </w:trPr>
                              <w:tc>
                                <w:tcPr>
                                  <w:tcW w:w="1530" w:type="pct"/>
                                  <w:tcBorders>
                                    <w:top w:val="nil"/>
                                    <w:left w:val="nil"/>
                                    <w:bottom w:val="nil"/>
                                    <w:right w:val="nil"/>
                                  </w:tcBorders>
                                  <w:noWrap/>
                                  <w:hideMark/>
                                </w:tcPr>
                                <w:p w14:paraId="123DB6F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Asset Turnover</w:t>
                                  </w:r>
                                </w:p>
                              </w:tc>
                              <w:tc>
                                <w:tcPr>
                                  <w:tcW w:w="483" w:type="pct"/>
                                  <w:tcBorders>
                                    <w:top w:val="nil"/>
                                    <w:left w:val="nil"/>
                                    <w:bottom w:val="nil"/>
                                    <w:right w:val="nil"/>
                                  </w:tcBorders>
                                  <w:hideMark/>
                                </w:tcPr>
                                <w:p w14:paraId="64A0E55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3.5x</w:t>
                                  </w:r>
                                </w:p>
                              </w:tc>
                              <w:tc>
                                <w:tcPr>
                                  <w:tcW w:w="483" w:type="pct"/>
                                  <w:tcBorders>
                                    <w:top w:val="nil"/>
                                    <w:left w:val="nil"/>
                                    <w:bottom w:val="nil"/>
                                    <w:right w:val="nil"/>
                                  </w:tcBorders>
                                  <w:hideMark/>
                                </w:tcPr>
                                <w:p w14:paraId="0B8A28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3.3x</w:t>
                                  </w:r>
                                </w:p>
                              </w:tc>
                              <w:tc>
                                <w:tcPr>
                                  <w:tcW w:w="483" w:type="pct"/>
                                  <w:tcBorders>
                                    <w:top w:val="nil"/>
                                    <w:left w:val="nil"/>
                                    <w:bottom w:val="nil"/>
                                    <w:right w:val="nil"/>
                                  </w:tcBorders>
                                  <w:hideMark/>
                                </w:tcPr>
                                <w:p w14:paraId="4E3202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3.4x</w:t>
                                  </w:r>
                                </w:p>
                              </w:tc>
                              <w:tc>
                                <w:tcPr>
                                  <w:tcW w:w="483" w:type="pct"/>
                                  <w:tcBorders>
                                    <w:top w:val="nil"/>
                                    <w:left w:val="nil"/>
                                    <w:bottom w:val="nil"/>
                                    <w:right w:val="nil"/>
                                  </w:tcBorders>
                                  <w:hideMark/>
                                </w:tcPr>
                                <w:p w14:paraId="6FA9293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3.7x</w:t>
                                  </w:r>
                                </w:p>
                              </w:tc>
                              <w:tc>
                                <w:tcPr>
                                  <w:tcW w:w="483" w:type="pct"/>
                                  <w:tcBorders>
                                    <w:top w:val="nil"/>
                                    <w:left w:val="nil"/>
                                    <w:bottom w:val="nil"/>
                                    <w:right w:val="nil"/>
                                  </w:tcBorders>
                                  <w:hideMark/>
                                </w:tcPr>
                                <w:p w14:paraId="479F924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3.6x</w:t>
                                  </w:r>
                                </w:p>
                              </w:tc>
                              <w:tc>
                                <w:tcPr>
                                  <w:tcW w:w="483" w:type="pct"/>
                                  <w:tcBorders>
                                    <w:top w:val="nil"/>
                                    <w:left w:val="nil"/>
                                    <w:bottom w:val="nil"/>
                                    <w:right w:val="nil"/>
                                  </w:tcBorders>
                                  <w:hideMark/>
                                </w:tcPr>
                                <w:p w14:paraId="4FBC741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3.7x</w:t>
                                  </w:r>
                                </w:p>
                              </w:tc>
                              <w:tc>
                                <w:tcPr>
                                  <w:tcW w:w="572" w:type="pct"/>
                                  <w:tcBorders>
                                    <w:top w:val="nil"/>
                                    <w:left w:val="nil"/>
                                    <w:bottom w:val="nil"/>
                                    <w:right w:val="nil"/>
                                  </w:tcBorders>
                                  <w:hideMark/>
                                </w:tcPr>
                                <w:p w14:paraId="0BBF0B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3.8x</w:t>
                                  </w:r>
                                </w:p>
                              </w:tc>
                            </w:tr>
                            <w:tr w:rsidR="00FF566C" w:rsidRPr="00FF566C" w14:paraId="696B7116" w14:textId="77777777" w:rsidTr="00FF566C">
                              <w:trPr>
                                <w:trHeight w:val="204"/>
                              </w:trPr>
                              <w:tc>
                                <w:tcPr>
                                  <w:tcW w:w="1530" w:type="pct"/>
                                  <w:tcBorders>
                                    <w:top w:val="nil"/>
                                    <w:left w:val="nil"/>
                                    <w:bottom w:val="nil"/>
                                    <w:right w:val="nil"/>
                                  </w:tcBorders>
                                  <w:noWrap/>
                                  <w:hideMark/>
                                </w:tcPr>
                                <w:p w14:paraId="722031B1"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Fixed Asset Turnover</w:t>
                                  </w:r>
                                </w:p>
                              </w:tc>
                              <w:tc>
                                <w:tcPr>
                                  <w:tcW w:w="483" w:type="pct"/>
                                  <w:tcBorders>
                                    <w:top w:val="nil"/>
                                    <w:left w:val="nil"/>
                                    <w:bottom w:val="nil"/>
                                    <w:right w:val="nil"/>
                                  </w:tcBorders>
                                  <w:hideMark/>
                                </w:tcPr>
                                <w:p w14:paraId="581F508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7.5x</w:t>
                                  </w:r>
                                </w:p>
                              </w:tc>
                              <w:tc>
                                <w:tcPr>
                                  <w:tcW w:w="483" w:type="pct"/>
                                  <w:tcBorders>
                                    <w:top w:val="nil"/>
                                    <w:left w:val="nil"/>
                                    <w:bottom w:val="nil"/>
                                    <w:right w:val="nil"/>
                                  </w:tcBorders>
                                  <w:hideMark/>
                                </w:tcPr>
                                <w:p w14:paraId="446052C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7.2x</w:t>
                                  </w:r>
                                </w:p>
                              </w:tc>
                              <w:tc>
                                <w:tcPr>
                                  <w:tcW w:w="483" w:type="pct"/>
                                  <w:tcBorders>
                                    <w:top w:val="nil"/>
                                    <w:left w:val="nil"/>
                                    <w:bottom w:val="nil"/>
                                    <w:right w:val="nil"/>
                                  </w:tcBorders>
                                  <w:hideMark/>
                                </w:tcPr>
                                <w:p w14:paraId="3E54AE6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7.5x</w:t>
                                  </w:r>
                                </w:p>
                              </w:tc>
                              <w:tc>
                                <w:tcPr>
                                  <w:tcW w:w="483" w:type="pct"/>
                                  <w:tcBorders>
                                    <w:top w:val="nil"/>
                                    <w:left w:val="nil"/>
                                    <w:bottom w:val="nil"/>
                                    <w:right w:val="nil"/>
                                  </w:tcBorders>
                                  <w:hideMark/>
                                </w:tcPr>
                                <w:p w14:paraId="51B386E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8.0x</w:t>
                                  </w:r>
                                </w:p>
                              </w:tc>
                              <w:tc>
                                <w:tcPr>
                                  <w:tcW w:w="483" w:type="pct"/>
                                  <w:tcBorders>
                                    <w:top w:val="nil"/>
                                    <w:left w:val="nil"/>
                                    <w:bottom w:val="nil"/>
                                    <w:right w:val="nil"/>
                                  </w:tcBorders>
                                  <w:hideMark/>
                                </w:tcPr>
                                <w:p w14:paraId="6F4B0B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8.1x</w:t>
                                  </w:r>
                                </w:p>
                              </w:tc>
                              <w:tc>
                                <w:tcPr>
                                  <w:tcW w:w="483" w:type="pct"/>
                                  <w:tcBorders>
                                    <w:top w:val="nil"/>
                                    <w:left w:val="nil"/>
                                    <w:bottom w:val="nil"/>
                                    <w:right w:val="nil"/>
                                  </w:tcBorders>
                                  <w:hideMark/>
                                </w:tcPr>
                                <w:p w14:paraId="2D03628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8.0x</w:t>
                                  </w:r>
                                </w:p>
                              </w:tc>
                              <w:tc>
                                <w:tcPr>
                                  <w:tcW w:w="572" w:type="pct"/>
                                  <w:tcBorders>
                                    <w:top w:val="nil"/>
                                    <w:left w:val="nil"/>
                                    <w:bottom w:val="nil"/>
                                    <w:right w:val="nil"/>
                                  </w:tcBorders>
                                  <w:hideMark/>
                                </w:tcPr>
                                <w:p w14:paraId="75E83CA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8.4x</w:t>
                                  </w:r>
                                </w:p>
                              </w:tc>
                            </w:tr>
                            <w:tr w:rsidR="00FF566C" w:rsidRPr="00FF566C" w14:paraId="2E83232F" w14:textId="77777777" w:rsidTr="00FF566C">
                              <w:trPr>
                                <w:trHeight w:val="204"/>
                              </w:trPr>
                              <w:tc>
                                <w:tcPr>
                                  <w:tcW w:w="1530" w:type="pct"/>
                                  <w:tcBorders>
                                    <w:top w:val="nil"/>
                                    <w:left w:val="nil"/>
                                    <w:bottom w:val="nil"/>
                                    <w:right w:val="nil"/>
                                  </w:tcBorders>
                                  <w:noWrap/>
                                  <w:hideMark/>
                                </w:tcPr>
                                <w:p w14:paraId="59DE4F9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Accounts Receivable Turnover</w:t>
                                  </w:r>
                                </w:p>
                              </w:tc>
                              <w:tc>
                                <w:tcPr>
                                  <w:tcW w:w="483" w:type="pct"/>
                                  <w:tcBorders>
                                    <w:top w:val="nil"/>
                                    <w:left w:val="nil"/>
                                    <w:bottom w:val="nil"/>
                                    <w:right w:val="nil"/>
                                  </w:tcBorders>
                                  <w:hideMark/>
                                </w:tcPr>
                                <w:p w14:paraId="40A0B5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95.3x</w:t>
                                  </w:r>
                                </w:p>
                              </w:tc>
                              <w:tc>
                                <w:tcPr>
                                  <w:tcW w:w="483" w:type="pct"/>
                                  <w:tcBorders>
                                    <w:top w:val="nil"/>
                                    <w:left w:val="nil"/>
                                    <w:bottom w:val="nil"/>
                                    <w:right w:val="nil"/>
                                  </w:tcBorders>
                                  <w:hideMark/>
                                </w:tcPr>
                                <w:p w14:paraId="705B8D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108.1x</w:t>
                                  </w:r>
                                </w:p>
                              </w:tc>
                              <w:tc>
                                <w:tcPr>
                                  <w:tcW w:w="483" w:type="pct"/>
                                  <w:tcBorders>
                                    <w:top w:val="nil"/>
                                    <w:left w:val="nil"/>
                                    <w:bottom w:val="nil"/>
                                    <w:right w:val="nil"/>
                                  </w:tcBorders>
                                  <w:hideMark/>
                                </w:tcPr>
                                <w:p w14:paraId="0341EFA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116.9x</w:t>
                                  </w:r>
                                </w:p>
                              </w:tc>
                              <w:tc>
                                <w:tcPr>
                                  <w:tcW w:w="483" w:type="pct"/>
                                  <w:tcBorders>
                                    <w:top w:val="nil"/>
                                    <w:left w:val="nil"/>
                                    <w:bottom w:val="nil"/>
                                    <w:right w:val="nil"/>
                                  </w:tcBorders>
                                  <w:hideMark/>
                                </w:tcPr>
                                <w:p w14:paraId="13928F4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112.2x</w:t>
                                  </w:r>
                                </w:p>
                              </w:tc>
                              <w:tc>
                                <w:tcPr>
                                  <w:tcW w:w="483" w:type="pct"/>
                                  <w:tcBorders>
                                    <w:top w:val="nil"/>
                                    <w:left w:val="nil"/>
                                    <w:bottom w:val="nil"/>
                                    <w:right w:val="nil"/>
                                  </w:tcBorders>
                                  <w:hideMark/>
                                </w:tcPr>
                                <w:p w14:paraId="788FCC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107.1x</w:t>
                                  </w:r>
                                </w:p>
                              </w:tc>
                              <w:tc>
                                <w:tcPr>
                                  <w:tcW w:w="483" w:type="pct"/>
                                  <w:tcBorders>
                                    <w:top w:val="nil"/>
                                    <w:left w:val="nil"/>
                                    <w:bottom w:val="nil"/>
                                    <w:right w:val="nil"/>
                                  </w:tcBorders>
                                  <w:hideMark/>
                                </w:tcPr>
                                <w:p w14:paraId="3F9C61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101.7x</w:t>
                                  </w:r>
                                </w:p>
                              </w:tc>
                              <w:tc>
                                <w:tcPr>
                                  <w:tcW w:w="572" w:type="pct"/>
                                  <w:tcBorders>
                                    <w:top w:val="nil"/>
                                    <w:left w:val="nil"/>
                                    <w:bottom w:val="nil"/>
                                    <w:right w:val="nil"/>
                                  </w:tcBorders>
                                  <w:hideMark/>
                                </w:tcPr>
                                <w:p w14:paraId="6D4FEEA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90.5x</w:t>
                                  </w:r>
                                </w:p>
                              </w:tc>
                            </w:tr>
                            <w:tr w:rsidR="00FF566C" w:rsidRPr="00FF566C" w14:paraId="21C03CAE" w14:textId="77777777" w:rsidTr="00FF566C">
                              <w:trPr>
                                <w:trHeight w:val="204"/>
                              </w:trPr>
                              <w:tc>
                                <w:tcPr>
                                  <w:tcW w:w="1530" w:type="pct"/>
                                  <w:tcBorders>
                                    <w:top w:val="nil"/>
                                    <w:left w:val="nil"/>
                                    <w:bottom w:val="nil"/>
                                    <w:right w:val="nil"/>
                                  </w:tcBorders>
                                  <w:noWrap/>
                                  <w:hideMark/>
                                </w:tcPr>
                                <w:p w14:paraId="77E983A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Inventory Turnover</w:t>
                                  </w:r>
                                </w:p>
                              </w:tc>
                              <w:tc>
                                <w:tcPr>
                                  <w:tcW w:w="483" w:type="pct"/>
                                  <w:tcBorders>
                                    <w:top w:val="nil"/>
                                    <w:left w:val="nil"/>
                                    <w:bottom w:val="nil"/>
                                    <w:right w:val="nil"/>
                                  </w:tcBorders>
                                  <w:hideMark/>
                                </w:tcPr>
                                <w:p w14:paraId="546BDB9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11.8x</w:t>
                                  </w:r>
                                </w:p>
                              </w:tc>
                              <w:tc>
                                <w:tcPr>
                                  <w:tcW w:w="483" w:type="pct"/>
                                  <w:tcBorders>
                                    <w:top w:val="nil"/>
                                    <w:left w:val="nil"/>
                                    <w:bottom w:val="nil"/>
                                    <w:right w:val="nil"/>
                                  </w:tcBorders>
                                  <w:hideMark/>
                                </w:tcPr>
                                <w:p w14:paraId="48D3B52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12.3x</w:t>
                                  </w:r>
                                </w:p>
                              </w:tc>
                              <w:tc>
                                <w:tcPr>
                                  <w:tcW w:w="483" w:type="pct"/>
                                  <w:tcBorders>
                                    <w:top w:val="nil"/>
                                    <w:left w:val="nil"/>
                                    <w:bottom w:val="nil"/>
                                    <w:right w:val="nil"/>
                                  </w:tcBorders>
                                  <w:hideMark/>
                                </w:tcPr>
                                <w:p w14:paraId="7CDA55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12.9x</w:t>
                                  </w:r>
                                </w:p>
                              </w:tc>
                              <w:tc>
                                <w:tcPr>
                                  <w:tcW w:w="483" w:type="pct"/>
                                  <w:tcBorders>
                                    <w:top w:val="nil"/>
                                    <w:left w:val="nil"/>
                                    <w:bottom w:val="nil"/>
                                    <w:right w:val="nil"/>
                                  </w:tcBorders>
                                  <w:hideMark/>
                                </w:tcPr>
                                <w:p w14:paraId="5F03FEF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12.4x</w:t>
                                  </w:r>
                                </w:p>
                              </w:tc>
                              <w:tc>
                                <w:tcPr>
                                  <w:tcW w:w="483" w:type="pct"/>
                                  <w:tcBorders>
                                    <w:top w:val="nil"/>
                                    <w:left w:val="nil"/>
                                    <w:bottom w:val="nil"/>
                                    <w:right w:val="nil"/>
                                  </w:tcBorders>
                                  <w:hideMark/>
                                </w:tcPr>
                                <w:p w14:paraId="3759176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12.3x</w:t>
                                  </w:r>
                                </w:p>
                              </w:tc>
                              <w:tc>
                                <w:tcPr>
                                  <w:tcW w:w="483" w:type="pct"/>
                                  <w:tcBorders>
                                    <w:top w:val="nil"/>
                                    <w:left w:val="nil"/>
                                    <w:bottom w:val="nil"/>
                                    <w:right w:val="nil"/>
                                  </w:tcBorders>
                                  <w:hideMark/>
                                </w:tcPr>
                                <w:p w14:paraId="6FE4BEA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12.6x</w:t>
                                  </w:r>
                                </w:p>
                              </w:tc>
                              <w:tc>
                                <w:tcPr>
                                  <w:tcW w:w="572" w:type="pct"/>
                                  <w:tcBorders>
                                    <w:top w:val="nil"/>
                                    <w:left w:val="nil"/>
                                    <w:bottom w:val="nil"/>
                                    <w:right w:val="nil"/>
                                  </w:tcBorders>
                                  <w:hideMark/>
                                </w:tcPr>
                                <w:p w14:paraId="3573423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12.9x</w:t>
                                  </w:r>
                                </w:p>
                              </w:tc>
                            </w:tr>
                            <w:tr w:rsidR="00FF566C" w:rsidRPr="00FF566C" w14:paraId="3CBF6F85" w14:textId="77777777" w:rsidTr="00FF566C">
                              <w:trPr>
                                <w:trHeight w:val="204"/>
                              </w:trPr>
                              <w:tc>
                                <w:tcPr>
                                  <w:tcW w:w="1530" w:type="pct"/>
                                  <w:tcBorders>
                                    <w:top w:val="nil"/>
                                    <w:left w:val="nil"/>
                                    <w:bottom w:val="nil"/>
                                    <w:right w:val="nil"/>
                                  </w:tcBorders>
                                  <w:noWrap/>
                                  <w:hideMark/>
                                </w:tcPr>
                                <w:p w14:paraId="66E4ACFC"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Short Term Liquidity</w:t>
                                  </w:r>
                                </w:p>
                              </w:tc>
                              <w:tc>
                                <w:tcPr>
                                  <w:tcW w:w="483" w:type="pct"/>
                                  <w:tcBorders>
                                    <w:top w:val="nil"/>
                                    <w:left w:val="nil"/>
                                    <w:bottom w:val="nil"/>
                                    <w:right w:val="nil"/>
                                  </w:tcBorders>
                                  <w:noWrap/>
                                  <w:hideMark/>
                                </w:tcPr>
                                <w:p w14:paraId="6DCD2E3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372D8A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17EF9036"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C7C2AF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22899DF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147E3B8B"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49BEEE0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4A5E923C" w14:textId="77777777" w:rsidTr="00FF566C">
                              <w:trPr>
                                <w:trHeight w:val="204"/>
                              </w:trPr>
                              <w:tc>
                                <w:tcPr>
                                  <w:tcW w:w="1530" w:type="pct"/>
                                  <w:tcBorders>
                                    <w:top w:val="nil"/>
                                    <w:left w:val="nil"/>
                                    <w:bottom w:val="nil"/>
                                    <w:right w:val="nil"/>
                                  </w:tcBorders>
                                  <w:noWrap/>
                                  <w:hideMark/>
                                </w:tcPr>
                                <w:p w14:paraId="17261264"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Current Ratio</w:t>
                                  </w:r>
                                </w:p>
                              </w:tc>
                              <w:tc>
                                <w:tcPr>
                                  <w:tcW w:w="483" w:type="pct"/>
                                  <w:tcBorders>
                                    <w:top w:val="nil"/>
                                    <w:left w:val="nil"/>
                                    <w:bottom w:val="nil"/>
                                    <w:right w:val="nil"/>
                                  </w:tcBorders>
                                  <w:hideMark/>
                                </w:tcPr>
                                <w:p w14:paraId="2A9C4E5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4976021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4F3A5BA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0CDB242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4E07E4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1FE85D1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572" w:type="pct"/>
                                  <w:tcBorders>
                                    <w:top w:val="nil"/>
                                    <w:left w:val="nil"/>
                                    <w:bottom w:val="nil"/>
                                    <w:right w:val="nil"/>
                                  </w:tcBorders>
                                  <w:hideMark/>
                                </w:tcPr>
                                <w:p w14:paraId="3047B7A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r>
                            <w:tr w:rsidR="00FF566C" w:rsidRPr="00FF566C" w14:paraId="4FB08AAE" w14:textId="77777777" w:rsidTr="00FF566C">
                              <w:trPr>
                                <w:trHeight w:val="204"/>
                              </w:trPr>
                              <w:tc>
                                <w:tcPr>
                                  <w:tcW w:w="1530" w:type="pct"/>
                                  <w:tcBorders>
                                    <w:top w:val="nil"/>
                                    <w:left w:val="nil"/>
                                    <w:bottom w:val="nil"/>
                                    <w:right w:val="nil"/>
                                  </w:tcBorders>
                                  <w:noWrap/>
                                  <w:hideMark/>
                                </w:tcPr>
                                <w:p w14:paraId="291CE396"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Quick Ratio</w:t>
                                  </w:r>
                                </w:p>
                              </w:tc>
                              <w:tc>
                                <w:tcPr>
                                  <w:tcW w:w="483" w:type="pct"/>
                                  <w:tcBorders>
                                    <w:top w:val="nil"/>
                                    <w:left w:val="nil"/>
                                    <w:bottom w:val="nil"/>
                                    <w:right w:val="nil"/>
                                  </w:tcBorders>
                                  <w:hideMark/>
                                </w:tcPr>
                                <w:p w14:paraId="5453B88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2ADACE0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0.6x</w:t>
                                  </w:r>
                                </w:p>
                              </w:tc>
                              <w:tc>
                                <w:tcPr>
                                  <w:tcW w:w="483" w:type="pct"/>
                                  <w:tcBorders>
                                    <w:top w:val="nil"/>
                                    <w:left w:val="nil"/>
                                    <w:bottom w:val="nil"/>
                                    <w:right w:val="nil"/>
                                  </w:tcBorders>
                                  <w:hideMark/>
                                </w:tcPr>
                                <w:p w14:paraId="271E210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49E6F95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483" w:type="pct"/>
                                  <w:tcBorders>
                                    <w:top w:val="nil"/>
                                    <w:left w:val="nil"/>
                                    <w:bottom w:val="nil"/>
                                    <w:right w:val="nil"/>
                                  </w:tcBorders>
                                  <w:hideMark/>
                                </w:tcPr>
                                <w:p w14:paraId="3CF9587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44C4052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572" w:type="pct"/>
                                  <w:tcBorders>
                                    <w:top w:val="nil"/>
                                    <w:left w:val="nil"/>
                                    <w:bottom w:val="nil"/>
                                    <w:right w:val="nil"/>
                                  </w:tcBorders>
                                  <w:hideMark/>
                                </w:tcPr>
                                <w:p w14:paraId="2F078CC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r>
                            <w:tr w:rsidR="00FF566C" w:rsidRPr="00FF566C" w14:paraId="304C2571" w14:textId="77777777" w:rsidTr="00FF566C">
                              <w:trPr>
                                <w:trHeight w:val="204"/>
                              </w:trPr>
                              <w:tc>
                                <w:tcPr>
                                  <w:tcW w:w="1530" w:type="pct"/>
                                  <w:tcBorders>
                                    <w:top w:val="nil"/>
                                    <w:left w:val="nil"/>
                                    <w:bottom w:val="nil"/>
                                    <w:right w:val="nil"/>
                                  </w:tcBorders>
                                  <w:noWrap/>
                                  <w:hideMark/>
                                </w:tcPr>
                                <w:p w14:paraId="42C50DA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Cash from Ops. to Curr. </w:t>
                                  </w:r>
                                  <w:r w:rsidRPr="00FF566C">
                                    <w:rPr>
                                      <w:rFonts w:ascii="Cambria" w:eastAsia="Times New Roman" w:hAnsi="Cambria" w:cs="Arial"/>
                                      <w:color w:val="000000"/>
                                      <w:kern w:val="0"/>
                                      <w:sz w:val="14"/>
                                      <w:szCs w:val="14"/>
                                      <w:lang w:eastAsia="en-IN"/>
                                      <w14:ligatures w14:val="none"/>
                                    </w:rPr>
                                    <w:t>Liab.</w:t>
                                  </w:r>
                                </w:p>
                              </w:tc>
                              <w:tc>
                                <w:tcPr>
                                  <w:tcW w:w="483" w:type="pct"/>
                                  <w:tcBorders>
                                    <w:top w:val="nil"/>
                                    <w:left w:val="nil"/>
                                    <w:bottom w:val="nil"/>
                                    <w:right w:val="nil"/>
                                  </w:tcBorders>
                                  <w:hideMark/>
                                </w:tcPr>
                                <w:p w14:paraId="1CA899D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0B231B2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483" w:type="pct"/>
                                  <w:tcBorders>
                                    <w:top w:val="nil"/>
                                    <w:left w:val="nil"/>
                                    <w:bottom w:val="nil"/>
                                    <w:right w:val="nil"/>
                                  </w:tcBorders>
                                  <w:hideMark/>
                                </w:tcPr>
                                <w:p w14:paraId="5CD5BB0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0E73D74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0.2x</w:t>
                                  </w:r>
                                </w:p>
                              </w:tc>
                              <w:tc>
                                <w:tcPr>
                                  <w:tcW w:w="483" w:type="pct"/>
                                  <w:tcBorders>
                                    <w:top w:val="nil"/>
                                    <w:left w:val="nil"/>
                                    <w:bottom w:val="nil"/>
                                    <w:right w:val="nil"/>
                                  </w:tcBorders>
                                  <w:hideMark/>
                                </w:tcPr>
                                <w:p w14:paraId="0D1778D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5882CD9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572" w:type="pct"/>
                                  <w:tcBorders>
                                    <w:top w:val="nil"/>
                                    <w:left w:val="nil"/>
                                    <w:bottom w:val="nil"/>
                                    <w:right w:val="nil"/>
                                  </w:tcBorders>
                                  <w:hideMark/>
                                </w:tcPr>
                                <w:p w14:paraId="2D1596E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r>
                            <w:tr w:rsidR="00FF566C" w:rsidRPr="00FF566C" w14:paraId="0B3E100E" w14:textId="77777777" w:rsidTr="00FF566C">
                              <w:trPr>
                                <w:trHeight w:val="204"/>
                              </w:trPr>
                              <w:tc>
                                <w:tcPr>
                                  <w:tcW w:w="1530" w:type="pct"/>
                                  <w:tcBorders>
                                    <w:top w:val="nil"/>
                                    <w:left w:val="nil"/>
                                    <w:bottom w:val="nil"/>
                                    <w:right w:val="nil"/>
                                  </w:tcBorders>
                                  <w:noWrap/>
                                  <w:hideMark/>
                                </w:tcPr>
                                <w:p w14:paraId="744538F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Sales Out.</w:t>
                                  </w:r>
                                </w:p>
                              </w:tc>
                              <w:tc>
                                <w:tcPr>
                                  <w:tcW w:w="483" w:type="pct"/>
                                  <w:tcBorders>
                                    <w:top w:val="nil"/>
                                    <w:left w:val="nil"/>
                                    <w:bottom w:val="nil"/>
                                    <w:right w:val="nil"/>
                                  </w:tcBorders>
                                  <w:hideMark/>
                                </w:tcPr>
                                <w:p w14:paraId="1EA8330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3.8 </w:t>
                                  </w:r>
                                </w:p>
                              </w:tc>
                              <w:tc>
                                <w:tcPr>
                                  <w:tcW w:w="483" w:type="pct"/>
                                  <w:tcBorders>
                                    <w:top w:val="nil"/>
                                    <w:left w:val="nil"/>
                                    <w:bottom w:val="nil"/>
                                    <w:right w:val="nil"/>
                                  </w:tcBorders>
                                  <w:hideMark/>
                                </w:tcPr>
                                <w:p w14:paraId="35BB5E5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3.4 </w:t>
                                  </w:r>
                                </w:p>
                              </w:tc>
                              <w:tc>
                                <w:tcPr>
                                  <w:tcW w:w="483" w:type="pct"/>
                                  <w:tcBorders>
                                    <w:top w:val="nil"/>
                                    <w:left w:val="nil"/>
                                    <w:bottom w:val="nil"/>
                                    <w:right w:val="nil"/>
                                  </w:tcBorders>
                                  <w:hideMark/>
                                </w:tcPr>
                                <w:p w14:paraId="701F7A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02A6093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 </w:t>
                                  </w:r>
                                </w:p>
                              </w:tc>
                              <w:tc>
                                <w:tcPr>
                                  <w:tcW w:w="483" w:type="pct"/>
                                  <w:tcBorders>
                                    <w:top w:val="nil"/>
                                    <w:left w:val="nil"/>
                                    <w:bottom w:val="nil"/>
                                    <w:right w:val="nil"/>
                                  </w:tcBorders>
                                  <w:hideMark/>
                                </w:tcPr>
                                <w:p w14:paraId="36BB7AB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515E7C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30D234B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 </w:t>
                                  </w:r>
                                </w:p>
                              </w:tc>
                            </w:tr>
                            <w:tr w:rsidR="00FF566C" w:rsidRPr="00FF566C" w14:paraId="43919853" w14:textId="77777777" w:rsidTr="00FF566C">
                              <w:trPr>
                                <w:trHeight w:val="204"/>
                              </w:trPr>
                              <w:tc>
                                <w:tcPr>
                                  <w:tcW w:w="1530" w:type="pct"/>
                                  <w:tcBorders>
                                    <w:top w:val="nil"/>
                                    <w:left w:val="nil"/>
                                    <w:bottom w:val="nil"/>
                                    <w:right w:val="nil"/>
                                  </w:tcBorders>
                                  <w:noWrap/>
                                  <w:hideMark/>
                                </w:tcPr>
                                <w:p w14:paraId="66FA90F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Inventory Out.</w:t>
                                  </w:r>
                                </w:p>
                              </w:tc>
                              <w:tc>
                                <w:tcPr>
                                  <w:tcW w:w="483" w:type="pct"/>
                                  <w:tcBorders>
                                    <w:top w:val="nil"/>
                                    <w:left w:val="nil"/>
                                    <w:bottom w:val="nil"/>
                                    <w:right w:val="nil"/>
                                  </w:tcBorders>
                                  <w:hideMark/>
                                </w:tcPr>
                                <w:p w14:paraId="3597860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30.7 </w:t>
                                  </w:r>
                                </w:p>
                              </w:tc>
                              <w:tc>
                                <w:tcPr>
                                  <w:tcW w:w="483" w:type="pct"/>
                                  <w:tcBorders>
                                    <w:top w:val="nil"/>
                                    <w:left w:val="nil"/>
                                    <w:bottom w:val="nil"/>
                                    <w:right w:val="nil"/>
                                  </w:tcBorders>
                                  <w:hideMark/>
                                </w:tcPr>
                                <w:p w14:paraId="10FDAC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29.7 </w:t>
                                  </w:r>
                                </w:p>
                              </w:tc>
                              <w:tc>
                                <w:tcPr>
                                  <w:tcW w:w="483" w:type="pct"/>
                                  <w:tcBorders>
                                    <w:top w:val="nil"/>
                                    <w:left w:val="nil"/>
                                    <w:bottom w:val="nil"/>
                                    <w:right w:val="nil"/>
                                  </w:tcBorders>
                                  <w:hideMark/>
                                </w:tcPr>
                                <w:p w14:paraId="6EDE3A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28.2 </w:t>
                                  </w:r>
                                </w:p>
                              </w:tc>
                              <w:tc>
                                <w:tcPr>
                                  <w:tcW w:w="483" w:type="pct"/>
                                  <w:tcBorders>
                                    <w:top w:val="nil"/>
                                    <w:left w:val="nil"/>
                                    <w:bottom w:val="nil"/>
                                    <w:right w:val="nil"/>
                                  </w:tcBorders>
                                  <w:hideMark/>
                                </w:tcPr>
                                <w:p w14:paraId="5E89AA1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29.3 </w:t>
                                  </w:r>
                                </w:p>
                              </w:tc>
                              <w:tc>
                                <w:tcPr>
                                  <w:tcW w:w="483" w:type="pct"/>
                                  <w:tcBorders>
                                    <w:top w:val="nil"/>
                                    <w:left w:val="nil"/>
                                    <w:bottom w:val="nil"/>
                                    <w:right w:val="nil"/>
                                  </w:tcBorders>
                                  <w:hideMark/>
                                </w:tcPr>
                                <w:p w14:paraId="624E23D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30.2 </w:t>
                                  </w:r>
                                </w:p>
                              </w:tc>
                              <w:tc>
                                <w:tcPr>
                                  <w:tcW w:w="483" w:type="pct"/>
                                  <w:tcBorders>
                                    <w:top w:val="nil"/>
                                    <w:left w:val="nil"/>
                                    <w:bottom w:val="nil"/>
                                    <w:right w:val="nil"/>
                                  </w:tcBorders>
                                  <w:hideMark/>
                                </w:tcPr>
                                <w:p w14:paraId="6AC0FA5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28.9 </w:t>
                                  </w:r>
                                </w:p>
                              </w:tc>
                              <w:tc>
                                <w:tcPr>
                                  <w:tcW w:w="572" w:type="pct"/>
                                  <w:tcBorders>
                                    <w:top w:val="nil"/>
                                    <w:left w:val="nil"/>
                                    <w:bottom w:val="nil"/>
                                    <w:right w:val="nil"/>
                                  </w:tcBorders>
                                  <w:hideMark/>
                                </w:tcPr>
                                <w:p w14:paraId="0851C2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28.3 </w:t>
                                  </w:r>
                                </w:p>
                              </w:tc>
                            </w:tr>
                            <w:tr w:rsidR="00FF566C" w:rsidRPr="00FF566C" w14:paraId="38EDB49E" w14:textId="77777777" w:rsidTr="00FF566C">
                              <w:trPr>
                                <w:trHeight w:val="204"/>
                              </w:trPr>
                              <w:tc>
                                <w:tcPr>
                                  <w:tcW w:w="1530" w:type="pct"/>
                                  <w:tcBorders>
                                    <w:top w:val="nil"/>
                                    <w:left w:val="nil"/>
                                    <w:bottom w:val="nil"/>
                                    <w:right w:val="nil"/>
                                  </w:tcBorders>
                                  <w:noWrap/>
                                  <w:hideMark/>
                                </w:tcPr>
                                <w:p w14:paraId="438D794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Payable Out.</w:t>
                                  </w:r>
                                </w:p>
                              </w:tc>
                              <w:tc>
                                <w:tcPr>
                                  <w:tcW w:w="483" w:type="pct"/>
                                  <w:tcBorders>
                                    <w:top w:val="nil"/>
                                    <w:left w:val="nil"/>
                                    <w:bottom w:val="nil"/>
                                    <w:right w:val="nil"/>
                                  </w:tcBorders>
                                  <w:hideMark/>
                                </w:tcPr>
                                <w:p w14:paraId="25734DF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31.3 </w:t>
                                  </w:r>
                                </w:p>
                              </w:tc>
                              <w:tc>
                                <w:tcPr>
                                  <w:tcW w:w="483" w:type="pct"/>
                                  <w:tcBorders>
                                    <w:top w:val="nil"/>
                                    <w:left w:val="nil"/>
                                    <w:bottom w:val="nil"/>
                                    <w:right w:val="nil"/>
                                  </w:tcBorders>
                                  <w:hideMark/>
                                </w:tcPr>
                                <w:p w14:paraId="538227F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32.3 </w:t>
                                  </w:r>
                                </w:p>
                              </w:tc>
                              <w:tc>
                                <w:tcPr>
                                  <w:tcW w:w="483" w:type="pct"/>
                                  <w:tcBorders>
                                    <w:top w:val="nil"/>
                                    <w:left w:val="nil"/>
                                    <w:bottom w:val="nil"/>
                                    <w:right w:val="nil"/>
                                  </w:tcBorders>
                                  <w:hideMark/>
                                </w:tcPr>
                                <w:p w14:paraId="4344DE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32.1 </w:t>
                                  </w:r>
                                </w:p>
                              </w:tc>
                              <w:tc>
                                <w:tcPr>
                                  <w:tcW w:w="483" w:type="pct"/>
                                  <w:tcBorders>
                                    <w:top w:val="nil"/>
                                    <w:left w:val="nil"/>
                                    <w:bottom w:val="nil"/>
                                    <w:right w:val="nil"/>
                                  </w:tcBorders>
                                  <w:hideMark/>
                                </w:tcPr>
                                <w:p w14:paraId="44070A4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30.6 </w:t>
                                  </w:r>
                                </w:p>
                              </w:tc>
                              <w:tc>
                                <w:tcPr>
                                  <w:tcW w:w="483" w:type="pct"/>
                                  <w:tcBorders>
                                    <w:top w:val="nil"/>
                                    <w:left w:val="nil"/>
                                    <w:bottom w:val="nil"/>
                                    <w:right w:val="nil"/>
                                  </w:tcBorders>
                                  <w:hideMark/>
                                </w:tcPr>
                                <w:p w14:paraId="5D21840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31.1 </w:t>
                                  </w:r>
                                </w:p>
                              </w:tc>
                              <w:tc>
                                <w:tcPr>
                                  <w:tcW w:w="483" w:type="pct"/>
                                  <w:tcBorders>
                                    <w:top w:val="nil"/>
                                    <w:left w:val="nil"/>
                                    <w:bottom w:val="nil"/>
                                    <w:right w:val="nil"/>
                                  </w:tcBorders>
                                  <w:hideMark/>
                                </w:tcPr>
                                <w:p w14:paraId="69D2082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29.9 </w:t>
                                  </w:r>
                                </w:p>
                              </w:tc>
                              <w:tc>
                                <w:tcPr>
                                  <w:tcW w:w="572" w:type="pct"/>
                                  <w:tcBorders>
                                    <w:top w:val="nil"/>
                                    <w:left w:val="nil"/>
                                    <w:bottom w:val="nil"/>
                                    <w:right w:val="nil"/>
                                  </w:tcBorders>
                                  <w:hideMark/>
                                </w:tcPr>
                                <w:p w14:paraId="398EDE2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28.3 </w:t>
                                  </w:r>
                                </w:p>
                              </w:tc>
                            </w:tr>
                            <w:tr w:rsidR="00FF566C" w:rsidRPr="00FF566C" w14:paraId="49B190A1" w14:textId="77777777" w:rsidTr="00FF566C">
                              <w:trPr>
                                <w:trHeight w:val="204"/>
                              </w:trPr>
                              <w:tc>
                                <w:tcPr>
                                  <w:tcW w:w="1530" w:type="pct"/>
                                  <w:tcBorders>
                                    <w:top w:val="nil"/>
                                    <w:left w:val="nil"/>
                                    <w:bottom w:val="nil"/>
                                    <w:right w:val="nil"/>
                                  </w:tcBorders>
                                  <w:noWrap/>
                                  <w:hideMark/>
                                </w:tcPr>
                                <w:p w14:paraId="1236F68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Cash Conversion Cycle</w:t>
                                  </w:r>
                                </w:p>
                              </w:tc>
                              <w:tc>
                                <w:tcPr>
                                  <w:tcW w:w="483" w:type="pct"/>
                                  <w:tcBorders>
                                    <w:top w:val="nil"/>
                                    <w:left w:val="nil"/>
                                    <w:bottom w:val="nil"/>
                                    <w:right w:val="nil"/>
                                  </w:tcBorders>
                                  <w:hideMark/>
                                </w:tcPr>
                                <w:p w14:paraId="619D614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 </w:t>
                                  </w:r>
                                </w:p>
                              </w:tc>
                              <w:tc>
                                <w:tcPr>
                                  <w:tcW w:w="483" w:type="pct"/>
                                  <w:tcBorders>
                                    <w:top w:val="nil"/>
                                    <w:left w:val="nil"/>
                                    <w:bottom w:val="nil"/>
                                    <w:right w:val="nil"/>
                                  </w:tcBorders>
                                  <w:hideMark/>
                                </w:tcPr>
                                <w:p w14:paraId="6DAABE4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0.8 </w:t>
                                  </w:r>
                                </w:p>
                              </w:tc>
                              <w:tc>
                                <w:tcPr>
                                  <w:tcW w:w="483" w:type="pct"/>
                                  <w:tcBorders>
                                    <w:top w:val="nil"/>
                                    <w:left w:val="nil"/>
                                    <w:bottom w:val="nil"/>
                                    <w:right w:val="nil"/>
                                  </w:tcBorders>
                                  <w:hideMark/>
                                </w:tcPr>
                                <w:p w14:paraId="4A51CA6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(0.8)  </w:t>
                                  </w:r>
                                </w:p>
                              </w:tc>
                              <w:tc>
                                <w:tcPr>
                                  <w:tcW w:w="483" w:type="pct"/>
                                  <w:tcBorders>
                                    <w:top w:val="nil"/>
                                    <w:left w:val="nil"/>
                                    <w:bottom w:val="nil"/>
                                    <w:right w:val="nil"/>
                                  </w:tcBorders>
                                  <w:hideMark/>
                                </w:tcPr>
                                <w:p w14:paraId="3ECEEF4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2.0 </w:t>
                                  </w:r>
                                </w:p>
                              </w:tc>
                              <w:tc>
                                <w:tcPr>
                                  <w:tcW w:w="483" w:type="pct"/>
                                  <w:tcBorders>
                                    <w:top w:val="nil"/>
                                    <w:left w:val="nil"/>
                                    <w:bottom w:val="nil"/>
                                    <w:right w:val="nil"/>
                                  </w:tcBorders>
                                  <w:hideMark/>
                                </w:tcPr>
                                <w:p w14:paraId="23BEDF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C86526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 </w:t>
                                  </w:r>
                                </w:p>
                              </w:tc>
                              <w:tc>
                                <w:tcPr>
                                  <w:tcW w:w="572" w:type="pct"/>
                                  <w:tcBorders>
                                    <w:top w:val="nil"/>
                                    <w:left w:val="nil"/>
                                    <w:bottom w:val="nil"/>
                                    <w:right w:val="nil"/>
                                  </w:tcBorders>
                                  <w:hideMark/>
                                </w:tcPr>
                                <w:p w14:paraId="78149B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 </w:t>
                                  </w:r>
                                </w:p>
                              </w:tc>
                            </w:tr>
                            <w:tr w:rsidR="00FF566C" w:rsidRPr="00FF566C" w14:paraId="55C420C8" w14:textId="77777777" w:rsidTr="00FF566C">
                              <w:trPr>
                                <w:trHeight w:val="204"/>
                              </w:trPr>
                              <w:tc>
                                <w:tcPr>
                                  <w:tcW w:w="1530" w:type="pct"/>
                                  <w:tcBorders>
                                    <w:top w:val="nil"/>
                                    <w:left w:val="nil"/>
                                    <w:bottom w:val="nil"/>
                                    <w:right w:val="nil"/>
                                  </w:tcBorders>
                                  <w:noWrap/>
                                  <w:hideMark/>
                                </w:tcPr>
                                <w:p w14:paraId="3C06483B"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Long Term Solvency</w:t>
                                  </w:r>
                                </w:p>
                              </w:tc>
                              <w:tc>
                                <w:tcPr>
                                  <w:tcW w:w="483" w:type="pct"/>
                                  <w:tcBorders>
                                    <w:top w:val="nil"/>
                                    <w:left w:val="nil"/>
                                    <w:bottom w:val="nil"/>
                                    <w:right w:val="nil"/>
                                  </w:tcBorders>
                                  <w:noWrap/>
                                  <w:hideMark/>
                                </w:tcPr>
                                <w:p w14:paraId="580DCDCF"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249D57E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4341899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44473AF2"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BAD2363"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C33862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1FAD488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2556989F" w14:textId="77777777" w:rsidTr="00FF566C">
                              <w:trPr>
                                <w:trHeight w:val="204"/>
                              </w:trPr>
                              <w:tc>
                                <w:tcPr>
                                  <w:tcW w:w="1530" w:type="pct"/>
                                  <w:tcBorders>
                                    <w:top w:val="nil"/>
                                    <w:left w:val="nil"/>
                                    <w:bottom w:val="nil"/>
                                    <w:right w:val="nil"/>
                                  </w:tcBorders>
                                  <w:noWrap/>
                                  <w:hideMark/>
                                </w:tcPr>
                                <w:p w14:paraId="602A8C45"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Debt/Equity</w:t>
                                  </w:r>
                                </w:p>
                              </w:tc>
                              <w:tc>
                                <w:tcPr>
                                  <w:tcW w:w="483" w:type="pct"/>
                                  <w:tcBorders>
                                    <w:top w:val="nil"/>
                                    <w:left w:val="nil"/>
                                    <w:bottom w:val="nil"/>
                                    <w:right w:val="nil"/>
                                  </w:tcBorders>
                                  <w:hideMark/>
                                </w:tcPr>
                                <w:p w14:paraId="5B5417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46.5% </w:t>
                                  </w:r>
                                </w:p>
                              </w:tc>
                              <w:tc>
                                <w:tcPr>
                                  <w:tcW w:w="483" w:type="pct"/>
                                  <w:tcBorders>
                                    <w:top w:val="nil"/>
                                    <w:left w:val="nil"/>
                                    <w:bottom w:val="nil"/>
                                    <w:right w:val="nil"/>
                                  </w:tcBorders>
                                  <w:hideMark/>
                                </w:tcPr>
                                <w:p w14:paraId="440F7FF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59.3% </w:t>
                                  </w:r>
                                </w:p>
                              </w:tc>
                              <w:tc>
                                <w:tcPr>
                                  <w:tcW w:w="483" w:type="pct"/>
                                  <w:tcBorders>
                                    <w:top w:val="nil"/>
                                    <w:left w:val="nil"/>
                                    <w:bottom w:val="nil"/>
                                    <w:right w:val="nil"/>
                                  </w:tcBorders>
                                  <w:hideMark/>
                                </w:tcPr>
                                <w:p w14:paraId="21AD75D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63.1% </w:t>
                                  </w:r>
                                </w:p>
                              </w:tc>
                              <w:tc>
                                <w:tcPr>
                                  <w:tcW w:w="483" w:type="pct"/>
                                  <w:tcBorders>
                                    <w:top w:val="nil"/>
                                    <w:left w:val="nil"/>
                                    <w:bottom w:val="nil"/>
                                    <w:right w:val="nil"/>
                                  </w:tcBorders>
                                  <w:hideMark/>
                                </w:tcPr>
                                <w:p w14:paraId="168E48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52.8% </w:t>
                                  </w:r>
                                </w:p>
                              </w:tc>
                              <w:tc>
                                <w:tcPr>
                                  <w:tcW w:w="483" w:type="pct"/>
                                  <w:tcBorders>
                                    <w:top w:val="nil"/>
                                    <w:left w:val="nil"/>
                                    <w:bottom w:val="nil"/>
                                    <w:right w:val="nil"/>
                                  </w:tcBorders>
                                  <w:hideMark/>
                                </w:tcPr>
                                <w:p w14:paraId="6B7920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42.0% </w:t>
                                  </w:r>
                                </w:p>
                              </w:tc>
                              <w:tc>
                                <w:tcPr>
                                  <w:tcW w:w="483" w:type="pct"/>
                                  <w:tcBorders>
                                    <w:top w:val="nil"/>
                                    <w:left w:val="nil"/>
                                    <w:bottom w:val="nil"/>
                                    <w:right w:val="nil"/>
                                  </w:tcBorders>
                                  <w:hideMark/>
                                </w:tcPr>
                                <w:p w14:paraId="20DC9BC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42.1% </w:t>
                                  </w:r>
                                </w:p>
                              </w:tc>
                              <w:tc>
                                <w:tcPr>
                                  <w:tcW w:w="572" w:type="pct"/>
                                  <w:tcBorders>
                                    <w:top w:val="nil"/>
                                    <w:left w:val="nil"/>
                                    <w:bottom w:val="nil"/>
                                    <w:right w:val="nil"/>
                                  </w:tcBorders>
                                  <w:hideMark/>
                                </w:tcPr>
                                <w:p w14:paraId="4A5120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31.4% </w:t>
                                  </w:r>
                                </w:p>
                              </w:tc>
                            </w:tr>
                            <w:tr w:rsidR="00FF566C" w:rsidRPr="00FF566C" w14:paraId="625196B6" w14:textId="77777777" w:rsidTr="00FF566C">
                              <w:trPr>
                                <w:trHeight w:val="204"/>
                              </w:trPr>
                              <w:tc>
                                <w:tcPr>
                                  <w:tcW w:w="1530" w:type="pct"/>
                                  <w:tcBorders>
                                    <w:top w:val="nil"/>
                                    <w:left w:val="nil"/>
                                    <w:bottom w:val="nil"/>
                                    <w:right w:val="nil"/>
                                  </w:tcBorders>
                                  <w:noWrap/>
                                  <w:hideMark/>
                                </w:tcPr>
                                <w:p w14:paraId="0629D22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Debt/Capital</w:t>
                                  </w:r>
                                </w:p>
                              </w:tc>
                              <w:tc>
                                <w:tcPr>
                                  <w:tcW w:w="483" w:type="pct"/>
                                  <w:tcBorders>
                                    <w:top w:val="nil"/>
                                    <w:left w:val="nil"/>
                                    <w:bottom w:val="nil"/>
                                    <w:right w:val="nil"/>
                                  </w:tcBorders>
                                  <w:hideMark/>
                                </w:tcPr>
                                <w:p w14:paraId="0D6EB83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31.7% </w:t>
                                  </w:r>
                                </w:p>
                              </w:tc>
                              <w:tc>
                                <w:tcPr>
                                  <w:tcW w:w="483" w:type="pct"/>
                                  <w:tcBorders>
                                    <w:top w:val="nil"/>
                                    <w:left w:val="nil"/>
                                    <w:bottom w:val="nil"/>
                                    <w:right w:val="nil"/>
                                  </w:tcBorders>
                                  <w:hideMark/>
                                </w:tcPr>
                                <w:p w14:paraId="6B9EF93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37.2% </w:t>
                                  </w:r>
                                </w:p>
                              </w:tc>
                              <w:tc>
                                <w:tcPr>
                                  <w:tcW w:w="483" w:type="pct"/>
                                  <w:tcBorders>
                                    <w:top w:val="nil"/>
                                    <w:left w:val="nil"/>
                                    <w:bottom w:val="nil"/>
                                    <w:right w:val="nil"/>
                                  </w:tcBorders>
                                  <w:hideMark/>
                                </w:tcPr>
                                <w:p w14:paraId="4CCB92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38.7% </w:t>
                                  </w:r>
                                </w:p>
                              </w:tc>
                              <w:tc>
                                <w:tcPr>
                                  <w:tcW w:w="483" w:type="pct"/>
                                  <w:tcBorders>
                                    <w:top w:val="nil"/>
                                    <w:left w:val="nil"/>
                                    <w:bottom w:val="nil"/>
                                    <w:right w:val="nil"/>
                                  </w:tcBorders>
                                  <w:hideMark/>
                                </w:tcPr>
                                <w:p w14:paraId="38CEFB7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34.6% </w:t>
                                  </w:r>
                                </w:p>
                              </w:tc>
                              <w:tc>
                                <w:tcPr>
                                  <w:tcW w:w="483" w:type="pct"/>
                                  <w:tcBorders>
                                    <w:top w:val="nil"/>
                                    <w:left w:val="nil"/>
                                    <w:bottom w:val="nil"/>
                                    <w:right w:val="nil"/>
                                  </w:tcBorders>
                                  <w:hideMark/>
                                </w:tcPr>
                                <w:p w14:paraId="7792A8E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29.6% </w:t>
                                  </w:r>
                                </w:p>
                              </w:tc>
                              <w:tc>
                                <w:tcPr>
                                  <w:tcW w:w="483" w:type="pct"/>
                                  <w:tcBorders>
                                    <w:top w:val="nil"/>
                                    <w:left w:val="nil"/>
                                    <w:bottom w:val="nil"/>
                                    <w:right w:val="nil"/>
                                  </w:tcBorders>
                                  <w:hideMark/>
                                </w:tcPr>
                                <w:p w14:paraId="50666C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29.6% </w:t>
                                  </w:r>
                                </w:p>
                              </w:tc>
                              <w:tc>
                                <w:tcPr>
                                  <w:tcW w:w="572" w:type="pct"/>
                                  <w:tcBorders>
                                    <w:top w:val="nil"/>
                                    <w:left w:val="nil"/>
                                    <w:bottom w:val="nil"/>
                                    <w:right w:val="nil"/>
                                  </w:tcBorders>
                                  <w:hideMark/>
                                </w:tcPr>
                                <w:p w14:paraId="044EE91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r>
                            <w:tr w:rsidR="00FF566C" w:rsidRPr="00FF566C" w14:paraId="0548B096" w14:textId="77777777" w:rsidTr="00FF566C">
                              <w:trPr>
                                <w:trHeight w:val="204"/>
                              </w:trPr>
                              <w:tc>
                                <w:tcPr>
                                  <w:tcW w:w="1530" w:type="pct"/>
                                  <w:tcBorders>
                                    <w:top w:val="nil"/>
                                    <w:left w:val="nil"/>
                                    <w:bottom w:val="nil"/>
                                    <w:right w:val="nil"/>
                                  </w:tcBorders>
                                  <w:noWrap/>
                                  <w:hideMark/>
                                </w:tcPr>
                                <w:p w14:paraId="6F0F9F2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LT Debt/Equity</w:t>
                                  </w:r>
                                </w:p>
                              </w:tc>
                              <w:tc>
                                <w:tcPr>
                                  <w:tcW w:w="483" w:type="pct"/>
                                  <w:tcBorders>
                                    <w:top w:val="nil"/>
                                    <w:left w:val="nil"/>
                                    <w:bottom w:val="nil"/>
                                    <w:right w:val="nil"/>
                                  </w:tcBorders>
                                  <w:hideMark/>
                                </w:tcPr>
                                <w:p w14:paraId="45598F9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35.3% </w:t>
                                  </w:r>
                                </w:p>
                              </w:tc>
                              <w:tc>
                                <w:tcPr>
                                  <w:tcW w:w="483" w:type="pct"/>
                                  <w:tcBorders>
                                    <w:top w:val="nil"/>
                                    <w:left w:val="nil"/>
                                    <w:bottom w:val="nil"/>
                                    <w:right w:val="nil"/>
                                  </w:tcBorders>
                                  <w:hideMark/>
                                </w:tcPr>
                                <w:p w14:paraId="17E711A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57.4% </w:t>
                                  </w:r>
                                </w:p>
                              </w:tc>
                              <w:tc>
                                <w:tcPr>
                                  <w:tcW w:w="483" w:type="pct"/>
                                  <w:tcBorders>
                                    <w:top w:val="nil"/>
                                    <w:left w:val="nil"/>
                                    <w:bottom w:val="nil"/>
                                    <w:right w:val="nil"/>
                                  </w:tcBorders>
                                  <w:hideMark/>
                                </w:tcPr>
                                <w:p w14:paraId="169C7C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57.1% </w:t>
                                  </w:r>
                                </w:p>
                              </w:tc>
                              <w:tc>
                                <w:tcPr>
                                  <w:tcW w:w="483" w:type="pct"/>
                                  <w:tcBorders>
                                    <w:top w:val="nil"/>
                                    <w:left w:val="nil"/>
                                    <w:bottom w:val="nil"/>
                                    <w:right w:val="nil"/>
                                  </w:tcBorders>
                                  <w:hideMark/>
                                </w:tcPr>
                                <w:p w14:paraId="0C5C206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50.1% </w:t>
                                  </w:r>
                                </w:p>
                              </w:tc>
                              <w:tc>
                                <w:tcPr>
                                  <w:tcW w:w="483" w:type="pct"/>
                                  <w:tcBorders>
                                    <w:top w:val="nil"/>
                                    <w:left w:val="nil"/>
                                    <w:bottom w:val="nil"/>
                                    <w:right w:val="nil"/>
                                  </w:tcBorders>
                                  <w:hideMark/>
                                </w:tcPr>
                                <w:p w14:paraId="4553EBB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36.3% </w:t>
                                  </w:r>
                                </w:p>
                              </w:tc>
                              <w:tc>
                                <w:tcPr>
                                  <w:tcW w:w="483" w:type="pct"/>
                                  <w:tcBorders>
                                    <w:top w:val="nil"/>
                                    <w:left w:val="nil"/>
                                    <w:bottom w:val="nil"/>
                                    <w:right w:val="nil"/>
                                  </w:tcBorders>
                                  <w:hideMark/>
                                </w:tcPr>
                                <w:p w14:paraId="3F87366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40.3% </w:t>
                                  </w:r>
                                </w:p>
                              </w:tc>
                              <w:tc>
                                <w:tcPr>
                                  <w:tcW w:w="572" w:type="pct"/>
                                  <w:tcBorders>
                                    <w:top w:val="nil"/>
                                    <w:left w:val="nil"/>
                                    <w:bottom w:val="nil"/>
                                    <w:right w:val="nil"/>
                                  </w:tcBorders>
                                  <w:hideMark/>
                                </w:tcPr>
                                <w:p w14:paraId="413E121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31.4% </w:t>
                                  </w:r>
                                </w:p>
                              </w:tc>
                            </w:tr>
                            <w:tr w:rsidR="00FF566C" w:rsidRPr="00FF566C" w14:paraId="2C7FA46F" w14:textId="77777777" w:rsidTr="00FF566C">
                              <w:trPr>
                                <w:trHeight w:val="204"/>
                              </w:trPr>
                              <w:tc>
                                <w:tcPr>
                                  <w:tcW w:w="1530" w:type="pct"/>
                                  <w:tcBorders>
                                    <w:top w:val="nil"/>
                                    <w:left w:val="nil"/>
                                    <w:bottom w:val="nil"/>
                                    <w:right w:val="nil"/>
                                  </w:tcBorders>
                                  <w:noWrap/>
                                  <w:hideMark/>
                                </w:tcPr>
                                <w:p w14:paraId="50AB0EC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LT Debt/Capital</w:t>
                                  </w:r>
                                </w:p>
                              </w:tc>
                              <w:tc>
                                <w:tcPr>
                                  <w:tcW w:w="483" w:type="pct"/>
                                  <w:tcBorders>
                                    <w:top w:val="nil"/>
                                    <w:left w:val="nil"/>
                                    <w:bottom w:val="nil"/>
                                    <w:right w:val="nil"/>
                                  </w:tcBorders>
                                  <w:hideMark/>
                                </w:tcPr>
                                <w:p w14:paraId="4D61FF0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24.1% </w:t>
                                  </w:r>
                                </w:p>
                              </w:tc>
                              <w:tc>
                                <w:tcPr>
                                  <w:tcW w:w="483" w:type="pct"/>
                                  <w:tcBorders>
                                    <w:top w:val="nil"/>
                                    <w:left w:val="nil"/>
                                    <w:bottom w:val="nil"/>
                                    <w:right w:val="nil"/>
                                  </w:tcBorders>
                                  <w:hideMark/>
                                </w:tcPr>
                                <w:p w14:paraId="438134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36.0% </w:t>
                                  </w:r>
                                </w:p>
                              </w:tc>
                              <w:tc>
                                <w:tcPr>
                                  <w:tcW w:w="483" w:type="pct"/>
                                  <w:tcBorders>
                                    <w:top w:val="nil"/>
                                    <w:left w:val="nil"/>
                                    <w:bottom w:val="nil"/>
                                    <w:right w:val="nil"/>
                                  </w:tcBorders>
                                  <w:hideMark/>
                                </w:tcPr>
                                <w:p w14:paraId="4ED2F84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35.0% </w:t>
                                  </w:r>
                                </w:p>
                              </w:tc>
                              <w:tc>
                                <w:tcPr>
                                  <w:tcW w:w="483" w:type="pct"/>
                                  <w:tcBorders>
                                    <w:top w:val="nil"/>
                                    <w:left w:val="nil"/>
                                    <w:bottom w:val="nil"/>
                                    <w:right w:val="nil"/>
                                  </w:tcBorders>
                                  <w:hideMark/>
                                </w:tcPr>
                                <w:p w14:paraId="0E8BC64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32.8% </w:t>
                                  </w:r>
                                </w:p>
                              </w:tc>
                              <w:tc>
                                <w:tcPr>
                                  <w:tcW w:w="483" w:type="pct"/>
                                  <w:tcBorders>
                                    <w:top w:val="nil"/>
                                    <w:left w:val="nil"/>
                                    <w:bottom w:val="nil"/>
                                    <w:right w:val="nil"/>
                                  </w:tcBorders>
                                  <w:hideMark/>
                                </w:tcPr>
                                <w:p w14:paraId="2341C59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25.6% </w:t>
                                  </w:r>
                                </w:p>
                              </w:tc>
                              <w:tc>
                                <w:tcPr>
                                  <w:tcW w:w="483" w:type="pct"/>
                                  <w:tcBorders>
                                    <w:top w:val="nil"/>
                                    <w:left w:val="nil"/>
                                    <w:bottom w:val="nil"/>
                                    <w:right w:val="nil"/>
                                  </w:tcBorders>
                                  <w:hideMark/>
                                </w:tcPr>
                                <w:p w14:paraId="2D46161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28.4% </w:t>
                                  </w:r>
                                </w:p>
                              </w:tc>
                              <w:tc>
                                <w:tcPr>
                                  <w:tcW w:w="572" w:type="pct"/>
                                  <w:tcBorders>
                                    <w:top w:val="nil"/>
                                    <w:left w:val="nil"/>
                                    <w:bottom w:val="nil"/>
                                    <w:right w:val="nil"/>
                                  </w:tcBorders>
                                  <w:hideMark/>
                                </w:tcPr>
                                <w:p w14:paraId="74CB0B5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r>
                            <w:tr w:rsidR="00FF566C" w:rsidRPr="00FF566C" w14:paraId="56CF812D" w14:textId="77777777" w:rsidTr="00FF566C">
                              <w:trPr>
                                <w:trHeight w:val="204"/>
                              </w:trPr>
                              <w:tc>
                                <w:tcPr>
                                  <w:tcW w:w="1530" w:type="pct"/>
                                  <w:tcBorders>
                                    <w:top w:val="nil"/>
                                    <w:left w:val="nil"/>
                                    <w:bottom w:val="nil"/>
                                    <w:right w:val="nil"/>
                                  </w:tcBorders>
                                  <w:noWrap/>
                                  <w:hideMark/>
                                </w:tcPr>
                                <w:p w14:paraId="37D4124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Liabilities/Total Assets</w:t>
                                  </w:r>
                                </w:p>
                              </w:tc>
                              <w:tc>
                                <w:tcPr>
                                  <w:tcW w:w="483" w:type="pct"/>
                                  <w:tcBorders>
                                    <w:top w:val="nil"/>
                                    <w:left w:val="nil"/>
                                    <w:bottom w:val="nil"/>
                                    <w:right w:val="nil"/>
                                  </w:tcBorders>
                                  <w:hideMark/>
                                </w:tcPr>
                                <w:p w14:paraId="5DCD694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65.7% </w:t>
                                  </w:r>
                                </w:p>
                              </w:tc>
                              <w:tc>
                                <w:tcPr>
                                  <w:tcW w:w="483" w:type="pct"/>
                                  <w:tcBorders>
                                    <w:top w:val="nil"/>
                                    <w:left w:val="nil"/>
                                    <w:bottom w:val="nil"/>
                                    <w:right w:val="nil"/>
                                  </w:tcBorders>
                                  <w:hideMark/>
                                </w:tcPr>
                                <w:p w14:paraId="2C4DD4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66.3% </w:t>
                                  </w:r>
                                </w:p>
                              </w:tc>
                              <w:tc>
                                <w:tcPr>
                                  <w:tcW w:w="483" w:type="pct"/>
                                  <w:tcBorders>
                                    <w:top w:val="nil"/>
                                    <w:left w:val="nil"/>
                                    <w:bottom w:val="nil"/>
                                    <w:right w:val="nil"/>
                                  </w:tcBorders>
                                  <w:hideMark/>
                                </w:tcPr>
                                <w:p w14:paraId="40E9221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69.5% </w:t>
                                  </w:r>
                                </w:p>
                              </w:tc>
                              <w:tc>
                                <w:tcPr>
                                  <w:tcW w:w="483" w:type="pct"/>
                                  <w:tcBorders>
                                    <w:top w:val="nil"/>
                                    <w:left w:val="nil"/>
                                    <w:bottom w:val="nil"/>
                                    <w:right w:val="nil"/>
                                  </w:tcBorders>
                                  <w:hideMark/>
                                </w:tcPr>
                                <w:p w14:paraId="4ACDF5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67.8% </w:t>
                                  </w:r>
                                </w:p>
                              </w:tc>
                              <w:tc>
                                <w:tcPr>
                                  <w:tcW w:w="483" w:type="pct"/>
                                  <w:tcBorders>
                                    <w:top w:val="nil"/>
                                    <w:left w:val="nil"/>
                                    <w:bottom w:val="nil"/>
                                    <w:right w:val="nil"/>
                                  </w:tcBorders>
                                  <w:hideMark/>
                                </w:tcPr>
                                <w:p w14:paraId="5A49154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63.7% </w:t>
                                  </w:r>
                                </w:p>
                              </w:tc>
                              <w:tc>
                                <w:tcPr>
                                  <w:tcW w:w="483" w:type="pct"/>
                                  <w:tcBorders>
                                    <w:top w:val="nil"/>
                                    <w:left w:val="nil"/>
                                    <w:bottom w:val="nil"/>
                                    <w:right w:val="nil"/>
                                  </w:tcBorders>
                                  <w:hideMark/>
                                </w:tcPr>
                                <w:p w14:paraId="40C1C0A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66.2% </w:t>
                                  </w:r>
                                </w:p>
                              </w:tc>
                              <w:tc>
                                <w:tcPr>
                                  <w:tcW w:w="572" w:type="pct"/>
                                  <w:tcBorders>
                                    <w:top w:val="nil"/>
                                    <w:left w:val="nil"/>
                                    <w:bottom w:val="nil"/>
                                    <w:right w:val="nil"/>
                                  </w:tcBorders>
                                  <w:hideMark/>
                                </w:tcPr>
                                <w:p w14:paraId="640960B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65.1% </w:t>
                                  </w:r>
                                </w:p>
                              </w:tc>
                            </w:tr>
                            <w:tr w:rsidR="00FF566C" w:rsidRPr="00FF566C" w14:paraId="58AE55F8" w14:textId="77777777" w:rsidTr="00FF566C">
                              <w:trPr>
                                <w:trHeight w:val="204"/>
                              </w:trPr>
                              <w:tc>
                                <w:tcPr>
                                  <w:tcW w:w="1530" w:type="pct"/>
                                  <w:tcBorders>
                                    <w:top w:val="nil"/>
                                    <w:left w:val="nil"/>
                                    <w:bottom w:val="nil"/>
                                    <w:right w:val="nil"/>
                                  </w:tcBorders>
                                  <w:noWrap/>
                                  <w:hideMark/>
                                </w:tcPr>
                                <w:p w14:paraId="719B867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 / Interest Exp.</w:t>
                                  </w:r>
                                </w:p>
                              </w:tc>
                              <w:tc>
                                <w:tcPr>
                                  <w:tcW w:w="483" w:type="pct"/>
                                  <w:tcBorders>
                                    <w:top w:val="nil"/>
                                    <w:left w:val="nil"/>
                                    <w:bottom w:val="nil"/>
                                    <w:right w:val="nil"/>
                                  </w:tcBorders>
                                  <w:hideMark/>
                                </w:tcPr>
                                <w:p w14:paraId="7683863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31.6x</w:t>
                                  </w:r>
                                </w:p>
                              </w:tc>
                              <w:tc>
                                <w:tcPr>
                                  <w:tcW w:w="483" w:type="pct"/>
                                  <w:tcBorders>
                                    <w:top w:val="nil"/>
                                    <w:left w:val="nil"/>
                                    <w:bottom w:val="nil"/>
                                    <w:right w:val="nil"/>
                                  </w:tcBorders>
                                  <w:hideMark/>
                                </w:tcPr>
                                <w:p w14:paraId="2EC18C6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34.0x</w:t>
                                  </w:r>
                                </w:p>
                              </w:tc>
                              <w:tc>
                                <w:tcPr>
                                  <w:tcW w:w="483" w:type="pct"/>
                                  <w:tcBorders>
                                    <w:top w:val="nil"/>
                                    <w:left w:val="nil"/>
                                    <w:bottom w:val="nil"/>
                                    <w:right w:val="nil"/>
                                  </w:tcBorders>
                                  <w:hideMark/>
                                </w:tcPr>
                                <w:p w14:paraId="523344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39.7x</w:t>
                                  </w:r>
                                </w:p>
                              </w:tc>
                              <w:tc>
                                <w:tcPr>
                                  <w:tcW w:w="483" w:type="pct"/>
                                  <w:tcBorders>
                                    <w:top w:val="nil"/>
                                    <w:left w:val="nil"/>
                                    <w:bottom w:val="nil"/>
                                    <w:right w:val="nil"/>
                                  </w:tcBorders>
                                  <w:hideMark/>
                                </w:tcPr>
                                <w:p w14:paraId="13D0EA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50.1x</w:t>
                                  </w:r>
                                </w:p>
                              </w:tc>
                              <w:tc>
                                <w:tcPr>
                                  <w:tcW w:w="483" w:type="pct"/>
                                  <w:tcBorders>
                                    <w:top w:val="nil"/>
                                    <w:left w:val="nil"/>
                                    <w:bottom w:val="nil"/>
                                    <w:right w:val="nil"/>
                                  </w:tcBorders>
                                  <w:hideMark/>
                                </w:tcPr>
                                <w:p w14:paraId="50CFCBE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53.2x</w:t>
                                  </w:r>
                                </w:p>
                              </w:tc>
                              <w:tc>
                                <w:tcPr>
                                  <w:tcW w:w="483" w:type="pct"/>
                                  <w:tcBorders>
                                    <w:top w:val="nil"/>
                                    <w:left w:val="nil"/>
                                    <w:bottom w:val="nil"/>
                                    <w:right w:val="nil"/>
                                  </w:tcBorders>
                                  <w:hideMark/>
                                </w:tcPr>
                                <w:p w14:paraId="4ECF052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54.9x</w:t>
                                  </w:r>
                                </w:p>
                              </w:tc>
                              <w:tc>
                                <w:tcPr>
                                  <w:tcW w:w="572" w:type="pct"/>
                                  <w:tcBorders>
                                    <w:top w:val="nil"/>
                                    <w:left w:val="nil"/>
                                    <w:bottom w:val="nil"/>
                                    <w:right w:val="nil"/>
                                  </w:tcBorders>
                                  <w:hideMark/>
                                </w:tcPr>
                                <w:p w14:paraId="7706BDD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59.8x</w:t>
                                  </w:r>
                                </w:p>
                              </w:tc>
                            </w:tr>
                            <w:tr w:rsidR="00FF566C" w:rsidRPr="00FF566C" w14:paraId="1143E078" w14:textId="77777777" w:rsidTr="00FF566C">
                              <w:trPr>
                                <w:trHeight w:val="204"/>
                              </w:trPr>
                              <w:tc>
                                <w:tcPr>
                                  <w:tcW w:w="1530" w:type="pct"/>
                                  <w:tcBorders>
                                    <w:top w:val="nil"/>
                                    <w:left w:val="nil"/>
                                    <w:bottom w:val="nil"/>
                                    <w:right w:val="nil"/>
                                  </w:tcBorders>
                                  <w:noWrap/>
                                  <w:hideMark/>
                                </w:tcPr>
                                <w:p w14:paraId="3324FC0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 / Interest Exp.</w:t>
                                  </w:r>
                                </w:p>
                              </w:tc>
                              <w:tc>
                                <w:tcPr>
                                  <w:tcW w:w="483" w:type="pct"/>
                                  <w:tcBorders>
                                    <w:top w:val="nil"/>
                                    <w:left w:val="nil"/>
                                    <w:bottom w:val="nil"/>
                                    <w:right w:val="nil"/>
                                  </w:tcBorders>
                                  <w:hideMark/>
                                </w:tcPr>
                                <w:p w14:paraId="2CE4CEA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41.5x</w:t>
                                  </w:r>
                                </w:p>
                              </w:tc>
                              <w:tc>
                                <w:tcPr>
                                  <w:tcW w:w="483" w:type="pct"/>
                                  <w:tcBorders>
                                    <w:top w:val="nil"/>
                                    <w:left w:val="nil"/>
                                    <w:bottom w:val="nil"/>
                                    <w:right w:val="nil"/>
                                  </w:tcBorders>
                                  <w:hideMark/>
                                </w:tcPr>
                                <w:p w14:paraId="60D925D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46.4x</w:t>
                                  </w:r>
                                </w:p>
                              </w:tc>
                              <w:tc>
                                <w:tcPr>
                                  <w:tcW w:w="483" w:type="pct"/>
                                  <w:tcBorders>
                                    <w:top w:val="nil"/>
                                    <w:left w:val="nil"/>
                                    <w:bottom w:val="nil"/>
                                    <w:right w:val="nil"/>
                                  </w:tcBorders>
                                  <w:hideMark/>
                                </w:tcPr>
                                <w:p w14:paraId="058DEAB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52.7x</w:t>
                                  </w:r>
                                </w:p>
                              </w:tc>
                              <w:tc>
                                <w:tcPr>
                                  <w:tcW w:w="483" w:type="pct"/>
                                  <w:tcBorders>
                                    <w:top w:val="nil"/>
                                    <w:left w:val="nil"/>
                                    <w:bottom w:val="nil"/>
                                    <w:right w:val="nil"/>
                                  </w:tcBorders>
                                  <w:hideMark/>
                                </w:tcPr>
                                <w:p w14:paraId="30727C7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65.0x</w:t>
                                  </w:r>
                                </w:p>
                              </w:tc>
                              <w:tc>
                                <w:tcPr>
                                  <w:tcW w:w="483" w:type="pct"/>
                                  <w:tcBorders>
                                    <w:top w:val="nil"/>
                                    <w:left w:val="nil"/>
                                    <w:bottom w:val="nil"/>
                                    <w:right w:val="nil"/>
                                  </w:tcBorders>
                                  <w:hideMark/>
                                </w:tcPr>
                                <w:p w14:paraId="331DE9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69.1x</w:t>
                                  </w:r>
                                </w:p>
                              </w:tc>
                              <w:tc>
                                <w:tcPr>
                                  <w:tcW w:w="483" w:type="pct"/>
                                  <w:tcBorders>
                                    <w:top w:val="nil"/>
                                    <w:left w:val="nil"/>
                                    <w:bottom w:val="nil"/>
                                    <w:right w:val="nil"/>
                                  </w:tcBorders>
                                  <w:hideMark/>
                                </w:tcPr>
                                <w:p w14:paraId="1D91C32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70.8x</w:t>
                                  </w:r>
                                </w:p>
                              </w:tc>
                              <w:tc>
                                <w:tcPr>
                                  <w:tcW w:w="572" w:type="pct"/>
                                  <w:tcBorders>
                                    <w:top w:val="nil"/>
                                    <w:left w:val="nil"/>
                                    <w:bottom w:val="nil"/>
                                    <w:right w:val="nil"/>
                                  </w:tcBorders>
                                  <w:hideMark/>
                                </w:tcPr>
                                <w:p w14:paraId="7BF8C25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76.7x</w:t>
                                  </w:r>
                                </w:p>
                              </w:tc>
                            </w:tr>
                            <w:tr w:rsidR="00FF566C" w:rsidRPr="00FF566C" w14:paraId="19C7C277" w14:textId="77777777" w:rsidTr="00FF566C">
                              <w:trPr>
                                <w:trHeight w:val="204"/>
                              </w:trPr>
                              <w:tc>
                                <w:tcPr>
                                  <w:tcW w:w="1530" w:type="pct"/>
                                  <w:tcBorders>
                                    <w:top w:val="nil"/>
                                    <w:left w:val="nil"/>
                                    <w:bottom w:val="nil"/>
                                    <w:right w:val="nil"/>
                                  </w:tcBorders>
                                  <w:noWrap/>
                                  <w:hideMark/>
                                </w:tcPr>
                                <w:p w14:paraId="740707E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(EBITDA-CAPEX) / Interest Exp.</w:t>
                                  </w:r>
                                </w:p>
                              </w:tc>
                              <w:tc>
                                <w:tcPr>
                                  <w:tcW w:w="483" w:type="pct"/>
                                  <w:tcBorders>
                                    <w:top w:val="nil"/>
                                    <w:left w:val="nil"/>
                                    <w:bottom w:val="nil"/>
                                    <w:right w:val="nil"/>
                                  </w:tcBorders>
                                  <w:hideMark/>
                                </w:tcPr>
                                <w:p w14:paraId="4CC603A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21.5x</w:t>
                                  </w:r>
                                </w:p>
                              </w:tc>
                              <w:tc>
                                <w:tcPr>
                                  <w:tcW w:w="483" w:type="pct"/>
                                  <w:tcBorders>
                                    <w:top w:val="nil"/>
                                    <w:left w:val="nil"/>
                                    <w:bottom w:val="nil"/>
                                    <w:right w:val="nil"/>
                                  </w:tcBorders>
                                  <w:hideMark/>
                                </w:tcPr>
                                <w:p w14:paraId="6385F6A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28.8x</w:t>
                                  </w:r>
                                </w:p>
                              </w:tc>
                              <w:tc>
                                <w:tcPr>
                                  <w:tcW w:w="483" w:type="pct"/>
                                  <w:tcBorders>
                                    <w:top w:val="nil"/>
                                    <w:left w:val="nil"/>
                                    <w:bottom w:val="nil"/>
                                    <w:right w:val="nil"/>
                                  </w:tcBorders>
                                  <w:hideMark/>
                                </w:tcPr>
                                <w:p w14:paraId="2554433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31.8x</w:t>
                                  </w:r>
                                </w:p>
                              </w:tc>
                              <w:tc>
                                <w:tcPr>
                                  <w:tcW w:w="483" w:type="pct"/>
                                  <w:tcBorders>
                                    <w:top w:val="nil"/>
                                    <w:left w:val="nil"/>
                                    <w:bottom w:val="nil"/>
                                    <w:right w:val="nil"/>
                                  </w:tcBorders>
                                  <w:hideMark/>
                                </w:tcPr>
                                <w:p w14:paraId="2CA3EAC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40.3x</w:t>
                                  </w:r>
                                </w:p>
                              </w:tc>
                              <w:tc>
                                <w:tcPr>
                                  <w:tcW w:w="483" w:type="pct"/>
                                  <w:tcBorders>
                                    <w:top w:val="nil"/>
                                    <w:left w:val="nil"/>
                                    <w:bottom w:val="nil"/>
                                    <w:right w:val="nil"/>
                                  </w:tcBorders>
                                  <w:hideMark/>
                                </w:tcPr>
                                <w:p w14:paraId="2771AA0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42.1x</w:t>
                                  </w:r>
                                </w:p>
                              </w:tc>
                              <w:tc>
                                <w:tcPr>
                                  <w:tcW w:w="483" w:type="pct"/>
                                  <w:tcBorders>
                                    <w:top w:val="nil"/>
                                    <w:left w:val="nil"/>
                                    <w:bottom w:val="nil"/>
                                    <w:right w:val="nil"/>
                                  </w:tcBorders>
                                  <w:hideMark/>
                                </w:tcPr>
                                <w:p w14:paraId="4E95C0E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43.0x</w:t>
                                  </w:r>
                                </w:p>
                              </w:tc>
                              <w:tc>
                                <w:tcPr>
                                  <w:tcW w:w="572" w:type="pct"/>
                                  <w:tcBorders>
                                    <w:top w:val="nil"/>
                                    <w:left w:val="nil"/>
                                    <w:bottom w:val="nil"/>
                                    <w:right w:val="nil"/>
                                  </w:tcBorders>
                                  <w:hideMark/>
                                </w:tcPr>
                                <w:p w14:paraId="6216A5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45.8x</w:t>
                                  </w:r>
                                </w:p>
                              </w:tc>
                            </w:tr>
                            <w:tr w:rsidR="00FF566C" w:rsidRPr="00FF566C" w14:paraId="78EEF08C" w14:textId="77777777" w:rsidTr="00FF566C">
                              <w:trPr>
                                <w:trHeight w:val="204"/>
                              </w:trPr>
                              <w:tc>
                                <w:tcPr>
                                  <w:tcW w:w="1530" w:type="pct"/>
                                  <w:tcBorders>
                                    <w:top w:val="nil"/>
                                    <w:left w:val="nil"/>
                                    <w:bottom w:val="nil"/>
                                    <w:right w:val="nil"/>
                                  </w:tcBorders>
                                  <w:noWrap/>
                                  <w:hideMark/>
                                </w:tcPr>
                                <w:p w14:paraId="1F7C0CA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Debt/EBITDA</w:t>
                                  </w:r>
                                </w:p>
                              </w:tc>
                              <w:tc>
                                <w:tcPr>
                                  <w:tcW w:w="483" w:type="pct"/>
                                  <w:tcBorders>
                                    <w:top w:val="nil"/>
                                    <w:left w:val="nil"/>
                                    <w:bottom w:val="nil"/>
                                    <w:right w:val="nil"/>
                                  </w:tcBorders>
                                  <w:hideMark/>
                                </w:tcPr>
                                <w:p w14:paraId="74FEFA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1.2x</w:t>
                                  </w:r>
                                </w:p>
                              </w:tc>
                              <w:tc>
                                <w:tcPr>
                                  <w:tcW w:w="483" w:type="pct"/>
                                  <w:tcBorders>
                                    <w:top w:val="nil"/>
                                    <w:left w:val="nil"/>
                                    <w:bottom w:val="nil"/>
                                    <w:right w:val="nil"/>
                                  </w:tcBorders>
                                  <w:hideMark/>
                                </w:tcPr>
                                <w:p w14:paraId="74D251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1.5x</w:t>
                                  </w:r>
                                </w:p>
                              </w:tc>
                              <w:tc>
                                <w:tcPr>
                                  <w:tcW w:w="483" w:type="pct"/>
                                  <w:tcBorders>
                                    <w:top w:val="nil"/>
                                    <w:left w:val="nil"/>
                                    <w:bottom w:val="nil"/>
                                    <w:right w:val="nil"/>
                                  </w:tcBorders>
                                  <w:hideMark/>
                                </w:tcPr>
                                <w:p w14:paraId="438B5C4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1.3x</w:t>
                                  </w:r>
                                </w:p>
                              </w:tc>
                              <w:tc>
                                <w:tcPr>
                                  <w:tcW w:w="483" w:type="pct"/>
                                  <w:tcBorders>
                                    <w:top w:val="nil"/>
                                    <w:left w:val="nil"/>
                                    <w:bottom w:val="nil"/>
                                    <w:right w:val="nil"/>
                                  </w:tcBorders>
                                  <w:hideMark/>
                                </w:tcPr>
                                <w:p w14:paraId="545EFB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5ADDD8C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0BD23AC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0.8x</w:t>
                                  </w:r>
                                </w:p>
                              </w:tc>
                              <w:tc>
                                <w:tcPr>
                                  <w:tcW w:w="572" w:type="pct"/>
                                  <w:tcBorders>
                                    <w:top w:val="nil"/>
                                    <w:left w:val="nil"/>
                                    <w:bottom w:val="nil"/>
                                    <w:right w:val="nil"/>
                                  </w:tcBorders>
                                  <w:hideMark/>
                                </w:tcPr>
                                <w:p w14:paraId="1B2516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0.6x</w:t>
                                  </w:r>
                                </w:p>
                              </w:tc>
                            </w:tr>
                            <w:tr w:rsidR="00FF566C" w:rsidRPr="00FF566C" w14:paraId="42D586D0" w14:textId="77777777" w:rsidTr="00FF566C">
                              <w:trPr>
                                <w:trHeight w:val="204"/>
                              </w:trPr>
                              <w:tc>
                                <w:tcPr>
                                  <w:tcW w:w="1530" w:type="pct"/>
                                  <w:tcBorders>
                                    <w:top w:val="nil"/>
                                    <w:left w:val="nil"/>
                                    <w:bottom w:val="nil"/>
                                    <w:right w:val="nil"/>
                                  </w:tcBorders>
                                  <w:noWrap/>
                                  <w:hideMark/>
                                </w:tcPr>
                                <w:p w14:paraId="018F1D81"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Debt/EBITDA</w:t>
                                  </w:r>
                                </w:p>
                              </w:tc>
                              <w:tc>
                                <w:tcPr>
                                  <w:tcW w:w="483" w:type="pct"/>
                                  <w:tcBorders>
                                    <w:top w:val="nil"/>
                                    <w:left w:val="nil"/>
                                    <w:bottom w:val="nil"/>
                                    <w:right w:val="nil"/>
                                  </w:tcBorders>
                                  <w:hideMark/>
                                </w:tcPr>
                                <w:p w14:paraId="6A6B8E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3B350D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7D65BD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43220D9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C703CD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48DAB58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572" w:type="pct"/>
                                  <w:tcBorders>
                                    <w:top w:val="nil"/>
                                    <w:left w:val="nil"/>
                                    <w:bottom w:val="nil"/>
                                    <w:right w:val="nil"/>
                                  </w:tcBorders>
                                  <w:hideMark/>
                                </w:tcPr>
                                <w:p w14:paraId="0974044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r>
                            <w:tr w:rsidR="00FF566C" w:rsidRPr="00FF566C" w14:paraId="4F79C752" w14:textId="77777777" w:rsidTr="00FF566C">
                              <w:trPr>
                                <w:trHeight w:val="204"/>
                              </w:trPr>
                              <w:tc>
                                <w:tcPr>
                                  <w:tcW w:w="1530" w:type="pct"/>
                                  <w:tcBorders>
                                    <w:top w:val="nil"/>
                                    <w:left w:val="nil"/>
                                    <w:bottom w:val="nil"/>
                                    <w:right w:val="nil"/>
                                  </w:tcBorders>
                                  <w:noWrap/>
                                  <w:hideMark/>
                                </w:tcPr>
                                <w:p w14:paraId="14A1C40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Debt/(EBITDA-CAPEX)</w:t>
                                  </w:r>
                                </w:p>
                              </w:tc>
                              <w:tc>
                                <w:tcPr>
                                  <w:tcW w:w="483" w:type="pct"/>
                                  <w:tcBorders>
                                    <w:top w:val="nil"/>
                                    <w:left w:val="nil"/>
                                    <w:bottom w:val="nil"/>
                                    <w:right w:val="nil"/>
                                  </w:tcBorders>
                                  <w:hideMark/>
                                </w:tcPr>
                                <w:p w14:paraId="1CEA6B6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2.2x</w:t>
                                  </w:r>
                                </w:p>
                              </w:tc>
                              <w:tc>
                                <w:tcPr>
                                  <w:tcW w:w="483" w:type="pct"/>
                                  <w:tcBorders>
                                    <w:top w:val="nil"/>
                                    <w:left w:val="nil"/>
                                    <w:bottom w:val="nil"/>
                                    <w:right w:val="nil"/>
                                  </w:tcBorders>
                                  <w:hideMark/>
                                </w:tcPr>
                                <w:p w14:paraId="6826477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2.4x</w:t>
                                  </w:r>
                                </w:p>
                              </w:tc>
                              <w:tc>
                                <w:tcPr>
                                  <w:tcW w:w="483" w:type="pct"/>
                                  <w:tcBorders>
                                    <w:top w:val="nil"/>
                                    <w:left w:val="nil"/>
                                    <w:bottom w:val="nil"/>
                                    <w:right w:val="nil"/>
                                  </w:tcBorders>
                                  <w:hideMark/>
                                </w:tcPr>
                                <w:p w14:paraId="1F90C1A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2.1x</w:t>
                                  </w:r>
                                </w:p>
                              </w:tc>
                              <w:tc>
                                <w:tcPr>
                                  <w:tcW w:w="483" w:type="pct"/>
                                  <w:tcBorders>
                                    <w:top w:val="nil"/>
                                    <w:left w:val="nil"/>
                                    <w:bottom w:val="nil"/>
                                    <w:right w:val="nil"/>
                                  </w:tcBorders>
                                  <w:hideMark/>
                                </w:tcPr>
                                <w:p w14:paraId="0F60FAB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1.7x</w:t>
                                  </w:r>
                                </w:p>
                              </w:tc>
                              <w:tc>
                                <w:tcPr>
                                  <w:tcW w:w="483" w:type="pct"/>
                                  <w:tcBorders>
                                    <w:top w:val="nil"/>
                                    <w:left w:val="nil"/>
                                    <w:bottom w:val="nil"/>
                                    <w:right w:val="nil"/>
                                  </w:tcBorders>
                                  <w:hideMark/>
                                </w:tcPr>
                                <w:p w14:paraId="167EB49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1.6x</w:t>
                                  </w:r>
                                </w:p>
                              </w:tc>
                              <w:tc>
                                <w:tcPr>
                                  <w:tcW w:w="483" w:type="pct"/>
                                  <w:tcBorders>
                                    <w:top w:val="nil"/>
                                    <w:left w:val="nil"/>
                                    <w:bottom w:val="nil"/>
                                    <w:right w:val="nil"/>
                                  </w:tcBorders>
                                  <w:hideMark/>
                                </w:tcPr>
                                <w:p w14:paraId="15E2DF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1.4x</w:t>
                                  </w:r>
                                </w:p>
                              </w:tc>
                              <w:tc>
                                <w:tcPr>
                                  <w:tcW w:w="572" w:type="pct"/>
                                  <w:tcBorders>
                                    <w:top w:val="nil"/>
                                    <w:left w:val="nil"/>
                                    <w:bottom w:val="nil"/>
                                    <w:right w:val="nil"/>
                                  </w:tcBorders>
                                  <w:hideMark/>
                                </w:tcPr>
                                <w:p w14:paraId="3BA8A2C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r>
                            <w:tr w:rsidR="00FF566C" w:rsidRPr="00FF566C" w14:paraId="076D0F1C" w14:textId="77777777" w:rsidTr="00FF566C">
                              <w:trPr>
                                <w:trHeight w:val="204"/>
                              </w:trPr>
                              <w:tc>
                                <w:tcPr>
                                  <w:tcW w:w="1530" w:type="pct"/>
                                  <w:tcBorders>
                                    <w:top w:val="nil"/>
                                    <w:left w:val="nil"/>
                                    <w:bottom w:val="nil"/>
                                    <w:right w:val="nil"/>
                                  </w:tcBorders>
                                  <w:noWrap/>
                                  <w:hideMark/>
                                </w:tcPr>
                                <w:p w14:paraId="0DE0678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Debt/(EBITDA-CAPEX)</w:t>
                                  </w:r>
                                </w:p>
                              </w:tc>
                              <w:tc>
                                <w:tcPr>
                                  <w:tcW w:w="483" w:type="pct"/>
                                  <w:tcBorders>
                                    <w:top w:val="nil"/>
                                    <w:left w:val="nil"/>
                                    <w:bottom w:val="nil"/>
                                    <w:right w:val="nil"/>
                                  </w:tcBorders>
                                  <w:hideMark/>
                                </w:tcPr>
                                <w:p w14:paraId="74EFD4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2FB5FAA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735E69A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8073AD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18689BE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030B7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572" w:type="pct"/>
                                  <w:tcBorders>
                                    <w:top w:val="nil"/>
                                    <w:left w:val="nil"/>
                                    <w:bottom w:val="nil"/>
                                    <w:right w:val="nil"/>
                                  </w:tcBorders>
                                  <w:hideMark/>
                                </w:tcPr>
                                <w:p w14:paraId="67FA466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r>
                            <w:tr w:rsidR="00FF566C" w:rsidRPr="00FF566C" w14:paraId="15287DF6" w14:textId="77777777" w:rsidTr="00FF566C">
                              <w:trPr>
                                <w:trHeight w:val="204"/>
                              </w:trPr>
                              <w:tc>
                                <w:tcPr>
                                  <w:tcW w:w="1530" w:type="pct"/>
                                  <w:tcBorders>
                                    <w:top w:val="nil"/>
                                    <w:left w:val="nil"/>
                                    <w:bottom w:val="nil"/>
                                    <w:right w:val="nil"/>
                                  </w:tcBorders>
                                  <w:noWrap/>
                                  <w:hideMark/>
                                </w:tcPr>
                                <w:p w14:paraId="7DE94D8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Altman Z Score</w:t>
                                  </w:r>
                                </w:p>
                              </w:tc>
                              <w:tc>
                                <w:tcPr>
                                  <w:tcW w:w="483" w:type="pct"/>
                                  <w:tcBorders>
                                    <w:top w:val="nil"/>
                                    <w:left w:val="nil"/>
                                    <w:bottom w:val="nil"/>
                                    <w:right w:val="nil"/>
                                  </w:tcBorders>
                                  <w:hideMark/>
                                </w:tcPr>
                                <w:p w14:paraId="7A513D1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6.15 </w:t>
                                  </w:r>
                                </w:p>
                              </w:tc>
                              <w:tc>
                                <w:tcPr>
                                  <w:tcW w:w="483" w:type="pct"/>
                                  <w:tcBorders>
                                    <w:top w:val="nil"/>
                                    <w:left w:val="nil"/>
                                    <w:bottom w:val="nil"/>
                                    <w:right w:val="nil"/>
                                  </w:tcBorders>
                                  <w:hideMark/>
                                </w:tcPr>
                                <w:p w14:paraId="19A27D8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5.92 </w:t>
                                  </w:r>
                                </w:p>
                              </w:tc>
                              <w:tc>
                                <w:tcPr>
                                  <w:tcW w:w="483" w:type="pct"/>
                                  <w:tcBorders>
                                    <w:top w:val="nil"/>
                                    <w:left w:val="nil"/>
                                    <w:bottom w:val="nil"/>
                                    <w:right w:val="nil"/>
                                  </w:tcBorders>
                                  <w:hideMark/>
                                </w:tcPr>
                                <w:p w14:paraId="09B708A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6.38 </w:t>
                                  </w:r>
                                </w:p>
                              </w:tc>
                              <w:tc>
                                <w:tcPr>
                                  <w:tcW w:w="483" w:type="pct"/>
                                  <w:tcBorders>
                                    <w:top w:val="nil"/>
                                    <w:left w:val="nil"/>
                                    <w:bottom w:val="nil"/>
                                    <w:right w:val="nil"/>
                                  </w:tcBorders>
                                  <w:hideMark/>
                                </w:tcPr>
                                <w:p w14:paraId="4DD3A94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7.42 </w:t>
                                  </w:r>
                                </w:p>
                              </w:tc>
                              <w:tc>
                                <w:tcPr>
                                  <w:tcW w:w="483" w:type="pct"/>
                                  <w:tcBorders>
                                    <w:top w:val="nil"/>
                                    <w:left w:val="nil"/>
                                    <w:bottom w:val="nil"/>
                                    <w:right w:val="nil"/>
                                  </w:tcBorders>
                                  <w:hideMark/>
                                </w:tcPr>
                                <w:p w14:paraId="4C114AD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7.41 </w:t>
                                  </w:r>
                                </w:p>
                              </w:tc>
                              <w:tc>
                                <w:tcPr>
                                  <w:tcW w:w="483" w:type="pct"/>
                                  <w:tcBorders>
                                    <w:top w:val="nil"/>
                                    <w:left w:val="nil"/>
                                    <w:bottom w:val="nil"/>
                                    <w:right w:val="nil"/>
                                  </w:tcBorders>
                                  <w:hideMark/>
                                </w:tcPr>
                                <w:p w14:paraId="4E70788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8.52 </w:t>
                                  </w:r>
                                </w:p>
                              </w:tc>
                              <w:tc>
                                <w:tcPr>
                                  <w:tcW w:w="572" w:type="pct"/>
                                  <w:tcBorders>
                                    <w:top w:val="nil"/>
                                    <w:left w:val="nil"/>
                                    <w:bottom w:val="nil"/>
                                    <w:right w:val="nil"/>
                                  </w:tcBorders>
                                  <w:hideMark/>
                                </w:tcPr>
                                <w:p w14:paraId="4BCD119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9.22 </w:t>
                                  </w:r>
                                </w:p>
                              </w:tc>
                            </w:tr>
                          </w:tbl>
                          <w:p w14:paraId="5E9E09F2" w14:textId="5C64EE98" w:rsidR="00FF566C" w:rsidRDefault="00FF5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1A80" id="_x0000_s1052" type="#_x0000_t202" style="position:absolute;left:0;text-align:left;margin-left:434.8pt;margin-top:31.8pt;width:486pt;height:577.8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" stroked="f">
                <v:textbox>
                  <w:txbxContent>
                    <w:tbl>
                      <w:tblPr>
                        <w:tblW w:w="4992" w:type="pct"/>
                        <w:tblLook w:val="04A0" w:firstRow="1" w:lastRow="0" w:firstColumn="1" w:lastColumn="0" w:noHBand="0" w:noVBand="1"/>
                      </w:tblPr>
                      <w:tblGrid>
                        <w:gridCol w:w="2881"/>
                        <w:gridCol w:w="910"/>
                        <w:gridCol w:w="910"/>
                        <w:gridCol w:w="910"/>
                        <w:gridCol w:w="910"/>
                        <w:gridCol w:w="910"/>
                        <w:gridCol w:w="910"/>
                        <w:gridCol w:w="1077"/>
                      </w:tblGrid>
                      <w:tr w:rsidR="00FF566C" w:rsidRPr="00FF566C" w14:paraId="32268FAC" w14:textId="77777777" w:rsidTr="00FF566C">
                        <w:trPr>
                          <w:trHeight w:val="204"/>
                        </w:trPr>
                        <w:tc>
                          <w:tcPr>
                            <w:tcW w:w="2496" w:type="pct"/>
                            <w:gridSpan w:val="3"/>
                            <w:tcBorders>
                              <w:top w:val="nil"/>
                              <w:left w:val="nil"/>
                              <w:bottom w:val="nil"/>
                              <w:right w:val="nil"/>
                            </w:tcBorders>
                            <w:noWrap/>
                            <w:vAlign w:val="bottom"/>
                            <w:hideMark/>
                          </w:tcPr>
                          <w:p w14:paraId="3E60993D"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Costco Wholesale Corporation (</w:t>
                            </w:r>
                            <w:r w:rsidRPr="00FF566C">
                              <w:rPr>
                                <w:rFonts w:ascii="Cambria" w:eastAsia="Times New Roman" w:hAnsi="Cambria" w:cs="Arial"/>
                                <w:b/>
                                <w:bCs/>
                                <w:color w:val="000000"/>
                                <w:kern w:val="0"/>
                                <w:sz w:val="14"/>
                                <w:szCs w:val="14"/>
                                <w:lang w:eastAsia="en-IN"/>
                                <w14:ligatures w14:val="none"/>
                              </w:rPr>
                              <w:t>NasdaqGS:COST) &gt; Financials &gt; Ratios</w:t>
                            </w:r>
                          </w:p>
                        </w:tc>
                        <w:tc>
                          <w:tcPr>
                            <w:tcW w:w="483" w:type="pct"/>
                            <w:tcBorders>
                              <w:top w:val="nil"/>
                              <w:left w:val="nil"/>
                              <w:bottom w:val="nil"/>
                              <w:right w:val="nil"/>
                            </w:tcBorders>
                            <w:noWrap/>
                            <w:vAlign w:val="bottom"/>
                            <w:hideMark/>
                          </w:tcPr>
                          <w:p w14:paraId="1AE37DA6"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vAlign w:val="bottom"/>
                            <w:hideMark/>
                          </w:tcPr>
                          <w:p w14:paraId="2457FD88"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vAlign w:val="bottom"/>
                            <w:hideMark/>
                          </w:tcPr>
                          <w:p w14:paraId="5EA6150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vAlign w:val="bottom"/>
                            <w:hideMark/>
                          </w:tcPr>
                          <w:p w14:paraId="2481D0D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vAlign w:val="bottom"/>
                            <w:hideMark/>
                          </w:tcPr>
                          <w:p w14:paraId="23348D8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791DD56F" w14:textId="77777777" w:rsidTr="00FF566C">
                        <w:trPr>
                          <w:trHeight w:val="204"/>
                        </w:trPr>
                        <w:tc>
                          <w:tcPr>
                            <w:tcW w:w="1530" w:type="pct"/>
                            <w:tcBorders>
                              <w:top w:val="nil"/>
                              <w:left w:val="nil"/>
                              <w:bottom w:val="nil"/>
                              <w:right w:val="nil"/>
                            </w:tcBorders>
                            <w:shd w:val="clear" w:color="000000" w:fill="003366"/>
                            <w:noWrap/>
                            <w:vAlign w:val="bottom"/>
                            <w:hideMark/>
                          </w:tcPr>
                          <w:p w14:paraId="0C62773B"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Ratios</w:t>
                            </w:r>
                          </w:p>
                        </w:tc>
                        <w:tc>
                          <w:tcPr>
                            <w:tcW w:w="483" w:type="pct"/>
                            <w:tcBorders>
                              <w:top w:val="nil"/>
                              <w:left w:val="nil"/>
                              <w:bottom w:val="nil"/>
                              <w:right w:val="nil"/>
                            </w:tcBorders>
                            <w:shd w:val="clear" w:color="000000" w:fill="003366"/>
                            <w:noWrap/>
                            <w:vAlign w:val="bottom"/>
                            <w:hideMark/>
                          </w:tcPr>
                          <w:p w14:paraId="3884B952"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56C6630B"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13D27830"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0C597F17"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606D4AED"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483" w:type="pct"/>
                            <w:tcBorders>
                              <w:top w:val="nil"/>
                              <w:left w:val="nil"/>
                              <w:bottom w:val="nil"/>
                              <w:right w:val="nil"/>
                            </w:tcBorders>
                            <w:shd w:val="clear" w:color="000000" w:fill="003366"/>
                            <w:noWrap/>
                            <w:vAlign w:val="bottom"/>
                            <w:hideMark/>
                          </w:tcPr>
                          <w:p w14:paraId="5BE0616E"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c>
                          <w:tcPr>
                            <w:tcW w:w="572" w:type="pct"/>
                            <w:tcBorders>
                              <w:top w:val="nil"/>
                              <w:left w:val="nil"/>
                              <w:bottom w:val="nil"/>
                              <w:right w:val="nil"/>
                            </w:tcBorders>
                            <w:shd w:val="clear" w:color="000000" w:fill="003366"/>
                            <w:noWrap/>
                            <w:vAlign w:val="bottom"/>
                            <w:hideMark/>
                          </w:tcPr>
                          <w:p w14:paraId="4A06920D" w14:textId="77777777" w:rsidR="00FF566C" w:rsidRPr="00FF566C" w:rsidRDefault="00FF566C" w:rsidP="00FF566C">
                            <w:pPr>
                              <w:spacing w:after="0" w:line="240" w:lineRule="auto"/>
                              <w:rPr>
                                <w:rFonts w:ascii="Cambria" w:eastAsia="Times New Roman" w:hAnsi="Cambria" w:cs="Arial"/>
                                <w:b/>
                                <w:bCs/>
                                <w:color w:val="FFFFFF"/>
                                <w:kern w:val="0"/>
                                <w:sz w:val="14"/>
                                <w:szCs w:val="14"/>
                                <w:lang w:eastAsia="en-IN"/>
                                <w14:ligatures w14:val="none"/>
                              </w:rPr>
                            </w:pPr>
                            <w:r w:rsidRPr="00FF566C">
                              <w:rPr>
                                <w:rFonts w:ascii="Cambria" w:eastAsia="Times New Roman" w:hAnsi="Cambria" w:cs="Arial"/>
                                <w:b/>
                                <w:bCs/>
                                <w:color w:val="FFFFFF"/>
                                <w:kern w:val="0"/>
                                <w:sz w:val="14"/>
                                <w:szCs w:val="14"/>
                                <w:lang w:eastAsia="en-IN"/>
                                <w14:ligatures w14:val="none"/>
                              </w:rPr>
                              <w:t> </w:t>
                            </w:r>
                          </w:p>
                        </w:tc>
                      </w:tr>
                      <w:tr w:rsidR="00FF566C" w:rsidRPr="00FF566C" w14:paraId="6E744AC7" w14:textId="77777777" w:rsidTr="00FF566C">
                        <w:trPr>
                          <w:trHeight w:val="768"/>
                        </w:trPr>
                        <w:tc>
                          <w:tcPr>
                            <w:tcW w:w="1530" w:type="pct"/>
                            <w:tcBorders>
                              <w:top w:val="nil"/>
                              <w:left w:val="nil"/>
                              <w:bottom w:val="nil"/>
                              <w:right w:val="nil"/>
                            </w:tcBorders>
                            <w:shd w:val="clear" w:color="000000" w:fill="F0F0DC"/>
                            <w:vAlign w:val="bottom"/>
                            <w:hideMark/>
                          </w:tcPr>
                          <w:p w14:paraId="089205EE"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For the Fiscal Period Ending</w:t>
                            </w:r>
                          </w:p>
                        </w:tc>
                        <w:tc>
                          <w:tcPr>
                            <w:tcW w:w="483" w:type="pct"/>
                            <w:tcBorders>
                              <w:top w:val="nil"/>
                              <w:left w:val="nil"/>
                              <w:bottom w:val="nil"/>
                              <w:right w:val="nil"/>
                            </w:tcBorders>
                            <w:shd w:val="clear" w:color="000000" w:fill="F0F0DC"/>
                            <w:vAlign w:val="bottom"/>
                            <w:hideMark/>
                          </w:tcPr>
                          <w:p w14:paraId="64FA1FA6"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Sep-01-2019</w:t>
                            </w:r>
                          </w:p>
                        </w:tc>
                        <w:tc>
                          <w:tcPr>
                            <w:tcW w:w="483" w:type="pct"/>
                            <w:tcBorders>
                              <w:top w:val="nil"/>
                              <w:left w:val="nil"/>
                              <w:bottom w:val="nil"/>
                              <w:right w:val="nil"/>
                            </w:tcBorders>
                            <w:shd w:val="clear" w:color="000000" w:fill="F0F0DC"/>
                            <w:vAlign w:val="bottom"/>
                            <w:hideMark/>
                          </w:tcPr>
                          <w:p w14:paraId="6A9D193D"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Aug-30-2020</w:t>
                            </w:r>
                          </w:p>
                        </w:tc>
                        <w:tc>
                          <w:tcPr>
                            <w:tcW w:w="483" w:type="pct"/>
                            <w:tcBorders>
                              <w:top w:val="nil"/>
                              <w:left w:val="nil"/>
                              <w:bottom w:val="nil"/>
                              <w:right w:val="nil"/>
                            </w:tcBorders>
                            <w:shd w:val="clear" w:color="000000" w:fill="F0F0DC"/>
                            <w:vAlign w:val="bottom"/>
                            <w:hideMark/>
                          </w:tcPr>
                          <w:p w14:paraId="27DE359E"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Aug-29-2021</w:t>
                            </w:r>
                          </w:p>
                        </w:tc>
                        <w:tc>
                          <w:tcPr>
                            <w:tcW w:w="483" w:type="pct"/>
                            <w:tcBorders>
                              <w:top w:val="nil"/>
                              <w:left w:val="nil"/>
                              <w:bottom w:val="nil"/>
                              <w:right w:val="nil"/>
                            </w:tcBorders>
                            <w:shd w:val="clear" w:color="000000" w:fill="F0F0DC"/>
                            <w:vAlign w:val="bottom"/>
                            <w:hideMark/>
                          </w:tcPr>
                          <w:p w14:paraId="12BBBCED"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Aug-28-2022</w:t>
                            </w:r>
                          </w:p>
                        </w:tc>
                        <w:tc>
                          <w:tcPr>
                            <w:tcW w:w="483" w:type="pct"/>
                            <w:tcBorders>
                              <w:top w:val="nil"/>
                              <w:left w:val="nil"/>
                              <w:bottom w:val="nil"/>
                              <w:right w:val="nil"/>
                            </w:tcBorders>
                            <w:shd w:val="clear" w:color="000000" w:fill="F0F0DC"/>
                            <w:vAlign w:val="bottom"/>
                            <w:hideMark/>
                          </w:tcPr>
                          <w:p w14:paraId="474B915C"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Sep-03-2023</w:t>
                            </w:r>
                          </w:p>
                        </w:tc>
                        <w:tc>
                          <w:tcPr>
                            <w:tcW w:w="483" w:type="pct"/>
                            <w:tcBorders>
                              <w:top w:val="nil"/>
                              <w:left w:val="nil"/>
                              <w:bottom w:val="nil"/>
                              <w:right w:val="nil"/>
                            </w:tcBorders>
                            <w:shd w:val="clear" w:color="000000" w:fill="F0F0DC"/>
                            <w:vAlign w:val="bottom"/>
                            <w:hideMark/>
                          </w:tcPr>
                          <w:p w14:paraId="39145847"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12 months</w:t>
                            </w:r>
                            <w:r w:rsidRPr="00FF566C">
                              <w:rPr>
                                <w:rFonts w:ascii="Cambria" w:eastAsia="Times New Roman" w:hAnsi="Cambria" w:cs="Arial"/>
                                <w:b/>
                                <w:bCs/>
                                <w:color w:val="000000"/>
                                <w:kern w:val="0"/>
                                <w:sz w:val="14"/>
                                <w:szCs w:val="14"/>
                                <w:lang w:eastAsia="en-IN"/>
                                <w14:ligatures w14:val="none"/>
                              </w:rPr>
                              <w:br/>
                              <w:t>Sep-01-2024</w:t>
                            </w:r>
                          </w:p>
                        </w:tc>
                        <w:tc>
                          <w:tcPr>
                            <w:tcW w:w="572" w:type="pct"/>
                            <w:tcBorders>
                              <w:top w:val="nil"/>
                              <w:left w:val="nil"/>
                              <w:bottom w:val="nil"/>
                              <w:right w:val="nil"/>
                            </w:tcBorders>
                            <w:shd w:val="clear" w:color="000000" w:fill="F0F0DC"/>
                            <w:vAlign w:val="bottom"/>
                            <w:hideMark/>
                          </w:tcPr>
                          <w:p w14:paraId="5C8B7E2C" w14:textId="77777777" w:rsidR="00FF566C" w:rsidRPr="00FF566C" w:rsidRDefault="00FF566C" w:rsidP="00FF566C">
                            <w:pPr>
                              <w:spacing w:after="0" w:line="240" w:lineRule="auto"/>
                              <w:jc w:val="right"/>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LTM</w:t>
                            </w:r>
                            <w:r w:rsidRPr="00FF566C">
                              <w:rPr>
                                <w:rFonts w:ascii="Cambria" w:eastAsia="Times New Roman" w:hAnsi="Cambria" w:cs="Arial"/>
                                <w:b/>
                                <w:bCs/>
                                <w:color w:val="000000"/>
                                <w:kern w:val="0"/>
                                <w:sz w:val="14"/>
                                <w:szCs w:val="14"/>
                                <w:lang w:eastAsia="en-IN"/>
                                <w14:ligatures w14:val="none"/>
                              </w:rPr>
                              <w:br/>
                              <w:t>Press Release</w:t>
                            </w:r>
                            <w:r w:rsidRPr="00FF566C">
                              <w:rPr>
                                <w:rFonts w:ascii="Cambria" w:eastAsia="Times New Roman" w:hAnsi="Cambria" w:cs="Arial"/>
                                <w:b/>
                                <w:bCs/>
                                <w:color w:val="000000"/>
                                <w:kern w:val="0"/>
                                <w:sz w:val="14"/>
                                <w:szCs w:val="14"/>
                                <w:lang w:eastAsia="en-IN"/>
                                <w14:ligatures w14:val="none"/>
                              </w:rPr>
                              <w:br/>
                              <w:t>12 months</w:t>
                            </w:r>
                            <w:r w:rsidRPr="00FF566C">
                              <w:rPr>
                                <w:rFonts w:ascii="Cambria" w:eastAsia="Times New Roman" w:hAnsi="Cambria" w:cs="Arial"/>
                                <w:b/>
                                <w:bCs/>
                                <w:color w:val="000000"/>
                                <w:kern w:val="0"/>
                                <w:sz w:val="14"/>
                                <w:szCs w:val="14"/>
                                <w:lang w:eastAsia="en-IN"/>
                                <w14:ligatures w14:val="none"/>
                              </w:rPr>
                              <w:br/>
                              <w:t>Feb-16-2025</w:t>
                            </w:r>
                          </w:p>
                        </w:tc>
                      </w:tr>
                      <w:tr w:rsidR="00FF566C" w:rsidRPr="00FF566C" w14:paraId="7D7FE293" w14:textId="77777777" w:rsidTr="00FF566C">
                        <w:trPr>
                          <w:trHeight w:val="204"/>
                        </w:trPr>
                        <w:tc>
                          <w:tcPr>
                            <w:tcW w:w="1530" w:type="pct"/>
                            <w:tcBorders>
                              <w:top w:val="nil"/>
                              <w:left w:val="nil"/>
                              <w:bottom w:val="nil"/>
                              <w:right w:val="nil"/>
                            </w:tcBorders>
                            <w:noWrap/>
                            <w:hideMark/>
                          </w:tcPr>
                          <w:p w14:paraId="7E65AA9A"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Profitability</w:t>
                            </w:r>
                          </w:p>
                        </w:tc>
                        <w:tc>
                          <w:tcPr>
                            <w:tcW w:w="483" w:type="pct"/>
                            <w:tcBorders>
                              <w:top w:val="nil"/>
                              <w:left w:val="nil"/>
                              <w:bottom w:val="nil"/>
                              <w:right w:val="nil"/>
                            </w:tcBorders>
                            <w:noWrap/>
                            <w:hideMark/>
                          </w:tcPr>
                          <w:p w14:paraId="1D4ECEF5"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3664DF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6C9E91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AFF70E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49BBA3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544B27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477F662F"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1E34C14C" w14:textId="77777777" w:rsidTr="00FF566C">
                        <w:trPr>
                          <w:trHeight w:val="204"/>
                        </w:trPr>
                        <w:tc>
                          <w:tcPr>
                            <w:tcW w:w="1530" w:type="pct"/>
                            <w:tcBorders>
                              <w:top w:val="nil"/>
                              <w:left w:val="nil"/>
                              <w:bottom w:val="nil"/>
                              <w:right w:val="nil"/>
                            </w:tcBorders>
                            <w:noWrap/>
                            <w:hideMark/>
                          </w:tcPr>
                          <w:p w14:paraId="2E2428E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Assets %</w:t>
                            </w:r>
                          </w:p>
                        </w:tc>
                        <w:tc>
                          <w:tcPr>
                            <w:tcW w:w="483" w:type="pct"/>
                            <w:tcBorders>
                              <w:top w:val="nil"/>
                              <w:left w:val="nil"/>
                              <w:bottom w:val="nil"/>
                              <w:right w:val="nil"/>
                            </w:tcBorders>
                            <w:hideMark/>
                          </w:tcPr>
                          <w:p w14:paraId="3C40DC7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6.9% </w:t>
                            </w:r>
                          </w:p>
                        </w:tc>
                        <w:tc>
                          <w:tcPr>
                            <w:tcW w:w="483" w:type="pct"/>
                            <w:tcBorders>
                              <w:top w:val="nil"/>
                              <w:left w:val="nil"/>
                              <w:bottom w:val="nil"/>
                              <w:right w:val="nil"/>
                            </w:tcBorders>
                            <w:hideMark/>
                          </w:tcPr>
                          <w:p w14:paraId="1F557D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6.7% </w:t>
                            </w:r>
                          </w:p>
                        </w:tc>
                        <w:tc>
                          <w:tcPr>
                            <w:tcW w:w="483" w:type="pct"/>
                            <w:tcBorders>
                              <w:top w:val="nil"/>
                              <w:left w:val="nil"/>
                              <w:bottom w:val="nil"/>
                              <w:right w:val="nil"/>
                            </w:tcBorders>
                            <w:hideMark/>
                          </w:tcPr>
                          <w:p w14:paraId="2DCE5F4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 </w:t>
                            </w:r>
                          </w:p>
                        </w:tc>
                        <w:tc>
                          <w:tcPr>
                            <w:tcW w:w="483" w:type="pct"/>
                            <w:tcBorders>
                              <w:top w:val="nil"/>
                              <w:left w:val="nil"/>
                              <w:bottom w:val="nil"/>
                              <w:right w:val="nil"/>
                            </w:tcBorders>
                            <w:hideMark/>
                          </w:tcPr>
                          <w:p w14:paraId="612AB60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8.0% </w:t>
                            </w:r>
                          </w:p>
                        </w:tc>
                        <w:tc>
                          <w:tcPr>
                            <w:tcW w:w="483" w:type="pct"/>
                            <w:tcBorders>
                              <w:top w:val="nil"/>
                              <w:left w:val="nil"/>
                              <w:bottom w:val="nil"/>
                              <w:right w:val="nil"/>
                            </w:tcBorders>
                            <w:hideMark/>
                          </w:tcPr>
                          <w:p w14:paraId="3E963F6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8.0% </w:t>
                            </w:r>
                          </w:p>
                        </w:tc>
                        <w:tc>
                          <w:tcPr>
                            <w:tcW w:w="483" w:type="pct"/>
                            <w:tcBorders>
                              <w:top w:val="nil"/>
                              <w:left w:val="nil"/>
                              <w:bottom w:val="nil"/>
                              <w:right w:val="nil"/>
                            </w:tcBorders>
                            <w:hideMark/>
                          </w:tcPr>
                          <w:p w14:paraId="250C0F5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8.4% </w:t>
                            </w:r>
                          </w:p>
                        </w:tc>
                        <w:tc>
                          <w:tcPr>
                            <w:tcW w:w="572" w:type="pct"/>
                            <w:tcBorders>
                              <w:top w:val="nil"/>
                              <w:left w:val="nil"/>
                              <w:bottom w:val="nil"/>
                              <w:right w:val="nil"/>
                            </w:tcBorders>
                            <w:hideMark/>
                          </w:tcPr>
                          <w:p w14:paraId="5AB649A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8.7% </w:t>
                            </w:r>
                          </w:p>
                        </w:tc>
                      </w:tr>
                      <w:tr w:rsidR="00FF566C" w:rsidRPr="00FF566C" w14:paraId="10D76767" w14:textId="77777777" w:rsidTr="00FF566C">
                        <w:trPr>
                          <w:trHeight w:val="204"/>
                        </w:trPr>
                        <w:tc>
                          <w:tcPr>
                            <w:tcW w:w="1530" w:type="pct"/>
                            <w:tcBorders>
                              <w:top w:val="nil"/>
                              <w:left w:val="nil"/>
                              <w:bottom w:val="nil"/>
                              <w:right w:val="nil"/>
                            </w:tcBorders>
                            <w:noWrap/>
                            <w:hideMark/>
                          </w:tcPr>
                          <w:p w14:paraId="68E83F79"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Capital %</w:t>
                            </w:r>
                          </w:p>
                        </w:tc>
                        <w:tc>
                          <w:tcPr>
                            <w:tcW w:w="483" w:type="pct"/>
                            <w:tcBorders>
                              <w:top w:val="nil"/>
                              <w:left w:val="nil"/>
                              <w:bottom w:val="nil"/>
                              <w:right w:val="nil"/>
                            </w:tcBorders>
                            <w:hideMark/>
                          </w:tcPr>
                          <w:p w14:paraId="30D7EE0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13.9% </w:t>
                            </w:r>
                          </w:p>
                        </w:tc>
                        <w:tc>
                          <w:tcPr>
                            <w:tcW w:w="483" w:type="pct"/>
                            <w:tcBorders>
                              <w:top w:val="nil"/>
                              <w:left w:val="nil"/>
                              <w:bottom w:val="nil"/>
                              <w:right w:val="nil"/>
                            </w:tcBorders>
                            <w:hideMark/>
                          </w:tcPr>
                          <w:p w14:paraId="66D28F8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12.9% </w:t>
                            </w:r>
                          </w:p>
                        </w:tc>
                        <w:tc>
                          <w:tcPr>
                            <w:tcW w:w="483" w:type="pct"/>
                            <w:tcBorders>
                              <w:top w:val="nil"/>
                              <w:left w:val="nil"/>
                              <w:bottom w:val="nil"/>
                              <w:right w:val="nil"/>
                            </w:tcBorders>
                            <w:hideMark/>
                          </w:tcPr>
                          <w:p w14:paraId="36D90ED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14.3% </w:t>
                            </w:r>
                          </w:p>
                        </w:tc>
                        <w:tc>
                          <w:tcPr>
                            <w:tcW w:w="483" w:type="pct"/>
                            <w:tcBorders>
                              <w:top w:val="nil"/>
                              <w:left w:val="nil"/>
                              <w:bottom w:val="nil"/>
                              <w:right w:val="nil"/>
                            </w:tcBorders>
                            <w:hideMark/>
                          </w:tcPr>
                          <w:p w14:paraId="401B8EB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16.2% </w:t>
                            </w:r>
                          </w:p>
                        </w:tc>
                        <w:tc>
                          <w:tcPr>
                            <w:tcW w:w="483" w:type="pct"/>
                            <w:tcBorders>
                              <w:top w:val="nil"/>
                              <w:left w:val="nil"/>
                              <w:bottom w:val="nil"/>
                              <w:right w:val="nil"/>
                            </w:tcBorders>
                            <w:hideMark/>
                          </w:tcPr>
                          <w:p w14:paraId="7C400F2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15.8% </w:t>
                            </w:r>
                          </w:p>
                        </w:tc>
                        <w:tc>
                          <w:tcPr>
                            <w:tcW w:w="483" w:type="pct"/>
                            <w:tcBorders>
                              <w:top w:val="nil"/>
                              <w:left w:val="nil"/>
                              <w:bottom w:val="nil"/>
                              <w:right w:val="nil"/>
                            </w:tcBorders>
                            <w:hideMark/>
                          </w:tcPr>
                          <w:p w14:paraId="409215D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16.8% </w:t>
                            </w:r>
                          </w:p>
                        </w:tc>
                        <w:tc>
                          <w:tcPr>
                            <w:tcW w:w="572" w:type="pct"/>
                            <w:tcBorders>
                              <w:top w:val="nil"/>
                              <w:left w:val="nil"/>
                              <w:bottom w:val="nil"/>
                              <w:right w:val="nil"/>
                            </w:tcBorders>
                            <w:hideMark/>
                          </w:tcPr>
                          <w:p w14:paraId="3F5DE9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19.1% </w:t>
                            </w:r>
                          </w:p>
                        </w:tc>
                      </w:tr>
                      <w:tr w:rsidR="00FF566C" w:rsidRPr="00FF566C" w14:paraId="72CBE18E" w14:textId="77777777" w:rsidTr="00FF566C">
                        <w:trPr>
                          <w:trHeight w:val="204"/>
                        </w:trPr>
                        <w:tc>
                          <w:tcPr>
                            <w:tcW w:w="1530" w:type="pct"/>
                            <w:tcBorders>
                              <w:top w:val="nil"/>
                              <w:left w:val="nil"/>
                              <w:bottom w:val="nil"/>
                              <w:right w:val="nil"/>
                            </w:tcBorders>
                            <w:noWrap/>
                            <w:hideMark/>
                          </w:tcPr>
                          <w:p w14:paraId="32A6A59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Equity %</w:t>
                            </w:r>
                          </w:p>
                        </w:tc>
                        <w:tc>
                          <w:tcPr>
                            <w:tcW w:w="483" w:type="pct"/>
                            <w:tcBorders>
                              <w:top w:val="nil"/>
                              <w:left w:val="nil"/>
                              <w:bottom w:val="nil"/>
                              <w:right w:val="nil"/>
                            </w:tcBorders>
                            <w:hideMark/>
                          </w:tcPr>
                          <w:p w14:paraId="3E2AB2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25.8% </w:t>
                            </w:r>
                          </w:p>
                        </w:tc>
                        <w:tc>
                          <w:tcPr>
                            <w:tcW w:w="483" w:type="pct"/>
                            <w:tcBorders>
                              <w:top w:val="nil"/>
                              <w:left w:val="nil"/>
                              <w:bottom w:val="nil"/>
                              <w:right w:val="nil"/>
                            </w:tcBorders>
                            <w:hideMark/>
                          </w:tcPr>
                          <w:p w14:paraId="0721BC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23.7% </w:t>
                            </w:r>
                          </w:p>
                        </w:tc>
                        <w:tc>
                          <w:tcPr>
                            <w:tcW w:w="483" w:type="pct"/>
                            <w:tcBorders>
                              <w:top w:val="nil"/>
                              <w:left w:val="nil"/>
                              <w:bottom w:val="nil"/>
                              <w:right w:val="nil"/>
                            </w:tcBorders>
                            <w:hideMark/>
                          </w:tcPr>
                          <w:p w14:paraId="343AE92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27.6% </w:t>
                            </w:r>
                          </w:p>
                        </w:tc>
                        <w:tc>
                          <w:tcPr>
                            <w:tcW w:w="483" w:type="pct"/>
                            <w:tcBorders>
                              <w:top w:val="nil"/>
                              <w:left w:val="nil"/>
                              <w:bottom w:val="nil"/>
                              <w:right w:val="nil"/>
                            </w:tcBorders>
                            <w:hideMark/>
                          </w:tcPr>
                          <w:p w14:paraId="530F224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30.5% </w:t>
                            </w:r>
                          </w:p>
                        </w:tc>
                        <w:tc>
                          <w:tcPr>
                            <w:tcW w:w="483" w:type="pct"/>
                            <w:tcBorders>
                              <w:top w:val="nil"/>
                              <w:left w:val="nil"/>
                              <w:bottom w:val="nil"/>
                              <w:right w:val="nil"/>
                            </w:tcBorders>
                            <w:hideMark/>
                          </w:tcPr>
                          <w:p w14:paraId="06A2147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27.5% </w:t>
                            </w:r>
                          </w:p>
                        </w:tc>
                        <w:tc>
                          <w:tcPr>
                            <w:tcW w:w="483" w:type="pct"/>
                            <w:tcBorders>
                              <w:top w:val="nil"/>
                              <w:left w:val="nil"/>
                              <w:bottom w:val="nil"/>
                              <w:right w:val="nil"/>
                            </w:tcBorders>
                            <w:hideMark/>
                          </w:tcPr>
                          <w:p w14:paraId="12F7246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30.3% </w:t>
                            </w:r>
                          </w:p>
                        </w:tc>
                        <w:tc>
                          <w:tcPr>
                            <w:tcW w:w="572" w:type="pct"/>
                            <w:tcBorders>
                              <w:top w:val="nil"/>
                              <w:left w:val="nil"/>
                              <w:bottom w:val="nil"/>
                              <w:right w:val="nil"/>
                            </w:tcBorders>
                            <w:hideMark/>
                          </w:tcPr>
                          <w:p w14:paraId="2E3CEFE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32.9% </w:t>
                            </w:r>
                          </w:p>
                        </w:tc>
                      </w:tr>
                      <w:tr w:rsidR="00FF566C" w:rsidRPr="00FF566C" w14:paraId="6EC1F3C5" w14:textId="77777777" w:rsidTr="00FF566C">
                        <w:trPr>
                          <w:trHeight w:val="204"/>
                        </w:trPr>
                        <w:tc>
                          <w:tcPr>
                            <w:tcW w:w="1530" w:type="pct"/>
                            <w:tcBorders>
                              <w:top w:val="nil"/>
                              <w:left w:val="nil"/>
                              <w:bottom w:val="nil"/>
                              <w:right w:val="nil"/>
                            </w:tcBorders>
                            <w:noWrap/>
                            <w:hideMark/>
                          </w:tcPr>
                          <w:p w14:paraId="1298FBB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Return on Common Equity %</w:t>
                            </w:r>
                          </w:p>
                        </w:tc>
                        <w:tc>
                          <w:tcPr>
                            <w:tcW w:w="483" w:type="pct"/>
                            <w:tcBorders>
                              <w:top w:val="nil"/>
                              <w:left w:val="nil"/>
                              <w:bottom w:val="nil"/>
                              <w:right w:val="nil"/>
                            </w:tcBorders>
                            <w:hideMark/>
                          </w:tcPr>
                          <w:p w14:paraId="11FDBAD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26.1% </w:t>
                            </w:r>
                          </w:p>
                        </w:tc>
                        <w:tc>
                          <w:tcPr>
                            <w:tcW w:w="483" w:type="pct"/>
                            <w:tcBorders>
                              <w:top w:val="nil"/>
                              <w:left w:val="nil"/>
                              <w:bottom w:val="nil"/>
                              <w:right w:val="nil"/>
                            </w:tcBorders>
                            <w:hideMark/>
                          </w:tcPr>
                          <w:p w14:paraId="4DF624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c>
                          <w:tcPr>
                            <w:tcW w:w="483" w:type="pct"/>
                            <w:tcBorders>
                              <w:top w:val="nil"/>
                              <w:left w:val="nil"/>
                              <w:bottom w:val="nil"/>
                              <w:right w:val="nil"/>
                            </w:tcBorders>
                            <w:hideMark/>
                          </w:tcPr>
                          <w:p w14:paraId="76E10E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27.9% </w:t>
                            </w:r>
                          </w:p>
                        </w:tc>
                        <w:tc>
                          <w:tcPr>
                            <w:tcW w:w="483" w:type="pct"/>
                            <w:tcBorders>
                              <w:top w:val="nil"/>
                              <w:left w:val="nil"/>
                              <w:bottom w:val="nil"/>
                              <w:right w:val="nil"/>
                            </w:tcBorders>
                            <w:hideMark/>
                          </w:tcPr>
                          <w:p w14:paraId="3301525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30.6% </w:t>
                            </w:r>
                          </w:p>
                        </w:tc>
                        <w:tc>
                          <w:tcPr>
                            <w:tcW w:w="483" w:type="pct"/>
                            <w:tcBorders>
                              <w:top w:val="nil"/>
                              <w:left w:val="nil"/>
                              <w:bottom w:val="nil"/>
                              <w:right w:val="nil"/>
                            </w:tcBorders>
                            <w:hideMark/>
                          </w:tcPr>
                          <w:p w14:paraId="54C1CB1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27.5% </w:t>
                            </w:r>
                          </w:p>
                        </w:tc>
                        <w:tc>
                          <w:tcPr>
                            <w:tcW w:w="483" w:type="pct"/>
                            <w:tcBorders>
                              <w:top w:val="nil"/>
                              <w:left w:val="nil"/>
                              <w:bottom w:val="nil"/>
                              <w:right w:val="nil"/>
                            </w:tcBorders>
                            <w:hideMark/>
                          </w:tcPr>
                          <w:p w14:paraId="2998531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30.3% </w:t>
                            </w:r>
                          </w:p>
                        </w:tc>
                        <w:tc>
                          <w:tcPr>
                            <w:tcW w:w="572" w:type="pct"/>
                            <w:tcBorders>
                              <w:top w:val="nil"/>
                              <w:left w:val="nil"/>
                              <w:bottom w:val="nil"/>
                              <w:right w:val="nil"/>
                            </w:tcBorders>
                            <w:hideMark/>
                          </w:tcPr>
                          <w:p w14:paraId="53B8AC9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32.9% </w:t>
                            </w:r>
                          </w:p>
                        </w:tc>
                      </w:tr>
                      <w:tr w:rsidR="00FF566C" w:rsidRPr="00FF566C" w14:paraId="0307000D" w14:textId="77777777" w:rsidTr="00FF566C">
                        <w:trPr>
                          <w:trHeight w:val="204"/>
                        </w:trPr>
                        <w:tc>
                          <w:tcPr>
                            <w:tcW w:w="1530" w:type="pct"/>
                            <w:tcBorders>
                              <w:top w:val="nil"/>
                              <w:left w:val="nil"/>
                              <w:bottom w:val="nil"/>
                              <w:right w:val="nil"/>
                            </w:tcBorders>
                            <w:noWrap/>
                            <w:hideMark/>
                          </w:tcPr>
                          <w:p w14:paraId="21B1C162"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Margin Analysis</w:t>
                            </w:r>
                          </w:p>
                        </w:tc>
                        <w:tc>
                          <w:tcPr>
                            <w:tcW w:w="483" w:type="pct"/>
                            <w:tcBorders>
                              <w:top w:val="nil"/>
                              <w:left w:val="nil"/>
                              <w:bottom w:val="nil"/>
                              <w:right w:val="nil"/>
                            </w:tcBorders>
                            <w:noWrap/>
                            <w:hideMark/>
                          </w:tcPr>
                          <w:p w14:paraId="3B5486F9"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34CAC50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61F5EE8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2CC2EA5"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E2650F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EFD42E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54FCD868"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097461D0" w14:textId="77777777" w:rsidTr="00FF566C">
                        <w:trPr>
                          <w:trHeight w:val="204"/>
                        </w:trPr>
                        <w:tc>
                          <w:tcPr>
                            <w:tcW w:w="1530" w:type="pct"/>
                            <w:tcBorders>
                              <w:top w:val="nil"/>
                              <w:left w:val="nil"/>
                              <w:bottom w:val="nil"/>
                              <w:right w:val="nil"/>
                            </w:tcBorders>
                            <w:noWrap/>
                            <w:hideMark/>
                          </w:tcPr>
                          <w:p w14:paraId="3E99A646"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Gross Margin %</w:t>
                            </w:r>
                          </w:p>
                        </w:tc>
                        <w:tc>
                          <w:tcPr>
                            <w:tcW w:w="483" w:type="pct"/>
                            <w:tcBorders>
                              <w:top w:val="nil"/>
                              <w:left w:val="nil"/>
                              <w:bottom w:val="nil"/>
                              <w:right w:val="nil"/>
                            </w:tcBorders>
                            <w:hideMark/>
                          </w:tcPr>
                          <w:p w14:paraId="278CA4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13.0% </w:t>
                            </w:r>
                          </w:p>
                        </w:tc>
                        <w:tc>
                          <w:tcPr>
                            <w:tcW w:w="483" w:type="pct"/>
                            <w:tcBorders>
                              <w:top w:val="nil"/>
                              <w:left w:val="nil"/>
                              <w:bottom w:val="nil"/>
                              <w:right w:val="nil"/>
                            </w:tcBorders>
                            <w:hideMark/>
                          </w:tcPr>
                          <w:p w14:paraId="597F32C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13.1% </w:t>
                            </w:r>
                          </w:p>
                        </w:tc>
                        <w:tc>
                          <w:tcPr>
                            <w:tcW w:w="483" w:type="pct"/>
                            <w:tcBorders>
                              <w:top w:val="nil"/>
                              <w:left w:val="nil"/>
                              <w:bottom w:val="nil"/>
                              <w:right w:val="nil"/>
                            </w:tcBorders>
                            <w:hideMark/>
                          </w:tcPr>
                          <w:p w14:paraId="7FCD1B1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12.9% </w:t>
                            </w:r>
                          </w:p>
                        </w:tc>
                        <w:tc>
                          <w:tcPr>
                            <w:tcW w:w="483" w:type="pct"/>
                            <w:tcBorders>
                              <w:top w:val="nil"/>
                              <w:left w:val="nil"/>
                              <w:bottom w:val="nil"/>
                              <w:right w:val="nil"/>
                            </w:tcBorders>
                            <w:hideMark/>
                          </w:tcPr>
                          <w:p w14:paraId="7A95572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12.1% </w:t>
                            </w:r>
                          </w:p>
                        </w:tc>
                        <w:tc>
                          <w:tcPr>
                            <w:tcW w:w="483" w:type="pct"/>
                            <w:tcBorders>
                              <w:top w:val="nil"/>
                              <w:left w:val="nil"/>
                              <w:bottom w:val="nil"/>
                              <w:right w:val="nil"/>
                            </w:tcBorders>
                            <w:hideMark/>
                          </w:tcPr>
                          <w:p w14:paraId="4E3CB77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12.4% </w:t>
                            </w:r>
                          </w:p>
                        </w:tc>
                        <w:tc>
                          <w:tcPr>
                            <w:tcW w:w="483" w:type="pct"/>
                            <w:tcBorders>
                              <w:top w:val="nil"/>
                              <w:left w:val="nil"/>
                              <w:bottom w:val="nil"/>
                              <w:right w:val="nil"/>
                            </w:tcBorders>
                            <w:hideMark/>
                          </w:tcPr>
                          <w:p w14:paraId="0A56999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12.6% </w:t>
                            </w:r>
                          </w:p>
                        </w:tc>
                        <w:tc>
                          <w:tcPr>
                            <w:tcW w:w="572" w:type="pct"/>
                            <w:tcBorders>
                              <w:top w:val="nil"/>
                              <w:left w:val="nil"/>
                              <w:bottom w:val="nil"/>
                              <w:right w:val="nil"/>
                            </w:tcBorders>
                            <w:hideMark/>
                          </w:tcPr>
                          <w:p w14:paraId="374FBF8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12.7% </w:t>
                            </w:r>
                          </w:p>
                        </w:tc>
                      </w:tr>
                      <w:tr w:rsidR="00FF566C" w:rsidRPr="00FF566C" w14:paraId="0B67B243" w14:textId="77777777" w:rsidTr="00FF566C">
                        <w:trPr>
                          <w:trHeight w:val="204"/>
                        </w:trPr>
                        <w:tc>
                          <w:tcPr>
                            <w:tcW w:w="1530" w:type="pct"/>
                            <w:tcBorders>
                              <w:top w:val="nil"/>
                              <w:left w:val="nil"/>
                              <w:bottom w:val="nil"/>
                              <w:right w:val="nil"/>
                            </w:tcBorders>
                            <w:noWrap/>
                            <w:hideMark/>
                          </w:tcPr>
                          <w:p w14:paraId="50D91704"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SG&amp;A Margin %</w:t>
                            </w:r>
                          </w:p>
                        </w:tc>
                        <w:tc>
                          <w:tcPr>
                            <w:tcW w:w="483" w:type="pct"/>
                            <w:tcBorders>
                              <w:top w:val="nil"/>
                              <w:left w:val="nil"/>
                              <w:bottom w:val="nil"/>
                              <w:right w:val="nil"/>
                            </w:tcBorders>
                            <w:hideMark/>
                          </w:tcPr>
                          <w:p w14:paraId="3354E5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9.8% </w:t>
                            </w:r>
                          </w:p>
                        </w:tc>
                        <w:tc>
                          <w:tcPr>
                            <w:tcW w:w="483" w:type="pct"/>
                            <w:tcBorders>
                              <w:top w:val="nil"/>
                              <w:left w:val="nil"/>
                              <w:bottom w:val="nil"/>
                              <w:right w:val="nil"/>
                            </w:tcBorders>
                            <w:hideMark/>
                          </w:tcPr>
                          <w:p w14:paraId="5B073C0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9.8% </w:t>
                            </w:r>
                          </w:p>
                        </w:tc>
                        <w:tc>
                          <w:tcPr>
                            <w:tcW w:w="483" w:type="pct"/>
                            <w:tcBorders>
                              <w:top w:val="nil"/>
                              <w:left w:val="nil"/>
                              <w:bottom w:val="nil"/>
                              <w:right w:val="nil"/>
                            </w:tcBorders>
                            <w:hideMark/>
                          </w:tcPr>
                          <w:p w14:paraId="3F979A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9.4% </w:t>
                            </w:r>
                          </w:p>
                        </w:tc>
                        <w:tc>
                          <w:tcPr>
                            <w:tcW w:w="483" w:type="pct"/>
                            <w:tcBorders>
                              <w:top w:val="nil"/>
                              <w:left w:val="nil"/>
                              <w:bottom w:val="nil"/>
                              <w:right w:val="nil"/>
                            </w:tcBorders>
                            <w:hideMark/>
                          </w:tcPr>
                          <w:p w14:paraId="3603DB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8.7% </w:t>
                            </w:r>
                          </w:p>
                        </w:tc>
                        <w:tc>
                          <w:tcPr>
                            <w:tcW w:w="483" w:type="pct"/>
                            <w:tcBorders>
                              <w:top w:val="nil"/>
                              <w:left w:val="nil"/>
                              <w:bottom w:val="nil"/>
                              <w:right w:val="nil"/>
                            </w:tcBorders>
                            <w:hideMark/>
                          </w:tcPr>
                          <w:p w14:paraId="4CFABF8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8.9% </w:t>
                            </w:r>
                          </w:p>
                        </w:tc>
                        <w:tc>
                          <w:tcPr>
                            <w:tcW w:w="483" w:type="pct"/>
                            <w:tcBorders>
                              <w:top w:val="nil"/>
                              <w:left w:val="nil"/>
                              <w:bottom w:val="nil"/>
                              <w:right w:val="nil"/>
                            </w:tcBorders>
                            <w:hideMark/>
                          </w:tcPr>
                          <w:p w14:paraId="4A929AE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9.0% </w:t>
                            </w:r>
                          </w:p>
                        </w:tc>
                        <w:tc>
                          <w:tcPr>
                            <w:tcW w:w="572" w:type="pct"/>
                            <w:tcBorders>
                              <w:top w:val="nil"/>
                              <w:left w:val="nil"/>
                              <w:bottom w:val="nil"/>
                              <w:right w:val="nil"/>
                            </w:tcBorders>
                            <w:hideMark/>
                          </w:tcPr>
                          <w:p w14:paraId="754C4E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9.0% </w:t>
                            </w:r>
                          </w:p>
                        </w:tc>
                      </w:tr>
                      <w:tr w:rsidR="00FF566C" w:rsidRPr="00FF566C" w14:paraId="4D61E42E" w14:textId="77777777" w:rsidTr="00FF566C">
                        <w:trPr>
                          <w:trHeight w:val="204"/>
                        </w:trPr>
                        <w:tc>
                          <w:tcPr>
                            <w:tcW w:w="1530" w:type="pct"/>
                            <w:tcBorders>
                              <w:top w:val="nil"/>
                              <w:left w:val="nil"/>
                              <w:bottom w:val="nil"/>
                              <w:right w:val="nil"/>
                            </w:tcBorders>
                            <w:noWrap/>
                            <w:hideMark/>
                          </w:tcPr>
                          <w:p w14:paraId="242E71B5"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 Margin %</w:t>
                            </w:r>
                          </w:p>
                        </w:tc>
                        <w:tc>
                          <w:tcPr>
                            <w:tcW w:w="483" w:type="pct"/>
                            <w:tcBorders>
                              <w:top w:val="nil"/>
                              <w:left w:val="nil"/>
                              <w:bottom w:val="nil"/>
                              <w:right w:val="nil"/>
                            </w:tcBorders>
                            <w:hideMark/>
                          </w:tcPr>
                          <w:p w14:paraId="24CCFD8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4.1% </w:t>
                            </w:r>
                          </w:p>
                        </w:tc>
                        <w:tc>
                          <w:tcPr>
                            <w:tcW w:w="483" w:type="pct"/>
                            <w:tcBorders>
                              <w:top w:val="nil"/>
                              <w:left w:val="nil"/>
                              <w:bottom w:val="nil"/>
                              <w:right w:val="nil"/>
                            </w:tcBorders>
                            <w:hideMark/>
                          </w:tcPr>
                          <w:p w14:paraId="6726F68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 </w:t>
                            </w:r>
                          </w:p>
                        </w:tc>
                        <w:tc>
                          <w:tcPr>
                            <w:tcW w:w="483" w:type="pct"/>
                            <w:tcBorders>
                              <w:top w:val="nil"/>
                              <w:left w:val="nil"/>
                              <w:bottom w:val="nil"/>
                              <w:right w:val="nil"/>
                            </w:tcBorders>
                            <w:hideMark/>
                          </w:tcPr>
                          <w:p w14:paraId="5CCCE5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4.4% </w:t>
                            </w:r>
                          </w:p>
                        </w:tc>
                        <w:tc>
                          <w:tcPr>
                            <w:tcW w:w="483" w:type="pct"/>
                            <w:tcBorders>
                              <w:top w:val="nil"/>
                              <w:left w:val="nil"/>
                              <w:bottom w:val="nil"/>
                              <w:right w:val="nil"/>
                            </w:tcBorders>
                            <w:hideMark/>
                          </w:tcPr>
                          <w:p w14:paraId="3B8B340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4.3% </w:t>
                            </w:r>
                          </w:p>
                        </w:tc>
                        <w:tc>
                          <w:tcPr>
                            <w:tcW w:w="483" w:type="pct"/>
                            <w:tcBorders>
                              <w:top w:val="nil"/>
                              <w:left w:val="nil"/>
                              <w:bottom w:val="nil"/>
                              <w:right w:val="nil"/>
                            </w:tcBorders>
                            <w:hideMark/>
                          </w:tcPr>
                          <w:p w14:paraId="66580D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4.4% </w:t>
                            </w:r>
                          </w:p>
                        </w:tc>
                        <w:tc>
                          <w:tcPr>
                            <w:tcW w:w="483" w:type="pct"/>
                            <w:tcBorders>
                              <w:top w:val="nil"/>
                              <w:left w:val="nil"/>
                              <w:bottom w:val="nil"/>
                              <w:right w:val="nil"/>
                            </w:tcBorders>
                            <w:hideMark/>
                          </w:tcPr>
                          <w:p w14:paraId="5AFD100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4.5% </w:t>
                            </w:r>
                          </w:p>
                        </w:tc>
                        <w:tc>
                          <w:tcPr>
                            <w:tcW w:w="572" w:type="pct"/>
                            <w:tcBorders>
                              <w:top w:val="nil"/>
                              <w:left w:val="nil"/>
                              <w:bottom w:val="nil"/>
                              <w:right w:val="nil"/>
                            </w:tcBorders>
                            <w:hideMark/>
                          </w:tcPr>
                          <w:p w14:paraId="395D5A6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4.6% </w:t>
                            </w:r>
                          </w:p>
                        </w:tc>
                      </w:tr>
                      <w:tr w:rsidR="00FF566C" w:rsidRPr="00FF566C" w14:paraId="6537C7F5" w14:textId="77777777" w:rsidTr="00FF566C">
                        <w:trPr>
                          <w:trHeight w:val="204"/>
                        </w:trPr>
                        <w:tc>
                          <w:tcPr>
                            <w:tcW w:w="1530" w:type="pct"/>
                            <w:tcBorders>
                              <w:top w:val="nil"/>
                              <w:left w:val="nil"/>
                              <w:bottom w:val="nil"/>
                              <w:right w:val="nil"/>
                            </w:tcBorders>
                            <w:noWrap/>
                            <w:hideMark/>
                          </w:tcPr>
                          <w:p w14:paraId="3F7B8C7B"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EBITA Margin %</w:t>
                            </w:r>
                          </w:p>
                        </w:tc>
                        <w:tc>
                          <w:tcPr>
                            <w:tcW w:w="483" w:type="pct"/>
                            <w:tcBorders>
                              <w:top w:val="nil"/>
                              <w:left w:val="nil"/>
                              <w:bottom w:val="nil"/>
                              <w:right w:val="nil"/>
                            </w:tcBorders>
                            <w:hideMark/>
                          </w:tcPr>
                          <w:p w14:paraId="01C927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1CF835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3.3% </w:t>
                            </w:r>
                          </w:p>
                        </w:tc>
                        <w:tc>
                          <w:tcPr>
                            <w:tcW w:w="483" w:type="pct"/>
                            <w:tcBorders>
                              <w:top w:val="nil"/>
                              <w:left w:val="nil"/>
                              <w:bottom w:val="nil"/>
                              <w:right w:val="nil"/>
                            </w:tcBorders>
                            <w:hideMark/>
                          </w:tcPr>
                          <w:p w14:paraId="7926DFE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6369A0E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664F7A7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21AF7D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2FA1975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 </w:t>
                            </w:r>
                          </w:p>
                        </w:tc>
                      </w:tr>
                      <w:tr w:rsidR="00FF566C" w:rsidRPr="00FF566C" w14:paraId="2C40B5A0" w14:textId="77777777" w:rsidTr="00FF566C">
                        <w:trPr>
                          <w:trHeight w:val="204"/>
                        </w:trPr>
                        <w:tc>
                          <w:tcPr>
                            <w:tcW w:w="1530" w:type="pct"/>
                            <w:tcBorders>
                              <w:top w:val="nil"/>
                              <w:left w:val="nil"/>
                              <w:bottom w:val="nil"/>
                              <w:right w:val="nil"/>
                            </w:tcBorders>
                            <w:noWrap/>
                            <w:hideMark/>
                          </w:tcPr>
                          <w:p w14:paraId="27FEFCA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 Margin %</w:t>
                            </w:r>
                          </w:p>
                        </w:tc>
                        <w:tc>
                          <w:tcPr>
                            <w:tcW w:w="483" w:type="pct"/>
                            <w:tcBorders>
                              <w:top w:val="nil"/>
                              <w:left w:val="nil"/>
                              <w:bottom w:val="nil"/>
                              <w:right w:val="nil"/>
                            </w:tcBorders>
                            <w:hideMark/>
                          </w:tcPr>
                          <w:p w14:paraId="7C2FC67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4FDECD9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3.3% </w:t>
                            </w:r>
                          </w:p>
                        </w:tc>
                        <w:tc>
                          <w:tcPr>
                            <w:tcW w:w="483" w:type="pct"/>
                            <w:tcBorders>
                              <w:top w:val="nil"/>
                              <w:left w:val="nil"/>
                              <w:bottom w:val="nil"/>
                              <w:right w:val="nil"/>
                            </w:tcBorders>
                            <w:hideMark/>
                          </w:tcPr>
                          <w:p w14:paraId="31817FB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500D0D8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FCCFE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165B143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3F2291D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 </w:t>
                            </w:r>
                          </w:p>
                        </w:tc>
                      </w:tr>
                      <w:tr w:rsidR="00FF566C" w:rsidRPr="00FF566C" w14:paraId="68A13451" w14:textId="77777777" w:rsidTr="00FF566C">
                        <w:trPr>
                          <w:trHeight w:val="204"/>
                        </w:trPr>
                        <w:tc>
                          <w:tcPr>
                            <w:tcW w:w="1530" w:type="pct"/>
                            <w:tcBorders>
                              <w:top w:val="nil"/>
                              <w:left w:val="nil"/>
                              <w:bottom w:val="nil"/>
                              <w:right w:val="nil"/>
                            </w:tcBorders>
                            <w:noWrap/>
                            <w:hideMark/>
                          </w:tcPr>
                          <w:p w14:paraId="4984858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Earnings from Cont. Ops Margin %</w:t>
                            </w:r>
                          </w:p>
                        </w:tc>
                        <w:tc>
                          <w:tcPr>
                            <w:tcW w:w="483" w:type="pct"/>
                            <w:tcBorders>
                              <w:top w:val="nil"/>
                              <w:left w:val="nil"/>
                              <w:bottom w:val="nil"/>
                              <w:right w:val="nil"/>
                            </w:tcBorders>
                            <w:hideMark/>
                          </w:tcPr>
                          <w:p w14:paraId="7C0374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2B87A85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0E5192B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A76DF3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D5DD4D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43BAF4C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764C4FE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265A2960" w14:textId="77777777" w:rsidTr="00FF566C">
                        <w:trPr>
                          <w:trHeight w:val="204"/>
                        </w:trPr>
                        <w:tc>
                          <w:tcPr>
                            <w:tcW w:w="1530" w:type="pct"/>
                            <w:tcBorders>
                              <w:top w:val="nil"/>
                              <w:left w:val="nil"/>
                              <w:bottom w:val="nil"/>
                              <w:right w:val="nil"/>
                            </w:tcBorders>
                            <w:noWrap/>
                            <w:hideMark/>
                          </w:tcPr>
                          <w:p w14:paraId="0B60EFA8"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Income Margin %</w:t>
                            </w:r>
                          </w:p>
                        </w:tc>
                        <w:tc>
                          <w:tcPr>
                            <w:tcW w:w="483" w:type="pct"/>
                            <w:tcBorders>
                              <w:top w:val="nil"/>
                              <w:left w:val="nil"/>
                              <w:bottom w:val="nil"/>
                              <w:right w:val="nil"/>
                            </w:tcBorders>
                            <w:hideMark/>
                          </w:tcPr>
                          <w:p w14:paraId="20D6A68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65C00A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1356E8D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8301A1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38649E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734658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002855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6F8388AB" w14:textId="77777777" w:rsidTr="00FF566C">
                        <w:trPr>
                          <w:trHeight w:val="204"/>
                        </w:trPr>
                        <w:tc>
                          <w:tcPr>
                            <w:tcW w:w="1530" w:type="pct"/>
                            <w:tcBorders>
                              <w:top w:val="nil"/>
                              <w:left w:val="nil"/>
                              <w:bottom w:val="nil"/>
                              <w:right w:val="nil"/>
                            </w:tcBorders>
                            <w:noWrap/>
                            <w:hideMark/>
                          </w:tcPr>
                          <w:p w14:paraId="6BF20E28"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Income Avail. for Common Margin %</w:t>
                            </w:r>
                          </w:p>
                        </w:tc>
                        <w:tc>
                          <w:tcPr>
                            <w:tcW w:w="483" w:type="pct"/>
                            <w:tcBorders>
                              <w:top w:val="nil"/>
                              <w:left w:val="nil"/>
                              <w:bottom w:val="nil"/>
                              <w:right w:val="nil"/>
                            </w:tcBorders>
                            <w:hideMark/>
                          </w:tcPr>
                          <w:p w14:paraId="40160B4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28BC125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483" w:type="pct"/>
                            <w:tcBorders>
                              <w:top w:val="nil"/>
                              <w:left w:val="nil"/>
                              <w:bottom w:val="nil"/>
                              <w:right w:val="nil"/>
                            </w:tcBorders>
                            <w:hideMark/>
                          </w:tcPr>
                          <w:p w14:paraId="521862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0C79739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2A552FE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211B20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c>
                          <w:tcPr>
                            <w:tcW w:w="572" w:type="pct"/>
                            <w:tcBorders>
                              <w:top w:val="nil"/>
                              <w:left w:val="nil"/>
                              <w:bottom w:val="nil"/>
                              <w:right w:val="nil"/>
                            </w:tcBorders>
                            <w:hideMark/>
                          </w:tcPr>
                          <w:p w14:paraId="28AF7E0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 </w:t>
                            </w:r>
                          </w:p>
                        </w:tc>
                      </w:tr>
                      <w:tr w:rsidR="00FF566C" w:rsidRPr="00FF566C" w14:paraId="21620FD3" w14:textId="77777777" w:rsidTr="00FF566C">
                        <w:trPr>
                          <w:trHeight w:val="204"/>
                        </w:trPr>
                        <w:tc>
                          <w:tcPr>
                            <w:tcW w:w="1530" w:type="pct"/>
                            <w:tcBorders>
                              <w:top w:val="nil"/>
                              <w:left w:val="nil"/>
                              <w:bottom w:val="nil"/>
                              <w:right w:val="nil"/>
                            </w:tcBorders>
                            <w:noWrap/>
                            <w:hideMark/>
                          </w:tcPr>
                          <w:p w14:paraId="241F010F"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Normalized Net Income Margin %</w:t>
                            </w:r>
                          </w:p>
                        </w:tc>
                        <w:tc>
                          <w:tcPr>
                            <w:tcW w:w="483" w:type="pct"/>
                            <w:tcBorders>
                              <w:top w:val="nil"/>
                              <w:left w:val="nil"/>
                              <w:bottom w:val="nil"/>
                              <w:right w:val="nil"/>
                            </w:tcBorders>
                            <w:hideMark/>
                          </w:tcPr>
                          <w:p w14:paraId="5478568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1.9% </w:t>
                            </w:r>
                          </w:p>
                        </w:tc>
                        <w:tc>
                          <w:tcPr>
                            <w:tcW w:w="483" w:type="pct"/>
                            <w:tcBorders>
                              <w:top w:val="nil"/>
                              <w:left w:val="nil"/>
                              <w:bottom w:val="nil"/>
                              <w:right w:val="nil"/>
                            </w:tcBorders>
                            <w:hideMark/>
                          </w:tcPr>
                          <w:p w14:paraId="279BFD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2.0% </w:t>
                            </w:r>
                          </w:p>
                        </w:tc>
                        <w:tc>
                          <w:tcPr>
                            <w:tcW w:w="483" w:type="pct"/>
                            <w:tcBorders>
                              <w:top w:val="nil"/>
                              <w:left w:val="nil"/>
                              <w:bottom w:val="nil"/>
                              <w:right w:val="nil"/>
                            </w:tcBorders>
                            <w:hideMark/>
                          </w:tcPr>
                          <w:p w14:paraId="2654AD5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2.1% </w:t>
                            </w:r>
                          </w:p>
                        </w:tc>
                        <w:tc>
                          <w:tcPr>
                            <w:tcW w:w="483" w:type="pct"/>
                            <w:tcBorders>
                              <w:top w:val="nil"/>
                              <w:left w:val="nil"/>
                              <w:bottom w:val="nil"/>
                              <w:right w:val="nil"/>
                            </w:tcBorders>
                            <w:hideMark/>
                          </w:tcPr>
                          <w:p w14:paraId="198A85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c>
                          <w:tcPr>
                            <w:tcW w:w="483" w:type="pct"/>
                            <w:tcBorders>
                              <w:top w:val="nil"/>
                              <w:left w:val="nil"/>
                              <w:bottom w:val="nil"/>
                              <w:right w:val="nil"/>
                            </w:tcBorders>
                            <w:hideMark/>
                          </w:tcPr>
                          <w:p w14:paraId="721FF2A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4EACFF2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c>
                          <w:tcPr>
                            <w:tcW w:w="572" w:type="pct"/>
                            <w:tcBorders>
                              <w:top w:val="nil"/>
                              <w:left w:val="nil"/>
                              <w:bottom w:val="nil"/>
                              <w:right w:val="nil"/>
                            </w:tcBorders>
                            <w:hideMark/>
                          </w:tcPr>
                          <w:p w14:paraId="5DC6742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 </w:t>
                            </w:r>
                          </w:p>
                        </w:tc>
                      </w:tr>
                      <w:tr w:rsidR="00FF566C" w:rsidRPr="00FF566C" w14:paraId="52105E31" w14:textId="77777777" w:rsidTr="00FF566C">
                        <w:trPr>
                          <w:trHeight w:val="204"/>
                        </w:trPr>
                        <w:tc>
                          <w:tcPr>
                            <w:tcW w:w="1530" w:type="pct"/>
                            <w:tcBorders>
                              <w:top w:val="nil"/>
                              <w:left w:val="nil"/>
                              <w:bottom w:val="nil"/>
                              <w:right w:val="nil"/>
                            </w:tcBorders>
                            <w:noWrap/>
                            <w:hideMark/>
                          </w:tcPr>
                          <w:p w14:paraId="4A05D27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Levered Free Cash Flow Margin %</w:t>
                            </w:r>
                          </w:p>
                        </w:tc>
                        <w:tc>
                          <w:tcPr>
                            <w:tcW w:w="483" w:type="pct"/>
                            <w:tcBorders>
                              <w:top w:val="nil"/>
                              <w:left w:val="nil"/>
                              <w:bottom w:val="nil"/>
                              <w:right w:val="nil"/>
                            </w:tcBorders>
                            <w:hideMark/>
                          </w:tcPr>
                          <w:p w14:paraId="5C67FDA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1.7% </w:t>
                            </w:r>
                          </w:p>
                        </w:tc>
                        <w:tc>
                          <w:tcPr>
                            <w:tcW w:w="483" w:type="pct"/>
                            <w:tcBorders>
                              <w:top w:val="nil"/>
                              <w:left w:val="nil"/>
                              <w:bottom w:val="nil"/>
                              <w:right w:val="nil"/>
                            </w:tcBorders>
                            <w:hideMark/>
                          </w:tcPr>
                          <w:p w14:paraId="1C7A515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 </w:t>
                            </w:r>
                          </w:p>
                        </w:tc>
                        <w:tc>
                          <w:tcPr>
                            <w:tcW w:w="483" w:type="pct"/>
                            <w:tcBorders>
                              <w:top w:val="nil"/>
                              <w:left w:val="nil"/>
                              <w:bottom w:val="nil"/>
                              <w:right w:val="nil"/>
                            </w:tcBorders>
                            <w:hideMark/>
                          </w:tcPr>
                          <w:p w14:paraId="1B8EA15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c>
                          <w:tcPr>
                            <w:tcW w:w="483" w:type="pct"/>
                            <w:tcBorders>
                              <w:top w:val="nil"/>
                              <w:left w:val="nil"/>
                              <w:bottom w:val="nil"/>
                              <w:right w:val="nil"/>
                            </w:tcBorders>
                            <w:hideMark/>
                          </w:tcPr>
                          <w:p w14:paraId="49D045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1.0% </w:t>
                            </w:r>
                          </w:p>
                        </w:tc>
                        <w:tc>
                          <w:tcPr>
                            <w:tcW w:w="483" w:type="pct"/>
                            <w:tcBorders>
                              <w:top w:val="nil"/>
                              <w:left w:val="nil"/>
                              <w:bottom w:val="nil"/>
                              <w:right w:val="nil"/>
                            </w:tcBorders>
                            <w:hideMark/>
                          </w:tcPr>
                          <w:p w14:paraId="560035E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6120B3F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572" w:type="pct"/>
                            <w:tcBorders>
                              <w:top w:val="nil"/>
                              <w:left w:val="nil"/>
                              <w:bottom w:val="nil"/>
                              <w:right w:val="nil"/>
                            </w:tcBorders>
                            <w:hideMark/>
                          </w:tcPr>
                          <w:p w14:paraId="3EA4C46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2.1% </w:t>
                            </w:r>
                          </w:p>
                        </w:tc>
                      </w:tr>
                      <w:tr w:rsidR="00FF566C" w:rsidRPr="00FF566C" w14:paraId="76DF7915" w14:textId="77777777" w:rsidTr="00FF566C">
                        <w:trPr>
                          <w:trHeight w:val="204"/>
                        </w:trPr>
                        <w:tc>
                          <w:tcPr>
                            <w:tcW w:w="1530" w:type="pct"/>
                            <w:tcBorders>
                              <w:top w:val="nil"/>
                              <w:left w:val="nil"/>
                              <w:bottom w:val="nil"/>
                              <w:right w:val="nil"/>
                            </w:tcBorders>
                            <w:noWrap/>
                            <w:hideMark/>
                          </w:tcPr>
                          <w:p w14:paraId="58FA5A69"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Unlevered Free Cash Flow Margin %</w:t>
                            </w:r>
                          </w:p>
                        </w:tc>
                        <w:tc>
                          <w:tcPr>
                            <w:tcW w:w="483" w:type="pct"/>
                            <w:tcBorders>
                              <w:top w:val="nil"/>
                              <w:left w:val="nil"/>
                              <w:bottom w:val="nil"/>
                              <w:right w:val="nil"/>
                            </w:tcBorders>
                            <w:hideMark/>
                          </w:tcPr>
                          <w:p w14:paraId="176B5B7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483" w:type="pct"/>
                            <w:tcBorders>
                              <w:top w:val="nil"/>
                              <w:left w:val="nil"/>
                              <w:bottom w:val="nil"/>
                              <w:right w:val="nil"/>
                            </w:tcBorders>
                            <w:hideMark/>
                          </w:tcPr>
                          <w:p w14:paraId="0CA0BE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 </w:t>
                            </w:r>
                          </w:p>
                        </w:tc>
                        <w:tc>
                          <w:tcPr>
                            <w:tcW w:w="483" w:type="pct"/>
                            <w:tcBorders>
                              <w:top w:val="nil"/>
                              <w:left w:val="nil"/>
                              <w:bottom w:val="nil"/>
                              <w:right w:val="nil"/>
                            </w:tcBorders>
                            <w:hideMark/>
                          </w:tcPr>
                          <w:p w14:paraId="0DBCA94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19B7F83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1.1% </w:t>
                            </w:r>
                          </w:p>
                        </w:tc>
                        <w:tc>
                          <w:tcPr>
                            <w:tcW w:w="483" w:type="pct"/>
                            <w:tcBorders>
                              <w:top w:val="nil"/>
                              <w:left w:val="nil"/>
                              <w:bottom w:val="nil"/>
                              <w:right w:val="nil"/>
                            </w:tcBorders>
                            <w:hideMark/>
                          </w:tcPr>
                          <w:p w14:paraId="41BB335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 </w:t>
                            </w:r>
                          </w:p>
                        </w:tc>
                        <w:tc>
                          <w:tcPr>
                            <w:tcW w:w="483" w:type="pct"/>
                            <w:tcBorders>
                              <w:top w:val="nil"/>
                              <w:left w:val="nil"/>
                              <w:bottom w:val="nil"/>
                              <w:right w:val="nil"/>
                            </w:tcBorders>
                            <w:hideMark/>
                          </w:tcPr>
                          <w:p w14:paraId="45AE9CF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1.8% </w:t>
                            </w:r>
                          </w:p>
                        </w:tc>
                        <w:tc>
                          <w:tcPr>
                            <w:tcW w:w="572" w:type="pct"/>
                            <w:tcBorders>
                              <w:top w:val="nil"/>
                              <w:left w:val="nil"/>
                              <w:bottom w:val="nil"/>
                              <w:right w:val="nil"/>
                            </w:tcBorders>
                            <w:hideMark/>
                          </w:tcPr>
                          <w:p w14:paraId="56C8F80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2.2% </w:t>
                            </w:r>
                          </w:p>
                        </w:tc>
                      </w:tr>
                      <w:tr w:rsidR="00FF566C" w:rsidRPr="00FF566C" w14:paraId="26FB5021" w14:textId="77777777" w:rsidTr="00FF566C">
                        <w:trPr>
                          <w:trHeight w:val="204"/>
                        </w:trPr>
                        <w:tc>
                          <w:tcPr>
                            <w:tcW w:w="1530" w:type="pct"/>
                            <w:tcBorders>
                              <w:top w:val="nil"/>
                              <w:left w:val="nil"/>
                              <w:bottom w:val="nil"/>
                              <w:right w:val="nil"/>
                            </w:tcBorders>
                            <w:noWrap/>
                            <w:hideMark/>
                          </w:tcPr>
                          <w:p w14:paraId="76350D5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Asset Turnover</w:t>
                            </w:r>
                          </w:p>
                        </w:tc>
                        <w:tc>
                          <w:tcPr>
                            <w:tcW w:w="483" w:type="pct"/>
                            <w:tcBorders>
                              <w:top w:val="nil"/>
                              <w:left w:val="nil"/>
                              <w:bottom w:val="nil"/>
                              <w:right w:val="nil"/>
                            </w:tcBorders>
                            <w:noWrap/>
                            <w:hideMark/>
                          </w:tcPr>
                          <w:p w14:paraId="6C4DC66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EC14ABC"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85D0F1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0519153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2E4F9E5F"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F7B6F9D"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7D75B059"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3B241401" w14:textId="77777777" w:rsidTr="00FF566C">
                        <w:trPr>
                          <w:trHeight w:val="204"/>
                        </w:trPr>
                        <w:tc>
                          <w:tcPr>
                            <w:tcW w:w="1530" w:type="pct"/>
                            <w:tcBorders>
                              <w:top w:val="nil"/>
                              <w:left w:val="nil"/>
                              <w:bottom w:val="nil"/>
                              <w:right w:val="nil"/>
                            </w:tcBorders>
                            <w:noWrap/>
                            <w:hideMark/>
                          </w:tcPr>
                          <w:p w14:paraId="123DB6F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Asset Turnover</w:t>
                            </w:r>
                          </w:p>
                        </w:tc>
                        <w:tc>
                          <w:tcPr>
                            <w:tcW w:w="483" w:type="pct"/>
                            <w:tcBorders>
                              <w:top w:val="nil"/>
                              <w:left w:val="nil"/>
                              <w:bottom w:val="nil"/>
                              <w:right w:val="nil"/>
                            </w:tcBorders>
                            <w:hideMark/>
                          </w:tcPr>
                          <w:p w14:paraId="64A0E55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3.5x</w:t>
                            </w:r>
                          </w:p>
                        </w:tc>
                        <w:tc>
                          <w:tcPr>
                            <w:tcW w:w="483" w:type="pct"/>
                            <w:tcBorders>
                              <w:top w:val="nil"/>
                              <w:left w:val="nil"/>
                              <w:bottom w:val="nil"/>
                              <w:right w:val="nil"/>
                            </w:tcBorders>
                            <w:hideMark/>
                          </w:tcPr>
                          <w:p w14:paraId="0B8A28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3.3x</w:t>
                            </w:r>
                          </w:p>
                        </w:tc>
                        <w:tc>
                          <w:tcPr>
                            <w:tcW w:w="483" w:type="pct"/>
                            <w:tcBorders>
                              <w:top w:val="nil"/>
                              <w:left w:val="nil"/>
                              <w:bottom w:val="nil"/>
                              <w:right w:val="nil"/>
                            </w:tcBorders>
                            <w:hideMark/>
                          </w:tcPr>
                          <w:p w14:paraId="4E3202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3.4x</w:t>
                            </w:r>
                          </w:p>
                        </w:tc>
                        <w:tc>
                          <w:tcPr>
                            <w:tcW w:w="483" w:type="pct"/>
                            <w:tcBorders>
                              <w:top w:val="nil"/>
                              <w:left w:val="nil"/>
                              <w:bottom w:val="nil"/>
                              <w:right w:val="nil"/>
                            </w:tcBorders>
                            <w:hideMark/>
                          </w:tcPr>
                          <w:p w14:paraId="6FA9293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3.7x</w:t>
                            </w:r>
                          </w:p>
                        </w:tc>
                        <w:tc>
                          <w:tcPr>
                            <w:tcW w:w="483" w:type="pct"/>
                            <w:tcBorders>
                              <w:top w:val="nil"/>
                              <w:left w:val="nil"/>
                              <w:bottom w:val="nil"/>
                              <w:right w:val="nil"/>
                            </w:tcBorders>
                            <w:hideMark/>
                          </w:tcPr>
                          <w:p w14:paraId="479F924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3.6x</w:t>
                            </w:r>
                          </w:p>
                        </w:tc>
                        <w:tc>
                          <w:tcPr>
                            <w:tcW w:w="483" w:type="pct"/>
                            <w:tcBorders>
                              <w:top w:val="nil"/>
                              <w:left w:val="nil"/>
                              <w:bottom w:val="nil"/>
                              <w:right w:val="nil"/>
                            </w:tcBorders>
                            <w:hideMark/>
                          </w:tcPr>
                          <w:p w14:paraId="4FBC741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3.7x</w:t>
                            </w:r>
                          </w:p>
                        </w:tc>
                        <w:tc>
                          <w:tcPr>
                            <w:tcW w:w="572" w:type="pct"/>
                            <w:tcBorders>
                              <w:top w:val="nil"/>
                              <w:left w:val="nil"/>
                              <w:bottom w:val="nil"/>
                              <w:right w:val="nil"/>
                            </w:tcBorders>
                            <w:hideMark/>
                          </w:tcPr>
                          <w:p w14:paraId="0BBF0B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3.8x</w:t>
                            </w:r>
                          </w:p>
                        </w:tc>
                      </w:tr>
                      <w:tr w:rsidR="00FF566C" w:rsidRPr="00FF566C" w14:paraId="696B7116" w14:textId="77777777" w:rsidTr="00FF566C">
                        <w:trPr>
                          <w:trHeight w:val="204"/>
                        </w:trPr>
                        <w:tc>
                          <w:tcPr>
                            <w:tcW w:w="1530" w:type="pct"/>
                            <w:tcBorders>
                              <w:top w:val="nil"/>
                              <w:left w:val="nil"/>
                              <w:bottom w:val="nil"/>
                              <w:right w:val="nil"/>
                            </w:tcBorders>
                            <w:noWrap/>
                            <w:hideMark/>
                          </w:tcPr>
                          <w:p w14:paraId="722031B1"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Fixed Asset Turnover</w:t>
                            </w:r>
                          </w:p>
                        </w:tc>
                        <w:tc>
                          <w:tcPr>
                            <w:tcW w:w="483" w:type="pct"/>
                            <w:tcBorders>
                              <w:top w:val="nil"/>
                              <w:left w:val="nil"/>
                              <w:bottom w:val="nil"/>
                              <w:right w:val="nil"/>
                            </w:tcBorders>
                            <w:hideMark/>
                          </w:tcPr>
                          <w:p w14:paraId="581F508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7.5x</w:t>
                            </w:r>
                          </w:p>
                        </w:tc>
                        <w:tc>
                          <w:tcPr>
                            <w:tcW w:w="483" w:type="pct"/>
                            <w:tcBorders>
                              <w:top w:val="nil"/>
                              <w:left w:val="nil"/>
                              <w:bottom w:val="nil"/>
                              <w:right w:val="nil"/>
                            </w:tcBorders>
                            <w:hideMark/>
                          </w:tcPr>
                          <w:p w14:paraId="446052C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7.2x</w:t>
                            </w:r>
                          </w:p>
                        </w:tc>
                        <w:tc>
                          <w:tcPr>
                            <w:tcW w:w="483" w:type="pct"/>
                            <w:tcBorders>
                              <w:top w:val="nil"/>
                              <w:left w:val="nil"/>
                              <w:bottom w:val="nil"/>
                              <w:right w:val="nil"/>
                            </w:tcBorders>
                            <w:hideMark/>
                          </w:tcPr>
                          <w:p w14:paraId="3E54AE6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7.5x</w:t>
                            </w:r>
                          </w:p>
                        </w:tc>
                        <w:tc>
                          <w:tcPr>
                            <w:tcW w:w="483" w:type="pct"/>
                            <w:tcBorders>
                              <w:top w:val="nil"/>
                              <w:left w:val="nil"/>
                              <w:bottom w:val="nil"/>
                              <w:right w:val="nil"/>
                            </w:tcBorders>
                            <w:hideMark/>
                          </w:tcPr>
                          <w:p w14:paraId="51B386E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8.0x</w:t>
                            </w:r>
                          </w:p>
                        </w:tc>
                        <w:tc>
                          <w:tcPr>
                            <w:tcW w:w="483" w:type="pct"/>
                            <w:tcBorders>
                              <w:top w:val="nil"/>
                              <w:left w:val="nil"/>
                              <w:bottom w:val="nil"/>
                              <w:right w:val="nil"/>
                            </w:tcBorders>
                            <w:hideMark/>
                          </w:tcPr>
                          <w:p w14:paraId="6F4B0B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8.1x</w:t>
                            </w:r>
                          </w:p>
                        </w:tc>
                        <w:tc>
                          <w:tcPr>
                            <w:tcW w:w="483" w:type="pct"/>
                            <w:tcBorders>
                              <w:top w:val="nil"/>
                              <w:left w:val="nil"/>
                              <w:bottom w:val="nil"/>
                              <w:right w:val="nil"/>
                            </w:tcBorders>
                            <w:hideMark/>
                          </w:tcPr>
                          <w:p w14:paraId="2D03628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8.0x</w:t>
                            </w:r>
                          </w:p>
                        </w:tc>
                        <w:tc>
                          <w:tcPr>
                            <w:tcW w:w="572" w:type="pct"/>
                            <w:tcBorders>
                              <w:top w:val="nil"/>
                              <w:left w:val="nil"/>
                              <w:bottom w:val="nil"/>
                              <w:right w:val="nil"/>
                            </w:tcBorders>
                            <w:hideMark/>
                          </w:tcPr>
                          <w:p w14:paraId="75E83CA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8.4x</w:t>
                            </w:r>
                          </w:p>
                        </w:tc>
                      </w:tr>
                      <w:tr w:rsidR="00FF566C" w:rsidRPr="00FF566C" w14:paraId="2E83232F" w14:textId="77777777" w:rsidTr="00FF566C">
                        <w:trPr>
                          <w:trHeight w:val="204"/>
                        </w:trPr>
                        <w:tc>
                          <w:tcPr>
                            <w:tcW w:w="1530" w:type="pct"/>
                            <w:tcBorders>
                              <w:top w:val="nil"/>
                              <w:left w:val="nil"/>
                              <w:bottom w:val="nil"/>
                              <w:right w:val="nil"/>
                            </w:tcBorders>
                            <w:noWrap/>
                            <w:hideMark/>
                          </w:tcPr>
                          <w:p w14:paraId="59DE4F9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Accounts Receivable Turnover</w:t>
                            </w:r>
                          </w:p>
                        </w:tc>
                        <w:tc>
                          <w:tcPr>
                            <w:tcW w:w="483" w:type="pct"/>
                            <w:tcBorders>
                              <w:top w:val="nil"/>
                              <w:left w:val="nil"/>
                              <w:bottom w:val="nil"/>
                              <w:right w:val="nil"/>
                            </w:tcBorders>
                            <w:hideMark/>
                          </w:tcPr>
                          <w:p w14:paraId="40A0B5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95.3x</w:t>
                            </w:r>
                          </w:p>
                        </w:tc>
                        <w:tc>
                          <w:tcPr>
                            <w:tcW w:w="483" w:type="pct"/>
                            <w:tcBorders>
                              <w:top w:val="nil"/>
                              <w:left w:val="nil"/>
                              <w:bottom w:val="nil"/>
                              <w:right w:val="nil"/>
                            </w:tcBorders>
                            <w:hideMark/>
                          </w:tcPr>
                          <w:p w14:paraId="705B8D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108.1x</w:t>
                            </w:r>
                          </w:p>
                        </w:tc>
                        <w:tc>
                          <w:tcPr>
                            <w:tcW w:w="483" w:type="pct"/>
                            <w:tcBorders>
                              <w:top w:val="nil"/>
                              <w:left w:val="nil"/>
                              <w:bottom w:val="nil"/>
                              <w:right w:val="nil"/>
                            </w:tcBorders>
                            <w:hideMark/>
                          </w:tcPr>
                          <w:p w14:paraId="0341EFA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116.9x</w:t>
                            </w:r>
                          </w:p>
                        </w:tc>
                        <w:tc>
                          <w:tcPr>
                            <w:tcW w:w="483" w:type="pct"/>
                            <w:tcBorders>
                              <w:top w:val="nil"/>
                              <w:left w:val="nil"/>
                              <w:bottom w:val="nil"/>
                              <w:right w:val="nil"/>
                            </w:tcBorders>
                            <w:hideMark/>
                          </w:tcPr>
                          <w:p w14:paraId="13928F4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112.2x</w:t>
                            </w:r>
                          </w:p>
                        </w:tc>
                        <w:tc>
                          <w:tcPr>
                            <w:tcW w:w="483" w:type="pct"/>
                            <w:tcBorders>
                              <w:top w:val="nil"/>
                              <w:left w:val="nil"/>
                              <w:bottom w:val="nil"/>
                              <w:right w:val="nil"/>
                            </w:tcBorders>
                            <w:hideMark/>
                          </w:tcPr>
                          <w:p w14:paraId="788FCC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107.1x</w:t>
                            </w:r>
                          </w:p>
                        </w:tc>
                        <w:tc>
                          <w:tcPr>
                            <w:tcW w:w="483" w:type="pct"/>
                            <w:tcBorders>
                              <w:top w:val="nil"/>
                              <w:left w:val="nil"/>
                              <w:bottom w:val="nil"/>
                              <w:right w:val="nil"/>
                            </w:tcBorders>
                            <w:hideMark/>
                          </w:tcPr>
                          <w:p w14:paraId="3F9C61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101.7x</w:t>
                            </w:r>
                          </w:p>
                        </w:tc>
                        <w:tc>
                          <w:tcPr>
                            <w:tcW w:w="572" w:type="pct"/>
                            <w:tcBorders>
                              <w:top w:val="nil"/>
                              <w:left w:val="nil"/>
                              <w:bottom w:val="nil"/>
                              <w:right w:val="nil"/>
                            </w:tcBorders>
                            <w:hideMark/>
                          </w:tcPr>
                          <w:p w14:paraId="6D4FEEA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90.5x</w:t>
                            </w:r>
                          </w:p>
                        </w:tc>
                      </w:tr>
                      <w:tr w:rsidR="00FF566C" w:rsidRPr="00FF566C" w14:paraId="21C03CAE" w14:textId="77777777" w:rsidTr="00FF566C">
                        <w:trPr>
                          <w:trHeight w:val="204"/>
                        </w:trPr>
                        <w:tc>
                          <w:tcPr>
                            <w:tcW w:w="1530" w:type="pct"/>
                            <w:tcBorders>
                              <w:top w:val="nil"/>
                              <w:left w:val="nil"/>
                              <w:bottom w:val="nil"/>
                              <w:right w:val="nil"/>
                            </w:tcBorders>
                            <w:noWrap/>
                            <w:hideMark/>
                          </w:tcPr>
                          <w:p w14:paraId="77E983A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Inventory Turnover</w:t>
                            </w:r>
                          </w:p>
                        </w:tc>
                        <w:tc>
                          <w:tcPr>
                            <w:tcW w:w="483" w:type="pct"/>
                            <w:tcBorders>
                              <w:top w:val="nil"/>
                              <w:left w:val="nil"/>
                              <w:bottom w:val="nil"/>
                              <w:right w:val="nil"/>
                            </w:tcBorders>
                            <w:hideMark/>
                          </w:tcPr>
                          <w:p w14:paraId="546BDB9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11.8x</w:t>
                            </w:r>
                          </w:p>
                        </w:tc>
                        <w:tc>
                          <w:tcPr>
                            <w:tcW w:w="483" w:type="pct"/>
                            <w:tcBorders>
                              <w:top w:val="nil"/>
                              <w:left w:val="nil"/>
                              <w:bottom w:val="nil"/>
                              <w:right w:val="nil"/>
                            </w:tcBorders>
                            <w:hideMark/>
                          </w:tcPr>
                          <w:p w14:paraId="48D3B52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12.3x</w:t>
                            </w:r>
                          </w:p>
                        </w:tc>
                        <w:tc>
                          <w:tcPr>
                            <w:tcW w:w="483" w:type="pct"/>
                            <w:tcBorders>
                              <w:top w:val="nil"/>
                              <w:left w:val="nil"/>
                              <w:bottom w:val="nil"/>
                              <w:right w:val="nil"/>
                            </w:tcBorders>
                            <w:hideMark/>
                          </w:tcPr>
                          <w:p w14:paraId="7CDA553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12.9x</w:t>
                            </w:r>
                          </w:p>
                        </w:tc>
                        <w:tc>
                          <w:tcPr>
                            <w:tcW w:w="483" w:type="pct"/>
                            <w:tcBorders>
                              <w:top w:val="nil"/>
                              <w:left w:val="nil"/>
                              <w:bottom w:val="nil"/>
                              <w:right w:val="nil"/>
                            </w:tcBorders>
                            <w:hideMark/>
                          </w:tcPr>
                          <w:p w14:paraId="5F03FEF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12.4x</w:t>
                            </w:r>
                          </w:p>
                        </w:tc>
                        <w:tc>
                          <w:tcPr>
                            <w:tcW w:w="483" w:type="pct"/>
                            <w:tcBorders>
                              <w:top w:val="nil"/>
                              <w:left w:val="nil"/>
                              <w:bottom w:val="nil"/>
                              <w:right w:val="nil"/>
                            </w:tcBorders>
                            <w:hideMark/>
                          </w:tcPr>
                          <w:p w14:paraId="3759176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12.3x</w:t>
                            </w:r>
                          </w:p>
                        </w:tc>
                        <w:tc>
                          <w:tcPr>
                            <w:tcW w:w="483" w:type="pct"/>
                            <w:tcBorders>
                              <w:top w:val="nil"/>
                              <w:left w:val="nil"/>
                              <w:bottom w:val="nil"/>
                              <w:right w:val="nil"/>
                            </w:tcBorders>
                            <w:hideMark/>
                          </w:tcPr>
                          <w:p w14:paraId="6FE4BEA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12.6x</w:t>
                            </w:r>
                          </w:p>
                        </w:tc>
                        <w:tc>
                          <w:tcPr>
                            <w:tcW w:w="572" w:type="pct"/>
                            <w:tcBorders>
                              <w:top w:val="nil"/>
                              <w:left w:val="nil"/>
                              <w:bottom w:val="nil"/>
                              <w:right w:val="nil"/>
                            </w:tcBorders>
                            <w:hideMark/>
                          </w:tcPr>
                          <w:p w14:paraId="3573423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12.9x</w:t>
                            </w:r>
                          </w:p>
                        </w:tc>
                      </w:tr>
                      <w:tr w:rsidR="00FF566C" w:rsidRPr="00FF566C" w14:paraId="3CBF6F85" w14:textId="77777777" w:rsidTr="00FF566C">
                        <w:trPr>
                          <w:trHeight w:val="204"/>
                        </w:trPr>
                        <w:tc>
                          <w:tcPr>
                            <w:tcW w:w="1530" w:type="pct"/>
                            <w:tcBorders>
                              <w:top w:val="nil"/>
                              <w:left w:val="nil"/>
                              <w:bottom w:val="nil"/>
                              <w:right w:val="nil"/>
                            </w:tcBorders>
                            <w:noWrap/>
                            <w:hideMark/>
                          </w:tcPr>
                          <w:p w14:paraId="66E4ACFC"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Short Term Liquidity</w:t>
                            </w:r>
                          </w:p>
                        </w:tc>
                        <w:tc>
                          <w:tcPr>
                            <w:tcW w:w="483" w:type="pct"/>
                            <w:tcBorders>
                              <w:top w:val="nil"/>
                              <w:left w:val="nil"/>
                              <w:bottom w:val="nil"/>
                              <w:right w:val="nil"/>
                            </w:tcBorders>
                            <w:noWrap/>
                            <w:hideMark/>
                          </w:tcPr>
                          <w:p w14:paraId="6DCD2E37"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7372D8A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17EF9036"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5C7C2AF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22899DFA"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147E3B8B"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49BEEE0E"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4A5E923C" w14:textId="77777777" w:rsidTr="00FF566C">
                        <w:trPr>
                          <w:trHeight w:val="204"/>
                        </w:trPr>
                        <w:tc>
                          <w:tcPr>
                            <w:tcW w:w="1530" w:type="pct"/>
                            <w:tcBorders>
                              <w:top w:val="nil"/>
                              <w:left w:val="nil"/>
                              <w:bottom w:val="nil"/>
                              <w:right w:val="nil"/>
                            </w:tcBorders>
                            <w:noWrap/>
                            <w:hideMark/>
                          </w:tcPr>
                          <w:p w14:paraId="17261264"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Current Ratio</w:t>
                            </w:r>
                          </w:p>
                        </w:tc>
                        <w:tc>
                          <w:tcPr>
                            <w:tcW w:w="483" w:type="pct"/>
                            <w:tcBorders>
                              <w:top w:val="nil"/>
                              <w:left w:val="nil"/>
                              <w:bottom w:val="nil"/>
                              <w:right w:val="nil"/>
                            </w:tcBorders>
                            <w:hideMark/>
                          </w:tcPr>
                          <w:p w14:paraId="2A9C4E5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4976021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4F3A5BA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0CDB242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4E07E4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1FE85D1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572" w:type="pct"/>
                            <w:tcBorders>
                              <w:top w:val="nil"/>
                              <w:left w:val="nil"/>
                              <w:bottom w:val="nil"/>
                              <w:right w:val="nil"/>
                            </w:tcBorders>
                            <w:hideMark/>
                          </w:tcPr>
                          <w:p w14:paraId="3047B7A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r>
                      <w:tr w:rsidR="00FF566C" w:rsidRPr="00FF566C" w14:paraId="4FB08AAE" w14:textId="77777777" w:rsidTr="00FF566C">
                        <w:trPr>
                          <w:trHeight w:val="204"/>
                        </w:trPr>
                        <w:tc>
                          <w:tcPr>
                            <w:tcW w:w="1530" w:type="pct"/>
                            <w:tcBorders>
                              <w:top w:val="nil"/>
                              <w:left w:val="nil"/>
                              <w:bottom w:val="nil"/>
                              <w:right w:val="nil"/>
                            </w:tcBorders>
                            <w:noWrap/>
                            <w:hideMark/>
                          </w:tcPr>
                          <w:p w14:paraId="291CE396"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Quick Ratio</w:t>
                            </w:r>
                          </w:p>
                        </w:tc>
                        <w:tc>
                          <w:tcPr>
                            <w:tcW w:w="483" w:type="pct"/>
                            <w:tcBorders>
                              <w:top w:val="nil"/>
                              <w:left w:val="nil"/>
                              <w:bottom w:val="nil"/>
                              <w:right w:val="nil"/>
                            </w:tcBorders>
                            <w:hideMark/>
                          </w:tcPr>
                          <w:p w14:paraId="5453B88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2ADACE0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0.6x</w:t>
                            </w:r>
                          </w:p>
                        </w:tc>
                        <w:tc>
                          <w:tcPr>
                            <w:tcW w:w="483" w:type="pct"/>
                            <w:tcBorders>
                              <w:top w:val="nil"/>
                              <w:left w:val="nil"/>
                              <w:bottom w:val="nil"/>
                              <w:right w:val="nil"/>
                            </w:tcBorders>
                            <w:hideMark/>
                          </w:tcPr>
                          <w:p w14:paraId="271E210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49E6F95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483" w:type="pct"/>
                            <w:tcBorders>
                              <w:top w:val="nil"/>
                              <w:left w:val="nil"/>
                              <w:bottom w:val="nil"/>
                              <w:right w:val="nil"/>
                            </w:tcBorders>
                            <w:hideMark/>
                          </w:tcPr>
                          <w:p w14:paraId="3CF9587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0.5x</w:t>
                            </w:r>
                          </w:p>
                        </w:tc>
                        <w:tc>
                          <w:tcPr>
                            <w:tcW w:w="483" w:type="pct"/>
                            <w:tcBorders>
                              <w:top w:val="nil"/>
                              <w:left w:val="nil"/>
                              <w:bottom w:val="nil"/>
                              <w:right w:val="nil"/>
                            </w:tcBorders>
                            <w:hideMark/>
                          </w:tcPr>
                          <w:p w14:paraId="44C4052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572" w:type="pct"/>
                            <w:tcBorders>
                              <w:top w:val="nil"/>
                              <w:left w:val="nil"/>
                              <w:bottom w:val="nil"/>
                              <w:right w:val="nil"/>
                            </w:tcBorders>
                            <w:hideMark/>
                          </w:tcPr>
                          <w:p w14:paraId="2F078CC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r>
                      <w:tr w:rsidR="00FF566C" w:rsidRPr="00FF566C" w14:paraId="304C2571" w14:textId="77777777" w:rsidTr="00FF566C">
                        <w:trPr>
                          <w:trHeight w:val="204"/>
                        </w:trPr>
                        <w:tc>
                          <w:tcPr>
                            <w:tcW w:w="1530" w:type="pct"/>
                            <w:tcBorders>
                              <w:top w:val="nil"/>
                              <w:left w:val="nil"/>
                              <w:bottom w:val="nil"/>
                              <w:right w:val="nil"/>
                            </w:tcBorders>
                            <w:noWrap/>
                            <w:hideMark/>
                          </w:tcPr>
                          <w:p w14:paraId="42C50DA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Cash from Ops. to Curr. </w:t>
                            </w:r>
                            <w:r w:rsidRPr="00FF566C">
                              <w:rPr>
                                <w:rFonts w:ascii="Cambria" w:eastAsia="Times New Roman" w:hAnsi="Cambria" w:cs="Arial"/>
                                <w:color w:val="000000"/>
                                <w:kern w:val="0"/>
                                <w:sz w:val="14"/>
                                <w:szCs w:val="14"/>
                                <w:lang w:eastAsia="en-IN"/>
                                <w14:ligatures w14:val="none"/>
                              </w:rPr>
                              <w:t>Liab.</w:t>
                            </w:r>
                          </w:p>
                        </w:tc>
                        <w:tc>
                          <w:tcPr>
                            <w:tcW w:w="483" w:type="pct"/>
                            <w:tcBorders>
                              <w:top w:val="nil"/>
                              <w:left w:val="nil"/>
                              <w:bottom w:val="nil"/>
                              <w:right w:val="nil"/>
                            </w:tcBorders>
                            <w:hideMark/>
                          </w:tcPr>
                          <w:p w14:paraId="1CA899D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0B231B2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0.4x</w:t>
                            </w:r>
                          </w:p>
                        </w:tc>
                        <w:tc>
                          <w:tcPr>
                            <w:tcW w:w="483" w:type="pct"/>
                            <w:tcBorders>
                              <w:top w:val="nil"/>
                              <w:left w:val="nil"/>
                              <w:bottom w:val="nil"/>
                              <w:right w:val="nil"/>
                            </w:tcBorders>
                            <w:hideMark/>
                          </w:tcPr>
                          <w:p w14:paraId="5CD5BB0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0E73D74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0.2x</w:t>
                            </w:r>
                          </w:p>
                        </w:tc>
                        <w:tc>
                          <w:tcPr>
                            <w:tcW w:w="483" w:type="pct"/>
                            <w:tcBorders>
                              <w:top w:val="nil"/>
                              <w:left w:val="nil"/>
                              <w:bottom w:val="nil"/>
                              <w:right w:val="nil"/>
                            </w:tcBorders>
                            <w:hideMark/>
                          </w:tcPr>
                          <w:p w14:paraId="0D1778D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483" w:type="pct"/>
                            <w:tcBorders>
                              <w:top w:val="nil"/>
                              <w:left w:val="nil"/>
                              <w:bottom w:val="nil"/>
                              <w:right w:val="nil"/>
                            </w:tcBorders>
                            <w:hideMark/>
                          </w:tcPr>
                          <w:p w14:paraId="5882CD9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c>
                          <w:tcPr>
                            <w:tcW w:w="572" w:type="pct"/>
                            <w:tcBorders>
                              <w:top w:val="nil"/>
                              <w:left w:val="nil"/>
                              <w:bottom w:val="nil"/>
                              <w:right w:val="nil"/>
                            </w:tcBorders>
                            <w:hideMark/>
                          </w:tcPr>
                          <w:p w14:paraId="2D1596E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0.3x</w:t>
                            </w:r>
                          </w:p>
                        </w:tc>
                      </w:tr>
                      <w:tr w:rsidR="00FF566C" w:rsidRPr="00FF566C" w14:paraId="0B3E100E" w14:textId="77777777" w:rsidTr="00FF566C">
                        <w:trPr>
                          <w:trHeight w:val="204"/>
                        </w:trPr>
                        <w:tc>
                          <w:tcPr>
                            <w:tcW w:w="1530" w:type="pct"/>
                            <w:tcBorders>
                              <w:top w:val="nil"/>
                              <w:left w:val="nil"/>
                              <w:bottom w:val="nil"/>
                              <w:right w:val="nil"/>
                            </w:tcBorders>
                            <w:noWrap/>
                            <w:hideMark/>
                          </w:tcPr>
                          <w:p w14:paraId="744538F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Sales Out.</w:t>
                            </w:r>
                          </w:p>
                        </w:tc>
                        <w:tc>
                          <w:tcPr>
                            <w:tcW w:w="483" w:type="pct"/>
                            <w:tcBorders>
                              <w:top w:val="nil"/>
                              <w:left w:val="nil"/>
                              <w:bottom w:val="nil"/>
                              <w:right w:val="nil"/>
                            </w:tcBorders>
                            <w:hideMark/>
                          </w:tcPr>
                          <w:p w14:paraId="1EA8330E"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3.8 </w:t>
                            </w:r>
                          </w:p>
                        </w:tc>
                        <w:tc>
                          <w:tcPr>
                            <w:tcW w:w="483" w:type="pct"/>
                            <w:tcBorders>
                              <w:top w:val="nil"/>
                              <w:left w:val="nil"/>
                              <w:bottom w:val="nil"/>
                              <w:right w:val="nil"/>
                            </w:tcBorders>
                            <w:hideMark/>
                          </w:tcPr>
                          <w:p w14:paraId="35BB5E5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3.4 </w:t>
                            </w:r>
                          </w:p>
                        </w:tc>
                        <w:tc>
                          <w:tcPr>
                            <w:tcW w:w="483" w:type="pct"/>
                            <w:tcBorders>
                              <w:top w:val="nil"/>
                              <w:left w:val="nil"/>
                              <w:bottom w:val="nil"/>
                              <w:right w:val="nil"/>
                            </w:tcBorders>
                            <w:hideMark/>
                          </w:tcPr>
                          <w:p w14:paraId="701F7A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 </w:t>
                            </w:r>
                          </w:p>
                        </w:tc>
                        <w:tc>
                          <w:tcPr>
                            <w:tcW w:w="483" w:type="pct"/>
                            <w:tcBorders>
                              <w:top w:val="nil"/>
                              <w:left w:val="nil"/>
                              <w:bottom w:val="nil"/>
                              <w:right w:val="nil"/>
                            </w:tcBorders>
                            <w:hideMark/>
                          </w:tcPr>
                          <w:p w14:paraId="02A6093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 </w:t>
                            </w:r>
                          </w:p>
                        </w:tc>
                        <w:tc>
                          <w:tcPr>
                            <w:tcW w:w="483" w:type="pct"/>
                            <w:tcBorders>
                              <w:top w:val="nil"/>
                              <w:left w:val="nil"/>
                              <w:bottom w:val="nil"/>
                              <w:right w:val="nil"/>
                            </w:tcBorders>
                            <w:hideMark/>
                          </w:tcPr>
                          <w:p w14:paraId="36BB7AB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 </w:t>
                            </w:r>
                          </w:p>
                        </w:tc>
                        <w:tc>
                          <w:tcPr>
                            <w:tcW w:w="483" w:type="pct"/>
                            <w:tcBorders>
                              <w:top w:val="nil"/>
                              <w:left w:val="nil"/>
                              <w:bottom w:val="nil"/>
                              <w:right w:val="nil"/>
                            </w:tcBorders>
                            <w:hideMark/>
                          </w:tcPr>
                          <w:p w14:paraId="515E7C4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 </w:t>
                            </w:r>
                          </w:p>
                        </w:tc>
                        <w:tc>
                          <w:tcPr>
                            <w:tcW w:w="572" w:type="pct"/>
                            <w:tcBorders>
                              <w:top w:val="nil"/>
                              <w:left w:val="nil"/>
                              <w:bottom w:val="nil"/>
                              <w:right w:val="nil"/>
                            </w:tcBorders>
                            <w:hideMark/>
                          </w:tcPr>
                          <w:p w14:paraId="30D234B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 </w:t>
                            </w:r>
                          </w:p>
                        </w:tc>
                      </w:tr>
                      <w:tr w:rsidR="00FF566C" w:rsidRPr="00FF566C" w14:paraId="43919853" w14:textId="77777777" w:rsidTr="00FF566C">
                        <w:trPr>
                          <w:trHeight w:val="204"/>
                        </w:trPr>
                        <w:tc>
                          <w:tcPr>
                            <w:tcW w:w="1530" w:type="pct"/>
                            <w:tcBorders>
                              <w:top w:val="nil"/>
                              <w:left w:val="nil"/>
                              <w:bottom w:val="nil"/>
                              <w:right w:val="nil"/>
                            </w:tcBorders>
                            <w:noWrap/>
                            <w:hideMark/>
                          </w:tcPr>
                          <w:p w14:paraId="66FA90F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Inventory Out.</w:t>
                            </w:r>
                          </w:p>
                        </w:tc>
                        <w:tc>
                          <w:tcPr>
                            <w:tcW w:w="483" w:type="pct"/>
                            <w:tcBorders>
                              <w:top w:val="nil"/>
                              <w:left w:val="nil"/>
                              <w:bottom w:val="nil"/>
                              <w:right w:val="nil"/>
                            </w:tcBorders>
                            <w:hideMark/>
                          </w:tcPr>
                          <w:p w14:paraId="3597860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30.7 </w:t>
                            </w:r>
                          </w:p>
                        </w:tc>
                        <w:tc>
                          <w:tcPr>
                            <w:tcW w:w="483" w:type="pct"/>
                            <w:tcBorders>
                              <w:top w:val="nil"/>
                              <w:left w:val="nil"/>
                              <w:bottom w:val="nil"/>
                              <w:right w:val="nil"/>
                            </w:tcBorders>
                            <w:hideMark/>
                          </w:tcPr>
                          <w:p w14:paraId="10FDAC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29.7 </w:t>
                            </w:r>
                          </w:p>
                        </w:tc>
                        <w:tc>
                          <w:tcPr>
                            <w:tcW w:w="483" w:type="pct"/>
                            <w:tcBorders>
                              <w:top w:val="nil"/>
                              <w:left w:val="nil"/>
                              <w:bottom w:val="nil"/>
                              <w:right w:val="nil"/>
                            </w:tcBorders>
                            <w:hideMark/>
                          </w:tcPr>
                          <w:p w14:paraId="6EDE3AF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28.2 </w:t>
                            </w:r>
                          </w:p>
                        </w:tc>
                        <w:tc>
                          <w:tcPr>
                            <w:tcW w:w="483" w:type="pct"/>
                            <w:tcBorders>
                              <w:top w:val="nil"/>
                              <w:left w:val="nil"/>
                              <w:bottom w:val="nil"/>
                              <w:right w:val="nil"/>
                            </w:tcBorders>
                            <w:hideMark/>
                          </w:tcPr>
                          <w:p w14:paraId="5E89AA1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29.3 </w:t>
                            </w:r>
                          </w:p>
                        </w:tc>
                        <w:tc>
                          <w:tcPr>
                            <w:tcW w:w="483" w:type="pct"/>
                            <w:tcBorders>
                              <w:top w:val="nil"/>
                              <w:left w:val="nil"/>
                              <w:bottom w:val="nil"/>
                              <w:right w:val="nil"/>
                            </w:tcBorders>
                            <w:hideMark/>
                          </w:tcPr>
                          <w:p w14:paraId="624E23D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30.2 </w:t>
                            </w:r>
                          </w:p>
                        </w:tc>
                        <w:tc>
                          <w:tcPr>
                            <w:tcW w:w="483" w:type="pct"/>
                            <w:tcBorders>
                              <w:top w:val="nil"/>
                              <w:left w:val="nil"/>
                              <w:bottom w:val="nil"/>
                              <w:right w:val="nil"/>
                            </w:tcBorders>
                            <w:hideMark/>
                          </w:tcPr>
                          <w:p w14:paraId="6AC0FA5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28.9 </w:t>
                            </w:r>
                          </w:p>
                        </w:tc>
                        <w:tc>
                          <w:tcPr>
                            <w:tcW w:w="572" w:type="pct"/>
                            <w:tcBorders>
                              <w:top w:val="nil"/>
                              <w:left w:val="nil"/>
                              <w:bottom w:val="nil"/>
                              <w:right w:val="nil"/>
                            </w:tcBorders>
                            <w:hideMark/>
                          </w:tcPr>
                          <w:p w14:paraId="0851C22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28.3 </w:t>
                            </w:r>
                          </w:p>
                        </w:tc>
                      </w:tr>
                      <w:tr w:rsidR="00FF566C" w:rsidRPr="00FF566C" w14:paraId="38EDB49E" w14:textId="77777777" w:rsidTr="00FF566C">
                        <w:trPr>
                          <w:trHeight w:val="204"/>
                        </w:trPr>
                        <w:tc>
                          <w:tcPr>
                            <w:tcW w:w="1530" w:type="pct"/>
                            <w:tcBorders>
                              <w:top w:val="nil"/>
                              <w:left w:val="nil"/>
                              <w:bottom w:val="nil"/>
                              <w:right w:val="nil"/>
                            </w:tcBorders>
                            <w:noWrap/>
                            <w:hideMark/>
                          </w:tcPr>
                          <w:p w14:paraId="438D794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Days Payable Out.</w:t>
                            </w:r>
                          </w:p>
                        </w:tc>
                        <w:tc>
                          <w:tcPr>
                            <w:tcW w:w="483" w:type="pct"/>
                            <w:tcBorders>
                              <w:top w:val="nil"/>
                              <w:left w:val="nil"/>
                              <w:bottom w:val="nil"/>
                              <w:right w:val="nil"/>
                            </w:tcBorders>
                            <w:hideMark/>
                          </w:tcPr>
                          <w:p w14:paraId="25734DF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31.3 </w:t>
                            </w:r>
                          </w:p>
                        </w:tc>
                        <w:tc>
                          <w:tcPr>
                            <w:tcW w:w="483" w:type="pct"/>
                            <w:tcBorders>
                              <w:top w:val="nil"/>
                              <w:left w:val="nil"/>
                              <w:bottom w:val="nil"/>
                              <w:right w:val="nil"/>
                            </w:tcBorders>
                            <w:hideMark/>
                          </w:tcPr>
                          <w:p w14:paraId="538227F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32.3 </w:t>
                            </w:r>
                          </w:p>
                        </w:tc>
                        <w:tc>
                          <w:tcPr>
                            <w:tcW w:w="483" w:type="pct"/>
                            <w:tcBorders>
                              <w:top w:val="nil"/>
                              <w:left w:val="nil"/>
                              <w:bottom w:val="nil"/>
                              <w:right w:val="nil"/>
                            </w:tcBorders>
                            <w:hideMark/>
                          </w:tcPr>
                          <w:p w14:paraId="4344DE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32.1 </w:t>
                            </w:r>
                          </w:p>
                        </w:tc>
                        <w:tc>
                          <w:tcPr>
                            <w:tcW w:w="483" w:type="pct"/>
                            <w:tcBorders>
                              <w:top w:val="nil"/>
                              <w:left w:val="nil"/>
                              <w:bottom w:val="nil"/>
                              <w:right w:val="nil"/>
                            </w:tcBorders>
                            <w:hideMark/>
                          </w:tcPr>
                          <w:p w14:paraId="44070A4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30.6 </w:t>
                            </w:r>
                          </w:p>
                        </w:tc>
                        <w:tc>
                          <w:tcPr>
                            <w:tcW w:w="483" w:type="pct"/>
                            <w:tcBorders>
                              <w:top w:val="nil"/>
                              <w:left w:val="nil"/>
                              <w:bottom w:val="nil"/>
                              <w:right w:val="nil"/>
                            </w:tcBorders>
                            <w:hideMark/>
                          </w:tcPr>
                          <w:p w14:paraId="5D21840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31.1 </w:t>
                            </w:r>
                          </w:p>
                        </w:tc>
                        <w:tc>
                          <w:tcPr>
                            <w:tcW w:w="483" w:type="pct"/>
                            <w:tcBorders>
                              <w:top w:val="nil"/>
                              <w:left w:val="nil"/>
                              <w:bottom w:val="nil"/>
                              <w:right w:val="nil"/>
                            </w:tcBorders>
                            <w:hideMark/>
                          </w:tcPr>
                          <w:p w14:paraId="69D2082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29.9 </w:t>
                            </w:r>
                          </w:p>
                        </w:tc>
                        <w:tc>
                          <w:tcPr>
                            <w:tcW w:w="572" w:type="pct"/>
                            <w:tcBorders>
                              <w:top w:val="nil"/>
                              <w:left w:val="nil"/>
                              <w:bottom w:val="nil"/>
                              <w:right w:val="nil"/>
                            </w:tcBorders>
                            <w:hideMark/>
                          </w:tcPr>
                          <w:p w14:paraId="398EDE2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28.3 </w:t>
                            </w:r>
                          </w:p>
                        </w:tc>
                      </w:tr>
                      <w:tr w:rsidR="00FF566C" w:rsidRPr="00FF566C" w14:paraId="49B190A1" w14:textId="77777777" w:rsidTr="00FF566C">
                        <w:trPr>
                          <w:trHeight w:val="204"/>
                        </w:trPr>
                        <w:tc>
                          <w:tcPr>
                            <w:tcW w:w="1530" w:type="pct"/>
                            <w:tcBorders>
                              <w:top w:val="nil"/>
                              <w:left w:val="nil"/>
                              <w:bottom w:val="nil"/>
                              <w:right w:val="nil"/>
                            </w:tcBorders>
                            <w:noWrap/>
                            <w:hideMark/>
                          </w:tcPr>
                          <w:p w14:paraId="1236F68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Avg. Cash Conversion Cycle</w:t>
                            </w:r>
                          </w:p>
                        </w:tc>
                        <w:tc>
                          <w:tcPr>
                            <w:tcW w:w="483" w:type="pct"/>
                            <w:tcBorders>
                              <w:top w:val="nil"/>
                              <w:left w:val="nil"/>
                              <w:bottom w:val="nil"/>
                              <w:right w:val="nil"/>
                            </w:tcBorders>
                            <w:hideMark/>
                          </w:tcPr>
                          <w:p w14:paraId="619D614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 </w:t>
                            </w:r>
                          </w:p>
                        </w:tc>
                        <w:tc>
                          <w:tcPr>
                            <w:tcW w:w="483" w:type="pct"/>
                            <w:tcBorders>
                              <w:top w:val="nil"/>
                              <w:left w:val="nil"/>
                              <w:bottom w:val="nil"/>
                              <w:right w:val="nil"/>
                            </w:tcBorders>
                            <w:hideMark/>
                          </w:tcPr>
                          <w:p w14:paraId="6DAABE4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0.8 </w:t>
                            </w:r>
                          </w:p>
                        </w:tc>
                        <w:tc>
                          <w:tcPr>
                            <w:tcW w:w="483" w:type="pct"/>
                            <w:tcBorders>
                              <w:top w:val="nil"/>
                              <w:left w:val="nil"/>
                              <w:bottom w:val="nil"/>
                              <w:right w:val="nil"/>
                            </w:tcBorders>
                            <w:hideMark/>
                          </w:tcPr>
                          <w:p w14:paraId="4A51CA6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(0.8)  </w:t>
                            </w:r>
                          </w:p>
                        </w:tc>
                        <w:tc>
                          <w:tcPr>
                            <w:tcW w:w="483" w:type="pct"/>
                            <w:tcBorders>
                              <w:top w:val="nil"/>
                              <w:left w:val="nil"/>
                              <w:bottom w:val="nil"/>
                              <w:right w:val="nil"/>
                            </w:tcBorders>
                            <w:hideMark/>
                          </w:tcPr>
                          <w:p w14:paraId="3ECEEF4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2.0 </w:t>
                            </w:r>
                          </w:p>
                        </w:tc>
                        <w:tc>
                          <w:tcPr>
                            <w:tcW w:w="483" w:type="pct"/>
                            <w:tcBorders>
                              <w:top w:val="nil"/>
                              <w:left w:val="nil"/>
                              <w:bottom w:val="nil"/>
                              <w:right w:val="nil"/>
                            </w:tcBorders>
                            <w:hideMark/>
                          </w:tcPr>
                          <w:p w14:paraId="23BEDF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2.6 </w:t>
                            </w:r>
                          </w:p>
                        </w:tc>
                        <w:tc>
                          <w:tcPr>
                            <w:tcW w:w="483" w:type="pct"/>
                            <w:tcBorders>
                              <w:top w:val="nil"/>
                              <w:left w:val="nil"/>
                              <w:bottom w:val="nil"/>
                              <w:right w:val="nil"/>
                            </w:tcBorders>
                            <w:hideMark/>
                          </w:tcPr>
                          <w:p w14:paraId="6C86526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 </w:t>
                            </w:r>
                          </w:p>
                        </w:tc>
                        <w:tc>
                          <w:tcPr>
                            <w:tcW w:w="572" w:type="pct"/>
                            <w:tcBorders>
                              <w:top w:val="nil"/>
                              <w:left w:val="nil"/>
                              <w:bottom w:val="nil"/>
                              <w:right w:val="nil"/>
                            </w:tcBorders>
                            <w:hideMark/>
                          </w:tcPr>
                          <w:p w14:paraId="78149BF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 </w:t>
                            </w:r>
                          </w:p>
                        </w:tc>
                      </w:tr>
                      <w:tr w:rsidR="00FF566C" w:rsidRPr="00FF566C" w14:paraId="55C420C8" w14:textId="77777777" w:rsidTr="00FF566C">
                        <w:trPr>
                          <w:trHeight w:val="204"/>
                        </w:trPr>
                        <w:tc>
                          <w:tcPr>
                            <w:tcW w:w="1530" w:type="pct"/>
                            <w:tcBorders>
                              <w:top w:val="nil"/>
                              <w:left w:val="nil"/>
                              <w:bottom w:val="nil"/>
                              <w:right w:val="nil"/>
                            </w:tcBorders>
                            <w:noWrap/>
                            <w:hideMark/>
                          </w:tcPr>
                          <w:p w14:paraId="3C06483B"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r w:rsidRPr="00FF566C">
                              <w:rPr>
                                <w:rFonts w:ascii="Cambria" w:eastAsia="Times New Roman" w:hAnsi="Cambria" w:cs="Arial"/>
                                <w:b/>
                                <w:bCs/>
                                <w:color w:val="000000"/>
                                <w:kern w:val="0"/>
                                <w:sz w:val="14"/>
                                <w:szCs w:val="14"/>
                                <w:lang w:eastAsia="en-IN"/>
                                <w14:ligatures w14:val="none"/>
                              </w:rPr>
                              <w:t>Long Term Solvency</w:t>
                            </w:r>
                          </w:p>
                        </w:tc>
                        <w:tc>
                          <w:tcPr>
                            <w:tcW w:w="483" w:type="pct"/>
                            <w:tcBorders>
                              <w:top w:val="nil"/>
                              <w:left w:val="nil"/>
                              <w:bottom w:val="nil"/>
                              <w:right w:val="nil"/>
                            </w:tcBorders>
                            <w:noWrap/>
                            <w:hideMark/>
                          </w:tcPr>
                          <w:p w14:paraId="580DCDCF" w14:textId="77777777" w:rsidR="00FF566C" w:rsidRPr="00FF566C" w:rsidRDefault="00FF566C" w:rsidP="00FF566C">
                            <w:pPr>
                              <w:spacing w:after="0" w:line="240" w:lineRule="auto"/>
                              <w:rPr>
                                <w:rFonts w:ascii="Cambria" w:eastAsia="Times New Roman" w:hAnsi="Cambria" w:cs="Arial"/>
                                <w:b/>
                                <w:bCs/>
                                <w:color w:val="000000"/>
                                <w:kern w:val="0"/>
                                <w:sz w:val="14"/>
                                <w:szCs w:val="14"/>
                                <w:lang w:eastAsia="en-IN"/>
                                <w14:ligatures w14:val="none"/>
                              </w:rPr>
                            </w:pPr>
                          </w:p>
                        </w:tc>
                        <w:tc>
                          <w:tcPr>
                            <w:tcW w:w="483" w:type="pct"/>
                            <w:tcBorders>
                              <w:top w:val="nil"/>
                              <w:left w:val="nil"/>
                              <w:bottom w:val="nil"/>
                              <w:right w:val="nil"/>
                            </w:tcBorders>
                            <w:noWrap/>
                            <w:hideMark/>
                          </w:tcPr>
                          <w:p w14:paraId="249D57E4"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4341899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44473AF2"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7BAD2363"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483" w:type="pct"/>
                            <w:tcBorders>
                              <w:top w:val="nil"/>
                              <w:left w:val="nil"/>
                              <w:bottom w:val="nil"/>
                              <w:right w:val="nil"/>
                            </w:tcBorders>
                            <w:noWrap/>
                            <w:hideMark/>
                          </w:tcPr>
                          <w:p w14:paraId="3C338620"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c>
                          <w:tcPr>
                            <w:tcW w:w="572" w:type="pct"/>
                            <w:tcBorders>
                              <w:top w:val="nil"/>
                              <w:left w:val="nil"/>
                              <w:bottom w:val="nil"/>
                              <w:right w:val="nil"/>
                            </w:tcBorders>
                            <w:noWrap/>
                            <w:hideMark/>
                          </w:tcPr>
                          <w:p w14:paraId="1FAD4887" w14:textId="77777777" w:rsidR="00FF566C" w:rsidRPr="00FF566C" w:rsidRDefault="00FF566C" w:rsidP="00FF566C">
                            <w:pPr>
                              <w:spacing w:after="0" w:line="240" w:lineRule="auto"/>
                              <w:rPr>
                                <w:rFonts w:ascii="Cambria" w:eastAsia="Times New Roman" w:hAnsi="Cambria" w:cs="Times New Roman"/>
                                <w:kern w:val="0"/>
                                <w:sz w:val="14"/>
                                <w:szCs w:val="14"/>
                                <w:lang w:eastAsia="en-IN"/>
                                <w14:ligatures w14:val="none"/>
                              </w:rPr>
                            </w:pPr>
                          </w:p>
                        </w:tc>
                      </w:tr>
                      <w:tr w:rsidR="00FF566C" w:rsidRPr="00FF566C" w14:paraId="2556989F" w14:textId="77777777" w:rsidTr="00FF566C">
                        <w:trPr>
                          <w:trHeight w:val="204"/>
                        </w:trPr>
                        <w:tc>
                          <w:tcPr>
                            <w:tcW w:w="1530" w:type="pct"/>
                            <w:tcBorders>
                              <w:top w:val="nil"/>
                              <w:left w:val="nil"/>
                              <w:bottom w:val="nil"/>
                              <w:right w:val="nil"/>
                            </w:tcBorders>
                            <w:noWrap/>
                            <w:hideMark/>
                          </w:tcPr>
                          <w:p w14:paraId="602A8C45"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Debt/Equity</w:t>
                            </w:r>
                          </w:p>
                        </w:tc>
                        <w:tc>
                          <w:tcPr>
                            <w:tcW w:w="483" w:type="pct"/>
                            <w:tcBorders>
                              <w:top w:val="nil"/>
                              <w:left w:val="nil"/>
                              <w:bottom w:val="nil"/>
                              <w:right w:val="nil"/>
                            </w:tcBorders>
                            <w:hideMark/>
                          </w:tcPr>
                          <w:p w14:paraId="5B5417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46.5% </w:t>
                            </w:r>
                          </w:p>
                        </w:tc>
                        <w:tc>
                          <w:tcPr>
                            <w:tcW w:w="483" w:type="pct"/>
                            <w:tcBorders>
                              <w:top w:val="nil"/>
                              <w:left w:val="nil"/>
                              <w:bottom w:val="nil"/>
                              <w:right w:val="nil"/>
                            </w:tcBorders>
                            <w:hideMark/>
                          </w:tcPr>
                          <w:p w14:paraId="440F7FF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59.3% </w:t>
                            </w:r>
                          </w:p>
                        </w:tc>
                        <w:tc>
                          <w:tcPr>
                            <w:tcW w:w="483" w:type="pct"/>
                            <w:tcBorders>
                              <w:top w:val="nil"/>
                              <w:left w:val="nil"/>
                              <w:bottom w:val="nil"/>
                              <w:right w:val="nil"/>
                            </w:tcBorders>
                            <w:hideMark/>
                          </w:tcPr>
                          <w:p w14:paraId="21AD75D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63.1% </w:t>
                            </w:r>
                          </w:p>
                        </w:tc>
                        <w:tc>
                          <w:tcPr>
                            <w:tcW w:w="483" w:type="pct"/>
                            <w:tcBorders>
                              <w:top w:val="nil"/>
                              <w:left w:val="nil"/>
                              <w:bottom w:val="nil"/>
                              <w:right w:val="nil"/>
                            </w:tcBorders>
                            <w:hideMark/>
                          </w:tcPr>
                          <w:p w14:paraId="168E48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52.8% </w:t>
                            </w:r>
                          </w:p>
                        </w:tc>
                        <w:tc>
                          <w:tcPr>
                            <w:tcW w:w="483" w:type="pct"/>
                            <w:tcBorders>
                              <w:top w:val="nil"/>
                              <w:left w:val="nil"/>
                              <w:bottom w:val="nil"/>
                              <w:right w:val="nil"/>
                            </w:tcBorders>
                            <w:hideMark/>
                          </w:tcPr>
                          <w:p w14:paraId="6B79206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42.0% </w:t>
                            </w:r>
                          </w:p>
                        </w:tc>
                        <w:tc>
                          <w:tcPr>
                            <w:tcW w:w="483" w:type="pct"/>
                            <w:tcBorders>
                              <w:top w:val="nil"/>
                              <w:left w:val="nil"/>
                              <w:bottom w:val="nil"/>
                              <w:right w:val="nil"/>
                            </w:tcBorders>
                            <w:hideMark/>
                          </w:tcPr>
                          <w:p w14:paraId="20DC9BC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42.1% </w:t>
                            </w:r>
                          </w:p>
                        </w:tc>
                        <w:tc>
                          <w:tcPr>
                            <w:tcW w:w="572" w:type="pct"/>
                            <w:tcBorders>
                              <w:top w:val="nil"/>
                              <w:left w:val="nil"/>
                              <w:bottom w:val="nil"/>
                              <w:right w:val="nil"/>
                            </w:tcBorders>
                            <w:hideMark/>
                          </w:tcPr>
                          <w:p w14:paraId="4A5120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31.4% </w:t>
                            </w:r>
                          </w:p>
                        </w:tc>
                      </w:tr>
                      <w:tr w:rsidR="00FF566C" w:rsidRPr="00FF566C" w14:paraId="625196B6" w14:textId="77777777" w:rsidTr="00FF566C">
                        <w:trPr>
                          <w:trHeight w:val="204"/>
                        </w:trPr>
                        <w:tc>
                          <w:tcPr>
                            <w:tcW w:w="1530" w:type="pct"/>
                            <w:tcBorders>
                              <w:top w:val="nil"/>
                              <w:left w:val="nil"/>
                              <w:bottom w:val="nil"/>
                              <w:right w:val="nil"/>
                            </w:tcBorders>
                            <w:noWrap/>
                            <w:hideMark/>
                          </w:tcPr>
                          <w:p w14:paraId="0629D22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Debt/Capital</w:t>
                            </w:r>
                          </w:p>
                        </w:tc>
                        <w:tc>
                          <w:tcPr>
                            <w:tcW w:w="483" w:type="pct"/>
                            <w:tcBorders>
                              <w:top w:val="nil"/>
                              <w:left w:val="nil"/>
                              <w:bottom w:val="nil"/>
                              <w:right w:val="nil"/>
                            </w:tcBorders>
                            <w:hideMark/>
                          </w:tcPr>
                          <w:p w14:paraId="0D6EB83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31.7% </w:t>
                            </w:r>
                          </w:p>
                        </w:tc>
                        <w:tc>
                          <w:tcPr>
                            <w:tcW w:w="483" w:type="pct"/>
                            <w:tcBorders>
                              <w:top w:val="nil"/>
                              <w:left w:val="nil"/>
                              <w:bottom w:val="nil"/>
                              <w:right w:val="nil"/>
                            </w:tcBorders>
                            <w:hideMark/>
                          </w:tcPr>
                          <w:p w14:paraId="6B9EF93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37.2% </w:t>
                            </w:r>
                          </w:p>
                        </w:tc>
                        <w:tc>
                          <w:tcPr>
                            <w:tcW w:w="483" w:type="pct"/>
                            <w:tcBorders>
                              <w:top w:val="nil"/>
                              <w:left w:val="nil"/>
                              <w:bottom w:val="nil"/>
                              <w:right w:val="nil"/>
                            </w:tcBorders>
                            <w:hideMark/>
                          </w:tcPr>
                          <w:p w14:paraId="4CCB92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38.7% </w:t>
                            </w:r>
                          </w:p>
                        </w:tc>
                        <w:tc>
                          <w:tcPr>
                            <w:tcW w:w="483" w:type="pct"/>
                            <w:tcBorders>
                              <w:top w:val="nil"/>
                              <w:left w:val="nil"/>
                              <w:bottom w:val="nil"/>
                              <w:right w:val="nil"/>
                            </w:tcBorders>
                            <w:hideMark/>
                          </w:tcPr>
                          <w:p w14:paraId="38CEFB7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34.6% </w:t>
                            </w:r>
                          </w:p>
                        </w:tc>
                        <w:tc>
                          <w:tcPr>
                            <w:tcW w:w="483" w:type="pct"/>
                            <w:tcBorders>
                              <w:top w:val="nil"/>
                              <w:left w:val="nil"/>
                              <w:bottom w:val="nil"/>
                              <w:right w:val="nil"/>
                            </w:tcBorders>
                            <w:hideMark/>
                          </w:tcPr>
                          <w:p w14:paraId="7792A8E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29.6% </w:t>
                            </w:r>
                          </w:p>
                        </w:tc>
                        <w:tc>
                          <w:tcPr>
                            <w:tcW w:w="483" w:type="pct"/>
                            <w:tcBorders>
                              <w:top w:val="nil"/>
                              <w:left w:val="nil"/>
                              <w:bottom w:val="nil"/>
                              <w:right w:val="nil"/>
                            </w:tcBorders>
                            <w:hideMark/>
                          </w:tcPr>
                          <w:p w14:paraId="50666C2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29.6% </w:t>
                            </w:r>
                          </w:p>
                        </w:tc>
                        <w:tc>
                          <w:tcPr>
                            <w:tcW w:w="572" w:type="pct"/>
                            <w:tcBorders>
                              <w:top w:val="nil"/>
                              <w:left w:val="nil"/>
                              <w:bottom w:val="nil"/>
                              <w:right w:val="nil"/>
                            </w:tcBorders>
                            <w:hideMark/>
                          </w:tcPr>
                          <w:p w14:paraId="044EE91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r>
                      <w:tr w:rsidR="00FF566C" w:rsidRPr="00FF566C" w14:paraId="0548B096" w14:textId="77777777" w:rsidTr="00FF566C">
                        <w:trPr>
                          <w:trHeight w:val="204"/>
                        </w:trPr>
                        <w:tc>
                          <w:tcPr>
                            <w:tcW w:w="1530" w:type="pct"/>
                            <w:tcBorders>
                              <w:top w:val="nil"/>
                              <w:left w:val="nil"/>
                              <w:bottom w:val="nil"/>
                              <w:right w:val="nil"/>
                            </w:tcBorders>
                            <w:noWrap/>
                            <w:hideMark/>
                          </w:tcPr>
                          <w:p w14:paraId="6F0F9F27"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LT Debt/Equity</w:t>
                            </w:r>
                          </w:p>
                        </w:tc>
                        <w:tc>
                          <w:tcPr>
                            <w:tcW w:w="483" w:type="pct"/>
                            <w:tcBorders>
                              <w:top w:val="nil"/>
                              <w:left w:val="nil"/>
                              <w:bottom w:val="nil"/>
                              <w:right w:val="nil"/>
                            </w:tcBorders>
                            <w:hideMark/>
                          </w:tcPr>
                          <w:p w14:paraId="45598F9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35.3% </w:t>
                            </w:r>
                          </w:p>
                        </w:tc>
                        <w:tc>
                          <w:tcPr>
                            <w:tcW w:w="483" w:type="pct"/>
                            <w:tcBorders>
                              <w:top w:val="nil"/>
                              <w:left w:val="nil"/>
                              <w:bottom w:val="nil"/>
                              <w:right w:val="nil"/>
                            </w:tcBorders>
                            <w:hideMark/>
                          </w:tcPr>
                          <w:p w14:paraId="17E711A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57.4% </w:t>
                            </w:r>
                          </w:p>
                        </w:tc>
                        <w:tc>
                          <w:tcPr>
                            <w:tcW w:w="483" w:type="pct"/>
                            <w:tcBorders>
                              <w:top w:val="nil"/>
                              <w:left w:val="nil"/>
                              <w:bottom w:val="nil"/>
                              <w:right w:val="nil"/>
                            </w:tcBorders>
                            <w:hideMark/>
                          </w:tcPr>
                          <w:p w14:paraId="169C7C6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57.1% </w:t>
                            </w:r>
                          </w:p>
                        </w:tc>
                        <w:tc>
                          <w:tcPr>
                            <w:tcW w:w="483" w:type="pct"/>
                            <w:tcBorders>
                              <w:top w:val="nil"/>
                              <w:left w:val="nil"/>
                              <w:bottom w:val="nil"/>
                              <w:right w:val="nil"/>
                            </w:tcBorders>
                            <w:hideMark/>
                          </w:tcPr>
                          <w:p w14:paraId="0C5C206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50.1% </w:t>
                            </w:r>
                          </w:p>
                        </w:tc>
                        <w:tc>
                          <w:tcPr>
                            <w:tcW w:w="483" w:type="pct"/>
                            <w:tcBorders>
                              <w:top w:val="nil"/>
                              <w:left w:val="nil"/>
                              <w:bottom w:val="nil"/>
                              <w:right w:val="nil"/>
                            </w:tcBorders>
                            <w:hideMark/>
                          </w:tcPr>
                          <w:p w14:paraId="4553EBB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36.3% </w:t>
                            </w:r>
                          </w:p>
                        </w:tc>
                        <w:tc>
                          <w:tcPr>
                            <w:tcW w:w="483" w:type="pct"/>
                            <w:tcBorders>
                              <w:top w:val="nil"/>
                              <w:left w:val="nil"/>
                              <w:bottom w:val="nil"/>
                              <w:right w:val="nil"/>
                            </w:tcBorders>
                            <w:hideMark/>
                          </w:tcPr>
                          <w:p w14:paraId="3F87366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40.3% </w:t>
                            </w:r>
                          </w:p>
                        </w:tc>
                        <w:tc>
                          <w:tcPr>
                            <w:tcW w:w="572" w:type="pct"/>
                            <w:tcBorders>
                              <w:top w:val="nil"/>
                              <w:left w:val="nil"/>
                              <w:bottom w:val="nil"/>
                              <w:right w:val="nil"/>
                            </w:tcBorders>
                            <w:hideMark/>
                          </w:tcPr>
                          <w:p w14:paraId="413E121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31.4% </w:t>
                            </w:r>
                          </w:p>
                        </w:tc>
                      </w:tr>
                      <w:tr w:rsidR="00FF566C" w:rsidRPr="00FF566C" w14:paraId="2C7FA46F" w14:textId="77777777" w:rsidTr="00FF566C">
                        <w:trPr>
                          <w:trHeight w:val="204"/>
                        </w:trPr>
                        <w:tc>
                          <w:tcPr>
                            <w:tcW w:w="1530" w:type="pct"/>
                            <w:tcBorders>
                              <w:top w:val="nil"/>
                              <w:left w:val="nil"/>
                              <w:bottom w:val="nil"/>
                              <w:right w:val="nil"/>
                            </w:tcBorders>
                            <w:noWrap/>
                            <w:hideMark/>
                          </w:tcPr>
                          <w:p w14:paraId="50AB0EC2"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LT Debt/Capital</w:t>
                            </w:r>
                          </w:p>
                        </w:tc>
                        <w:tc>
                          <w:tcPr>
                            <w:tcW w:w="483" w:type="pct"/>
                            <w:tcBorders>
                              <w:top w:val="nil"/>
                              <w:left w:val="nil"/>
                              <w:bottom w:val="nil"/>
                              <w:right w:val="nil"/>
                            </w:tcBorders>
                            <w:hideMark/>
                          </w:tcPr>
                          <w:p w14:paraId="4D61FF0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24.1% </w:t>
                            </w:r>
                          </w:p>
                        </w:tc>
                        <w:tc>
                          <w:tcPr>
                            <w:tcW w:w="483" w:type="pct"/>
                            <w:tcBorders>
                              <w:top w:val="nil"/>
                              <w:left w:val="nil"/>
                              <w:bottom w:val="nil"/>
                              <w:right w:val="nil"/>
                            </w:tcBorders>
                            <w:hideMark/>
                          </w:tcPr>
                          <w:p w14:paraId="438134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36.0% </w:t>
                            </w:r>
                          </w:p>
                        </w:tc>
                        <w:tc>
                          <w:tcPr>
                            <w:tcW w:w="483" w:type="pct"/>
                            <w:tcBorders>
                              <w:top w:val="nil"/>
                              <w:left w:val="nil"/>
                              <w:bottom w:val="nil"/>
                              <w:right w:val="nil"/>
                            </w:tcBorders>
                            <w:hideMark/>
                          </w:tcPr>
                          <w:p w14:paraId="4ED2F84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35.0% </w:t>
                            </w:r>
                          </w:p>
                        </w:tc>
                        <w:tc>
                          <w:tcPr>
                            <w:tcW w:w="483" w:type="pct"/>
                            <w:tcBorders>
                              <w:top w:val="nil"/>
                              <w:left w:val="nil"/>
                              <w:bottom w:val="nil"/>
                              <w:right w:val="nil"/>
                            </w:tcBorders>
                            <w:hideMark/>
                          </w:tcPr>
                          <w:p w14:paraId="0E8BC64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32.8% </w:t>
                            </w:r>
                          </w:p>
                        </w:tc>
                        <w:tc>
                          <w:tcPr>
                            <w:tcW w:w="483" w:type="pct"/>
                            <w:tcBorders>
                              <w:top w:val="nil"/>
                              <w:left w:val="nil"/>
                              <w:bottom w:val="nil"/>
                              <w:right w:val="nil"/>
                            </w:tcBorders>
                            <w:hideMark/>
                          </w:tcPr>
                          <w:p w14:paraId="2341C59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25.6% </w:t>
                            </w:r>
                          </w:p>
                        </w:tc>
                        <w:tc>
                          <w:tcPr>
                            <w:tcW w:w="483" w:type="pct"/>
                            <w:tcBorders>
                              <w:top w:val="nil"/>
                              <w:left w:val="nil"/>
                              <w:bottom w:val="nil"/>
                              <w:right w:val="nil"/>
                            </w:tcBorders>
                            <w:hideMark/>
                          </w:tcPr>
                          <w:p w14:paraId="2D46161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28.4% </w:t>
                            </w:r>
                          </w:p>
                        </w:tc>
                        <w:tc>
                          <w:tcPr>
                            <w:tcW w:w="572" w:type="pct"/>
                            <w:tcBorders>
                              <w:top w:val="nil"/>
                              <w:left w:val="nil"/>
                              <w:bottom w:val="nil"/>
                              <w:right w:val="nil"/>
                            </w:tcBorders>
                            <w:hideMark/>
                          </w:tcPr>
                          <w:p w14:paraId="74CB0B5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23.9% </w:t>
                            </w:r>
                          </w:p>
                        </w:tc>
                      </w:tr>
                      <w:tr w:rsidR="00FF566C" w:rsidRPr="00FF566C" w14:paraId="56CF812D" w14:textId="77777777" w:rsidTr="00FF566C">
                        <w:trPr>
                          <w:trHeight w:val="204"/>
                        </w:trPr>
                        <w:tc>
                          <w:tcPr>
                            <w:tcW w:w="1530" w:type="pct"/>
                            <w:tcBorders>
                              <w:top w:val="nil"/>
                              <w:left w:val="nil"/>
                              <w:bottom w:val="nil"/>
                              <w:right w:val="nil"/>
                            </w:tcBorders>
                            <w:noWrap/>
                            <w:hideMark/>
                          </w:tcPr>
                          <w:p w14:paraId="37D4124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Liabilities/Total Assets</w:t>
                            </w:r>
                          </w:p>
                        </w:tc>
                        <w:tc>
                          <w:tcPr>
                            <w:tcW w:w="483" w:type="pct"/>
                            <w:tcBorders>
                              <w:top w:val="nil"/>
                              <w:left w:val="nil"/>
                              <w:bottom w:val="nil"/>
                              <w:right w:val="nil"/>
                            </w:tcBorders>
                            <w:hideMark/>
                          </w:tcPr>
                          <w:p w14:paraId="5DCD694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65.7% </w:t>
                            </w:r>
                          </w:p>
                        </w:tc>
                        <w:tc>
                          <w:tcPr>
                            <w:tcW w:w="483" w:type="pct"/>
                            <w:tcBorders>
                              <w:top w:val="nil"/>
                              <w:left w:val="nil"/>
                              <w:bottom w:val="nil"/>
                              <w:right w:val="nil"/>
                            </w:tcBorders>
                            <w:hideMark/>
                          </w:tcPr>
                          <w:p w14:paraId="2C4DD4C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66.3% </w:t>
                            </w:r>
                          </w:p>
                        </w:tc>
                        <w:tc>
                          <w:tcPr>
                            <w:tcW w:w="483" w:type="pct"/>
                            <w:tcBorders>
                              <w:top w:val="nil"/>
                              <w:left w:val="nil"/>
                              <w:bottom w:val="nil"/>
                              <w:right w:val="nil"/>
                            </w:tcBorders>
                            <w:hideMark/>
                          </w:tcPr>
                          <w:p w14:paraId="40E9221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69.5% </w:t>
                            </w:r>
                          </w:p>
                        </w:tc>
                        <w:tc>
                          <w:tcPr>
                            <w:tcW w:w="483" w:type="pct"/>
                            <w:tcBorders>
                              <w:top w:val="nil"/>
                              <w:left w:val="nil"/>
                              <w:bottom w:val="nil"/>
                              <w:right w:val="nil"/>
                            </w:tcBorders>
                            <w:hideMark/>
                          </w:tcPr>
                          <w:p w14:paraId="4ACDF5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67.8% </w:t>
                            </w:r>
                          </w:p>
                        </w:tc>
                        <w:tc>
                          <w:tcPr>
                            <w:tcW w:w="483" w:type="pct"/>
                            <w:tcBorders>
                              <w:top w:val="nil"/>
                              <w:left w:val="nil"/>
                              <w:bottom w:val="nil"/>
                              <w:right w:val="nil"/>
                            </w:tcBorders>
                            <w:hideMark/>
                          </w:tcPr>
                          <w:p w14:paraId="5A49154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63.7% </w:t>
                            </w:r>
                          </w:p>
                        </w:tc>
                        <w:tc>
                          <w:tcPr>
                            <w:tcW w:w="483" w:type="pct"/>
                            <w:tcBorders>
                              <w:top w:val="nil"/>
                              <w:left w:val="nil"/>
                              <w:bottom w:val="nil"/>
                              <w:right w:val="nil"/>
                            </w:tcBorders>
                            <w:hideMark/>
                          </w:tcPr>
                          <w:p w14:paraId="40C1C0A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66.2% </w:t>
                            </w:r>
                          </w:p>
                        </w:tc>
                        <w:tc>
                          <w:tcPr>
                            <w:tcW w:w="572" w:type="pct"/>
                            <w:tcBorders>
                              <w:top w:val="nil"/>
                              <w:left w:val="nil"/>
                              <w:bottom w:val="nil"/>
                              <w:right w:val="nil"/>
                            </w:tcBorders>
                            <w:hideMark/>
                          </w:tcPr>
                          <w:p w14:paraId="640960B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65.1% </w:t>
                            </w:r>
                          </w:p>
                        </w:tc>
                      </w:tr>
                      <w:tr w:rsidR="00FF566C" w:rsidRPr="00FF566C" w14:paraId="58AE55F8" w14:textId="77777777" w:rsidTr="00FF566C">
                        <w:trPr>
                          <w:trHeight w:val="204"/>
                        </w:trPr>
                        <w:tc>
                          <w:tcPr>
                            <w:tcW w:w="1530" w:type="pct"/>
                            <w:tcBorders>
                              <w:top w:val="nil"/>
                              <w:left w:val="nil"/>
                              <w:bottom w:val="nil"/>
                              <w:right w:val="nil"/>
                            </w:tcBorders>
                            <w:noWrap/>
                            <w:hideMark/>
                          </w:tcPr>
                          <w:p w14:paraId="719B867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 / Interest Exp.</w:t>
                            </w:r>
                          </w:p>
                        </w:tc>
                        <w:tc>
                          <w:tcPr>
                            <w:tcW w:w="483" w:type="pct"/>
                            <w:tcBorders>
                              <w:top w:val="nil"/>
                              <w:left w:val="nil"/>
                              <w:bottom w:val="nil"/>
                              <w:right w:val="nil"/>
                            </w:tcBorders>
                            <w:hideMark/>
                          </w:tcPr>
                          <w:p w14:paraId="7683863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31.6x</w:t>
                            </w:r>
                          </w:p>
                        </w:tc>
                        <w:tc>
                          <w:tcPr>
                            <w:tcW w:w="483" w:type="pct"/>
                            <w:tcBorders>
                              <w:top w:val="nil"/>
                              <w:left w:val="nil"/>
                              <w:bottom w:val="nil"/>
                              <w:right w:val="nil"/>
                            </w:tcBorders>
                            <w:hideMark/>
                          </w:tcPr>
                          <w:p w14:paraId="2EC18C6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34.0x</w:t>
                            </w:r>
                          </w:p>
                        </w:tc>
                        <w:tc>
                          <w:tcPr>
                            <w:tcW w:w="483" w:type="pct"/>
                            <w:tcBorders>
                              <w:top w:val="nil"/>
                              <w:left w:val="nil"/>
                              <w:bottom w:val="nil"/>
                              <w:right w:val="nil"/>
                            </w:tcBorders>
                            <w:hideMark/>
                          </w:tcPr>
                          <w:p w14:paraId="5233445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39.7x</w:t>
                            </w:r>
                          </w:p>
                        </w:tc>
                        <w:tc>
                          <w:tcPr>
                            <w:tcW w:w="483" w:type="pct"/>
                            <w:tcBorders>
                              <w:top w:val="nil"/>
                              <w:left w:val="nil"/>
                              <w:bottom w:val="nil"/>
                              <w:right w:val="nil"/>
                            </w:tcBorders>
                            <w:hideMark/>
                          </w:tcPr>
                          <w:p w14:paraId="13D0EAE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50.1x</w:t>
                            </w:r>
                          </w:p>
                        </w:tc>
                        <w:tc>
                          <w:tcPr>
                            <w:tcW w:w="483" w:type="pct"/>
                            <w:tcBorders>
                              <w:top w:val="nil"/>
                              <w:left w:val="nil"/>
                              <w:bottom w:val="nil"/>
                              <w:right w:val="nil"/>
                            </w:tcBorders>
                            <w:hideMark/>
                          </w:tcPr>
                          <w:p w14:paraId="50CFCBE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53.2x</w:t>
                            </w:r>
                          </w:p>
                        </w:tc>
                        <w:tc>
                          <w:tcPr>
                            <w:tcW w:w="483" w:type="pct"/>
                            <w:tcBorders>
                              <w:top w:val="nil"/>
                              <w:left w:val="nil"/>
                              <w:bottom w:val="nil"/>
                              <w:right w:val="nil"/>
                            </w:tcBorders>
                            <w:hideMark/>
                          </w:tcPr>
                          <w:p w14:paraId="4ECF052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54.9x</w:t>
                            </w:r>
                          </w:p>
                        </w:tc>
                        <w:tc>
                          <w:tcPr>
                            <w:tcW w:w="572" w:type="pct"/>
                            <w:tcBorders>
                              <w:top w:val="nil"/>
                              <w:left w:val="nil"/>
                              <w:bottom w:val="nil"/>
                              <w:right w:val="nil"/>
                            </w:tcBorders>
                            <w:hideMark/>
                          </w:tcPr>
                          <w:p w14:paraId="7706BDD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59.8x</w:t>
                            </w:r>
                          </w:p>
                        </w:tc>
                      </w:tr>
                      <w:tr w:rsidR="00FF566C" w:rsidRPr="00FF566C" w14:paraId="1143E078" w14:textId="77777777" w:rsidTr="00FF566C">
                        <w:trPr>
                          <w:trHeight w:val="204"/>
                        </w:trPr>
                        <w:tc>
                          <w:tcPr>
                            <w:tcW w:w="1530" w:type="pct"/>
                            <w:tcBorders>
                              <w:top w:val="nil"/>
                              <w:left w:val="nil"/>
                              <w:bottom w:val="nil"/>
                              <w:right w:val="nil"/>
                            </w:tcBorders>
                            <w:noWrap/>
                            <w:hideMark/>
                          </w:tcPr>
                          <w:p w14:paraId="3324FC0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 / Interest Exp.</w:t>
                            </w:r>
                          </w:p>
                        </w:tc>
                        <w:tc>
                          <w:tcPr>
                            <w:tcW w:w="483" w:type="pct"/>
                            <w:tcBorders>
                              <w:top w:val="nil"/>
                              <w:left w:val="nil"/>
                              <w:bottom w:val="nil"/>
                              <w:right w:val="nil"/>
                            </w:tcBorders>
                            <w:hideMark/>
                          </w:tcPr>
                          <w:p w14:paraId="2CE4CEA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41.5x</w:t>
                            </w:r>
                          </w:p>
                        </w:tc>
                        <w:tc>
                          <w:tcPr>
                            <w:tcW w:w="483" w:type="pct"/>
                            <w:tcBorders>
                              <w:top w:val="nil"/>
                              <w:left w:val="nil"/>
                              <w:bottom w:val="nil"/>
                              <w:right w:val="nil"/>
                            </w:tcBorders>
                            <w:hideMark/>
                          </w:tcPr>
                          <w:p w14:paraId="60D925D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46.4x</w:t>
                            </w:r>
                          </w:p>
                        </w:tc>
                        <w:tc>
                          <w:tcPr>
                            <w:tcW w:w="483" w:type="pct"/>
                            <w:tcBorders>
                              <w:top w:val="nil"/>
                              <w:left w:val="nil"/>
                              <w:bottom w:val="nil"/>
                              <w:right w:val="nil"/>
                            </w:tcBorders>
                            <w:hideMark/>
                          </w:tcPr>
                          <w:p w14:paraId="058DEAB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52.7x</w:t>
                            </w:r>
                          </w:p>
                        </w:tc>
                        <w:tc>
                          <w:tcPr>
                            <w:tcW w:w="483" w:type="pct"/>
                            <w:tcBorders>
                              <w:top w:val="nil"/>
                              <w:left w:val="nil"/>
                              <w:bottom w:val="nil"/>
                              <w:right w:val="nil"/>
                            </w:tcBorders>
                            <w:hideMark/>
                          </w:tcPr>
                          <w:p w14:paraId="30727C7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65.0x</w:t>
                            </w:r>
                          </w:p>
                        </w:tc>
                        <w:tc>
                          <w:tcPr>
                            <w:tcW w:w="483" w:type="pct"/>
                            <w:tcBorders>
                              <w:top w:val="nil"/>
                              <w:left w:val="nil"/>
                              <w:bottom w:val="nil"/>
                              <w:right w:val="nil"/>
                            </w:tcBorders>
                            <w:hideMark/>
                          </w:tcPr>
                          <w:p w14:paraId="331DE9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69.1x</w:t>
                            </w:r>
                          </w:p>
                        </w:tc>
                        <w:tc>
                          <w:tcPr>
                            <w:tcW w:w="483" w:type="pct"/>
                            <w:tcBorders>
                              <w:top w:val="nil"/>
                              <w:left w:val="nil"/>
                              <w:bottom w:val="nil"/>
                              <w:right w:val="nil"/>
                            </w:tcBorders>
                            <w:hideMark/>
                          </w:tcPr>
                          <w:p w14:paraId="1D91C32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70.8x</w:t>
                            </w:r>
                          </w:p>
                        </w:tc>
                        <w:tc>
                          <w:tcPr>
                            <w:tcW w:w="572" w:type="pct"/>
                            <w:tcBorders>
                              <w:top w:val="nil"/>
                              <w:left w:val="nil"/>
                              <w:bottom w:val="nil"/>
                              <w:right w:val="nil"/>
                            </w:tcBorders>
                            <w:hideMark/>
                          </w:tcPr>
                          <w:p w14:paraId="7BF8C25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76.7x</w:t>
                            </w:r>
                          </w:p>
                        </w:tc>
                      </w:tr>
                      <w:tr w:rsidR="00FF566C" w:rsidRPr="00FF566C" w14:paraId="19C7C277" w14:textId="77777777" w:rsidTr="00FF566C">
                        <w:trPr>
                          <w:trHeight w:val="204"/>
                        </w:trPr>
                        <w:tc>
                          <w:tcPr>
                            <w:tcW w:w="1530" w:type="pct"/>
                            <w:tcBorders>
                              <w:top w:val="nil"/>
                              <w:left w:val="nil"/>
                              <w:bottom w:val="nil"/>
                              <w:right w:val="nil"/>
                            </w:tcBorders>
                            <w:noWrap/>
                            <w:hideMark/>
                          </w:tcPr>
                          <w:p w14:paraId="740707E0"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(EBITDA-CAPEX) / Interest Exp.</w:t>
                            </w:r>
                          </w:p>
                        </w:tc>
                        <w:tc>
                          <w:tcPr>
                            <w:tcW w:w="483" w:type="pct"/>
                            <w:tcBorders>
                              <w:top w:val="nil"/>
                              <w:left w:val="nil"/>
                              <w:bottom w:val="nil"/>
                              <w:right w:val="nil"/>
                            </w:tcBorders>
                            <w:hideMark/>
                          </w:tcPr>
                          <w:p w14:paraId="4CC603A0"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21.5x</w:t>
                            </w:r>
                          </w:p>
                        </w:tc>
                        <w:tc>
                          <w:tcPr>
                            <w:tcW w:w="483" w:type="pct"/>
                            <w:tcBorders>
                              <w:top w:val="nil"/>
                              <w:left w:val="nil"/>
                              <w:bottom w:val="nil"/>
                              <w:right w:val="nil"/>
                            </w:tcBorders>
                            <w:hideMark/>
                          </w:tcPr>
                          <w:p w14:paraId="6385F6A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28.8x</w:t>
                            </w:r>
                          </w:p>
                        </w:tc>
                        <w:tc>
                          <w:tcPr>
                            <w:tcW w:w="483" w:type="pct"/>
                            <w:tcBorders>
                              <w:top w:val="nil"/>
                              <w:left w:val="nil"/>
                              <w:bottom w:val="nil"/>
                              <w:right w:val="nil"/>
                            </w:tcBorders>
                            <w:hideMark/>
                          </w:tcPr>
                          <w:p w14:paraId="2554433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31.8x</w:t>
                            </w:r>
                          </w:p>
                        </w:tc>
                        <w:tc>
                          <w:tcPr>
                            <w:tcW w:w="483" w:type="pct"/>
                            <w:tcBorders>
                              <w:top w:val="nil"/>
                              <w:left w:val="nil"/>
                              <w:bottom w:val="nil"/>
                              <w:right w:val="nil"/>
                            </w:tcBorders>
                            <w:hideMark/>
                          </w:tcPr>
                          <w:p w14:paraId="2CA3EAC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40.3x</w:t>
                            </w:r>
                          </w:p>
                        </w:tc>
                        <w:tc>
                          <w:tcPr>
                            <w:tcW w:w="483" w:type="pct"/>
                            <w:tcBorders>
                              <w:top w:val="nil"/>
                              <w:left w:val="nil"/>
                              <w:bottom w:val="nil"/>
                              <w:right w:val="nil"/>
                            </w:tcBorders>
                            <w:hideMark/>
                          </w:tcPr>
                          <w:p w14:paraId="2771AA0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42.1x</w:t>
                            </w:r>
                          </w:p>
                        </w:tc>
                        <w:tc>
                          <w:tcPr>
                            <w:tcW w:w="483" w:type="pct"/>
                            <w:tcBorders>
                              <w:top w:val="nil"/>
                              <w:left w:val="nil"/>
                              <w:bottom w:val="nil"/>
                              <w:right w:val="nil"/>
                            </w:tcBorders>
                            <w:hideMark/>
                          </w:tcPr>
                          <w:p w14:paraId="4E95C0E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43.0x</w:t>
                            </w:r>
                          </w:p>
                        </w:tc>
                        <w:tc>
                          <w:tcPr>
                            <w:tcW w:w="572" w:type="pct"/>
                            <w:tcBorders>
                              <w:top w:val="nil"/>
                              <w:left w:val="nil"/>
                              <w:bottom w:val="nil"/>
                              <w:right w:val="nil"/>
                            </w:tcBorders>
                            <w:hideMark/>
                          </w:tcPr>
                          <w:p w14:paraId="6216A51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45.8x</w:t>
                            </w:r>
                          </w:p>
                        </w:tc>
                      </w:tr>
                      <w:tr w:rsidR="00FF566C" w:rsidRPr="00FF566C" w14:paraId="78EEF08C" w14:textId="77777777" w:rsidTr="00FF566C">
                        <w:trPr>
                          <w:trHeight w:val="204"/>
                        </w:trPr>
                        <w:tc>
                          <w:tcPr>
                            <w:tcW w:w="1530" w:type="pct"/>
                            <w:tcBorders>
                              <w:top w:val="nil"/>
                              <w:left w:val="nil"/>
                              <w:bottom w:val="nil"/>
                              <w:right w:val="nil"/>
                            </w:tcBorders>
                            <w:noWrap/>
                            <w:hideMark/>
                          </w:tcPr>
                          <w:p w14:paraId="1F7C0CAD"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Debt/EBITDA</w:t>
                            </w:r>
                          </w:p>
                        </w:tc>
                        <w:tc>
                          <w:tcPr>
                            <w:tcW w:w="483" w:type="pct"/>
                            <w:tcBorders>
                              <w:top w:val="nil"/>
                              <w:left w:val="nil"/>
                              <w:bottom w:val="nil"/>
                              <w:right w:val="nil"/>
                            </w:tcBorders>
                            <w:hideMark/>
                          </w:tcPr>
                          <w:p w14:paraId="74FEFA3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1.2x</w:t>
                            </w:r>
                          </w:p>
                        </w:tc>
                        <w:tc>
                          <w:tcPr>
                            <w:tcW w:w="483" w:type="pct"/>
                            <w:tcBorders>
                              <w:top w:val="nil"/>
                              <w:left w:val="nil"/>
                              <w:bottom w:val="nil"/>
                              <w:right w:val="nil"/>
                            </w:tcBorders>
                            <w:hideMark/>
                          </w:tcPr>
                          <w:p w14:paraId="74D251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1.5x</w:t>
                            </w:r>
                          </w:p>
                        </w:tc>
                        <w:tc>
                          <w:tcPr>
                            <w:tcW w:w="483" w:type="pct"/>
                            <w:tcBorders>
                              <w:top w:val="nil"/>
                              <w:left w:val="nil"/>
                              <w:bottom w:val="nil"/>
                              <w:right w:val="nil"/>
                            </w:tcBorders>
                            <w:hideMark/>
                          </w:tcPr>
                          <w:p w14:paraId="438B5C4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1.3x</w:t>
                            </w:r>
                          </w:p>
                        </w:tc>
                        <w:tc>
                          <w:tcPr>
                            <w:tcW w:w="483" w:type="pct"/>
                            <w:tcBorders>
                              <w:top w:val="nil"/>
                              <w:left w:val="nil"/>
                              <w:bottom w:val="nil"/>
                              <w:right w:val="nil"/>
                            </w:tcBorders>
                            <w:hideMark/>
                          </w:tcPr>
                          <w:p w14:paraId="545EFB5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c>
                          <w:tcPr>
                            <w:tcW w:w="483" w:type="pct"/>
                            <w:tcBorders>
                              <w:top w:val="nil"/>
                              <w:left w:val="nil"/>
                              <w:bottom w:val="nil"/>
                              <w:right w:val="nil"/>
                            </w:tcBorders>
                            <w:hideMark/>
                          </w:tcPr>
                          <w:p w14:paraId="5ADDD8C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1.0x</w:t>
                            </w:r>
                          </w:p>
                        </w:tc>
                        <w:tc>
                          <w:tcPr>
                            <w:tcW w:w="483" w:type="pct"/>
                            <w:tcBorders>
                              <w:top w:val="nil"/>
                              <w:left w:val="nil"/>
                              <w:bottom w:val="nil"/>
                              <w:right w:val="nil"/>
                            </w:tcBorders>
                            <w:hideMark/>
                          </w:tcPr>
                          <w:p w14:paraId="0BD23AC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0.8x</w:t>
                            </w:r>
                          </w:p>
                        </w:tc>
                        <w:tc>
                          <w:tcPr>
                            <w:tcW w:w="572" w:type="pct"/>
                            <w:tcBorders>
                              <w:top w:val="nil"/>
                              <w:left w:val="nil"/>
                              <w:bottom w:val="nil"/>
                              <w:right w:val="nil"/>
                            </w:tcBorders>
                            <w:hideMark/>
                          </w:tcPr>
                          <w:p w14:paraId="1B2516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0.6x</w:t>
                            </w:r>
                          </w:p>
                        </w:tc>
                      </w:tr>
                      <w:tr w:rsidR="00FF566C" w:rsidRPr="00FF566C" w14:paraId="42D586D0" w14:textId="77777777" w:rsidTr="00FF566C">
                        <w:trPr>
                          <w:trHeight w:val="204"/>
                        </w:trPr>
                        <w:tc>
                          <w:tcPr>
                            <w:tcW w:w="1530" w:type="pct"/>
                            <w:tcBorders>
                              <w:top w:val="nil"/>
                              <w:left w:val="nil"/>
                              <w:bottom w:val="nil"/>
                              <w:right w:val="nil"/>
                            </w:tcBorders>
                            <w:noWrap/>
                            <w:hideMark/>
                          </w:tcPr>
                          <w:p w14:paraId="018F1D81"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Debt/EBITDA</w:t>
                            </w:r>
                          </w:p>
                        </w:tc>
                        <w:tc>
                          <w:tcPr>
                            <w:tcW w:w="483" w:type="pct"/>
                            <w:tcBorders>
                              <w:top w:val="nil"/>
                              <w:left w:val="nil"/>
                              <w:bottom w:val="nil"/>
                              <w:right w:val="nil"/>
                            </w:tcBorders>
                            <w:hideMark/>
                          </w:tcPr>
                          <w:p w14:paraId="6A6B8E0A"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3B350DF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7D65BD7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43220D9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C703CD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48DAB58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572" w:type="pct"/>
                            <w:tcBorders>
                              <w:top w:val="nil"/>
                              <w:left w:val="nil"/>
                              <w:bottom w:val="nil"/>
                              <w:right w:val="nil"/>
                            </w:tcBorders>
                            <w:hideMark/>
                          </w:tcPr>
                          <w:p w14:paraId="0974044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r>
                      <w:tr w:rsidR="00FF566C" w:rsidRPr="00FF566C" w14:paraId="4F79C752" w14:textId="77777777" w:rsidTr="00FF566C">
                        <w:trPr>
                          <w:trHeight w:val="204"/>
                        </w:trPr>
                        <w:tc>
                          <w:tcPr>
                            <w:tcW w:w="1530" w:type="pct"/>
                            <w:tcBorders>
                              <w:top w:val="nil"/>
                              <w:left w:val="nil"/>
                              <w:bottom w:val="nil"/>
                              <w:right w:val="nil"/>
                            </w:tcBorders>
                            <w:noWrap/>
                            <w:hideMark/>
                          </w:tcPr>
                          <w:p w14:paraId="14A1C40A"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Total Debt/(EBITDA-CAPEX)</w:t>
                            </w:r>
                          </w:p>
                        </w:tc>
                        <w:tc>
                          <w:tcPr>
                            <w:tcW w:w="483" w:type="pct"/>
                            <w:tcBorders>
                              <w:top w:val="nil"/>
                              <w:left w:val="nil"/>
                              <w:bottom w:val="nil"/>
                              <w:right w:val="nil"/>
                            </w:tcBorders>
                            <w:hideMark/>
                          </w:tcPr>
                          <w:p w14:paraId="1CEA6B6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2.2x</w:t>
                            </w:r>
                          </w:p>
                        </w:tc>
                        <w:tc>
                          <w:tcPr>
                            <w:tcW w:w="483" w:type="pct"/>
                            <w:tcBorders>
                              <w:top w:val="nil"/>
                              <w:left w:val="nil"/>
                              <w:bottom w:val="nil"/>
                              <w:right w:val="nil"/>
                            </w:tcBorders>
                            <w:hideMark/>
                          </w:tcPr>
                          <w:p w14:paraId="6826477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2.4x</w:t>
                            </w:r>
                          </w:p>
                        </w:tc>
                        <w:tc>
                          <w:tcPr>
                            <w:tcW w:w="483" w:type="pct"/>
                            <w:tcBorders>
                              <w:top w:val="nil"/>
                              <w:left w:val="nil"/>
                              <w:bottom w:val="nil"/>
                              <w:right w:val="nil"/>
                            </w:tcBorders>
                            <w:hideMark/>
                          </w:tcPr>
                          <w:p w14:paraId="1F90C1A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2.1x</w:t>
                            </w:r>
                          </w:p>
                        </w:tc>
                        <w:tc>
                          <w:tcPr>
                            <w:tcW w:w="483" w:type="pct"/>
                            <w:tcBorders>
                              <w:top w:val="nil"/>
                              <w:left w:val="nil"/>
                              <w:bottom w:val="nil"/>
                              <w:right w:val="nil"/>
                            </w:tcBorders>
                            <w:hideMark/>
                          </w:tcPr>
                          <w:p w14:paraId="0F60FAB5"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1.7x</w:t>
                            </w:r>
                          </w:p>
                        </w:tc>
                        <w:tc>
                          <w:tcPr>
                            <w:tcW w:w="483" w:type="pct"/>
                            <w:tcBorders>
                              <w:top w:val="nil"/>
                              <w:left w:val="nil"/>
                              <w:bottom w:val="nil"/>
                              <w:right w:val="nil"/>
                            </w:tcBorders>
                            <w:hideMark/>
                          </w:tcPr>
                          <w:p w14:paraId="167EB498"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1.6x</w:t>
                            </w:r>
                          </w:p>
                        </w:tc>
                        <w:tc>
                          <w:tcPr>
                            <w:tcW w:w="483" w:type="pct"/>
                            <w:tcBorders>
                              <w:top w:val="nil"/>
                              <w:left w:val="nil"/>
                              <w:bottom w:val="nil"/>
                              <w:right w:val="nil"/>
                            </w:tcBorders>
                            <w:hideMark/>
                          </w:tcPr>
                          <w:p w14:paraId="15E2DF9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1.4x</w:t>
                            </w:r>
                          </w:p>
                        </w:tc>
                        <w:tc>
                          <w:tcPr>
                            <w:tcW w:w="572" w:type="pct"/>
                            <w:tcBorders>
                              <w:top w:val="nil"/>
                              <w:left w:val="nil"/>
                              <w:bottom w:val="nil"/>
                              <w:right w:val="nil"/>
                            </w:tcBorders>
                            <w:hideMark/>
                          </w:tcPr>
                          <w:p w14:paraId="3BA8A2C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1.1x</w:t>
                            </w:r>
                          </w:p>
                        </w:tc>
                      </w:tr>
                      <w:tr w:rsidR="00FF566C" w:rsidRPr="00FF566C" w14:paraId="076D0F1C" w14:textId="77777777" w:rsidTr="00FF566C">
                        <w:trPr>
                          <w:trHeight w:val="204"/>
                        </w:trPr>
                        <w:tc>
                          <w:tcPr>
                            <w:tcW w:w="1530" w:type="pct"/>
                            <w:tcBorders>
                              <w:top w:val="nil"/>
                              <w:left w:val="nil"/>
                              <w:bottom w:val="nil"/>
                              <w:right w:val="nil"/>
                            </w:tcBorders>
                            <w:noWrap/>
                            <w:hideMark/>
                          </w:tcPr>
                          <w:p w14:paraId="0DE06783"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Net Debt/(EBITDA-CAPEX)</w:t>
                            </w:r>
                          </w:p>
                        </w:tc>
                        <w:tc>
                          <w:tcPr>
                            <w:tcW w:w="483" w:type="pct"/>
                            <w:tcBorders>
                              <w:top w:val="nil"/>
                              <w:left w:val="nil"/>
                              <w:bottom w:val="nil"/>
                              <w:right w:val="nil"/>
                            </w:tcBorders>
                            <w:hideMark/>
                          </w:tcPr>
                          <w:p w14:paraId="74EFD47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2FB5FAAC"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735E69A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8073AD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18689BE1"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483" w:type="pct"/>
                            <w:tcBorders>
                              <w:top w:val="nil"/>
                              <w:left w:val="nil"/>
                              <w:bottom w:val="nil"/>
                              <w:right w:val="nil"/>
                            </w:tcBorders>
                            <w:hideMark/>
                          </w:tcPr>
                          <w:p w14:paraId="0030B772"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c>
                          <w:tcPr>
                            <w:tcW w:w="572" w:type="pct"/>
                            <w:tcBorders>
                              <w:top w:val="nil"/>
                              <w:left w:val="nil"/>
                              <w:bottom w:val="nil"/>
                              <w:right w:val="nil"/>
                            </w:tcBorders>
                            <w:hideMark/>
                          </w:tcPr>
                          <w:p w14:paraId="67FA466F"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NM</w:t>
                            </w:r>
                          </w:p>
                        </w:tc>
                      </w:tr>
                      <w:tr w:rsidR="00FF566C" w:rsidRPr="00FF566C" w14:paraId="15287DF6" w14:textId="77777777" w:rsidTr="00FF566C">
                        <w:trPr>
                          <w:trHeight w:val="204"/>
                        </w:trPr>
                        <w:tc>
                          <w:tcPr>
                            <w:tcW w:w="1530" w:type="pct"/>
                            <w:tcBorders>
                              <w:top w:val="nil"/>
                              <w:left w:val="nil"/>
                              <w:bottom w:val="nil"/>
                              <w:right w:val="nil"/>
                            </w:tcBorders>
                            <w:noWrap/>
                            <w:hideMark/>
                          </w:tcPr>
                          <w:p w14:paraId="7DE94D8E" w14:textId="77777777" w:rsidR="00FF566C" w:rsidRPr="00FF566C" w:rsidRDefault="00FF566C" w:rsidP="00FF566C">
                            <w:pPr>
                              <w:spacing w:after="0" w:line="240" w:lineRule="auto"/>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Altman Z Score</w:t>
                            </w:r>
                          </w:p>
                        </w:tc>
                        <w:tc>
                          <w:tcPr>
                            <w:tcW w:w="483" w:type="pct"/>
                            <w:tcBorders>
                              <w:top w:val="nil"/>
                              <w:left w:val="nil"/>
                              <w:bottom w:val="nil"/>
                              <w:right w:val="nil"/>
                            </w:tcBorders>
                            <w:hideMark/>
                          </w:tcPr>
                          <w:p w14:paraId="7A513D1D"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6.15 </w:t>
                            </w:r>
                          </w:p>
                        </w:tc>
                        <w:tc>
                          <w:tcPr>
                            <w:tcW w:w="483" w:type="pct"/>
                            <w:tcBorders>
                              <w:top w:val="nil"/>
                              <w:left w:val="nil"/>
                              <w:bottom w:val="nil"/>
                              <w:right w:val="nil"/>
                            </w:tcBorders>
                            <w:hideMark/>
                          </w:tcPr>
                          <w:p w14:paraId="19A27D8B"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5.92 </w:t>
                            </w:r>
                          </w:p>
                        </w:tc>
                        <w:tc>
                          <w:tcPr>
                            <w:tcW w:w="483" w:type="pct"/>
                            <w:tcBorders>
                              <w:top w:val="nil"/>
                              <w:left w:val="nil"/>
                              <w:bottom w:val="nil"/>
                              <w:right w:val="nil"/>
                            </w:tcBorders>
                            <w:hideMark/>
                          </w:tcPr>
                          <w:p w14:paraId="09B708A7"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6.38 </w:t>
                            </w:r>
                          </w:p>
                        </w:tc>
                        <w:tc>
                          <w:tcPr>
                            <w:tcW w:w="483" w:type="pct"/>
                            <w:tcBorders>
                              <w:top w:val="nil"/>
                              <w:left w:val="nil"/>
                              <w:bottom w:val="nil"/>
                              <w:right w:val="nil"/>
                            </w:tcBorders>
                            <w:hideMark/>
                          </w:tcPr>
                          <w:p w14:paraId="4DD3A943"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7.42 </w:t>
                            </w:r>
                          </w:p>
                        </w:tc>
                        <w:tc>
                          <w:tcPr>
                            <w:tcW w:w="483" w:type="pct"/>
                            <w:tcBorders>
                              <w:top w:val="nil"/>
                              <w:left w:val="nil"/>
                              <w:bottom w:val="nil"/>
                              <w:right w:val="nil"/>
                            </w:tcBorders>
                            <w:hideMark/>
                          </w:tcPr>
                          <w:p w14:paraId="4C114AD4"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7.41 </w:t>
                            </w:r>
                          </w:p>
                        </w:tc>
                        <w:tc>
                          <w:tcPr>
                            <w:tcW w:w="483" w:type="pct"/>
                            <w:tcBorders>
                              <w:top w:val="nil"/>
                              <w:left w:val="nil"/>
                              <w:bottom w:val="nil"/>
                              <w:right w:val="nil"/>
                            </w:tcBorders>
                            <w:hideMark/>
                          </w:tcPr>
                          <w:p w14:paraId="4E707889"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8.52 </w:t>
                            </w:r>
                          </w:p>
                        </w:tc>
                        <w:tc>
                          <w:tcPr>
                            <w:tcW w:w="572" w:type="pct"/>
                            <w:tcBorders>
                              <w:top w:val="nil"/>
                              <w:left w:val="nil"/>
                              <w:bottom w:val="nil"/>
                              <w:right w:val="nil"/>
                            </w:tcBorders>
                            <w:hideMark/>
                          </w:tcPr>
                          <w:p w14:paraId="4BCD1196" w14:textId="77777777" w:rsidR="00FF566C" w:rsidRPr="00FF566C" w:rsidRDefault="00FF566C" w:rsidP="00FF566C">
                            <w:pPr>
                              <w:spacing w:after="0" w:line="240" w:lineRule="auto"/>
                              <w:jc w:val="right"/>
                              <w:rPr>
                                <w:rFonts w:ascii="Cambria" w:eastAsia="Times New Roman" w:hAnsi="Cambria" w:cs="Arial"/>
                                <w:color w:val="000000"/>
                                <w:kern w:val="0"/>
                                <w:sz w:val="14"/>
                                <w:szCs w:val="14"/>
                                <w:lang w:eastAsia="en-IN"/>
                                <w14:ligatures w14:val="none"/>
                              </w:rPr>
                            </w:pPr>
                            <w:r w:rsidRPr="00FF566C">
                              <w:rPr>
                                <w:rFonts w:ascii="Cambria" w:eastAsia="Times New Roman" w:hAnsi="Cambria" w:cs="Arial"/>
                                <w:color w:val="000000"/>
                                <w:kern w:val="0"/>
                                <w:sz w:val="14"/>
                                <w:szCs w:val="14"/>
                                <w:lang w:eastAsia="en-IN"/>
                                <w14:ligatures w14:val="none"/>
                              </w:rPr>
                              <w:t xml:space="preserve">                     9.22 </w:t>
                            </w:r>
                          </w:p>
                        </w:tc>
                      </w:tr>
                    </w:tbl>
                    <w:p w14:paraId="5E9E09F2" w14:textId="5C64EE98" w:rsidR="00FF566C" w:rsidRDefault="00FF566C"/>
                  </w:txbxContent>
                </v:textbox>
                <w10:wrap type="square" anchorx="margin"/>
              </v:shape>
            </w:pict>
          </mc:Fallback>
        </mc:AlternateContent>
      </w:r>
      <w:r w:rsidR="00FF566C" w:rsidRPr="00456405">
        <w:rPr>
          <w:rFonts w:ascii="Cambria" w:hAnsi="Cambria"/>
          <w:b/>
          <w:bCs/>
          <w:sz w:val="24"/>
          <w:szCs w:val="24"/>
        </w:rPr>
        <w:br/>
      </w:r>
      <w:r w:rsidR="00625BED" w:rsidRPr="00456405">
        <w:rPr>
          <w:rFonts w:ascii="Cambria" w:hAnsi="Cambria"/>
          <w:sz w:val="24"/>
          <w:szCs w:val="24"/>
        </w:rPr>
        <w:br/>
      </w:r>
      <w:r w:rsidR="00625BED" w:rsidRPr="00456405">
        <w:rPr>
          <w:rFonts w:ascii="Cambria" w:hAnsi="Cambria"/>
          <w:sz w:val="24"/>
          <w:szCs w:val="24"/>
        </w:rPr>
        <w:br/>
      </w:r>
      <w:r w:rsidR="00625BED" w:rsidRPr="00456405">
        <w:rPr>
          <w:rFonts w:ascii="Cambria" w:hAnsi="Cambria"/>
          <w:sz w:val="24"/>
          <w:szCs w:val="24"/>
        </w:rPr>
        <w:br/>
      </w:r>
      <w:r w:rsidR="00625BED" w:rsidRPr="00456405">
        <w:rPr>
          <w:rFonts w:ascii="Cambria" w:hAnsi="Cambria"/>
          <w:sz w:val="24"/>
          <w:szCs w:val="24"/>
        </w:rPr>
        <w:br/>
      </w:r>
      <w:r w:rsidR="00625BED" w:rsidRPr="00456405">
        <w:rPr>
          <w:rFonts w:ascii="Cambria" w:hAnsi="Cambria"/>
          <w:noProof/>
          <w:sz w:val="24"/>
          <w:szCs w:val="24"/>
        </w:rPr>
        <w:lastRenderedPageBreak/>
        <mc:AlternateContent>
          <mc:Choice Requires="wps">
            <w:drawing>
              <wp:anchor distT="45720" distB="45720" distL="114300" distR="114300" simplePos="0" relativeHeight="251714560" behindDoc="0" locked="0" layoutInCell="1" allowOverlap="1" wp14:anchorId="339849D1" wp14:editId="047D5AB4">
                <wp:simplePos x="0" y="0"/>
                <wp:positionH relativeFrom="margin">
                  <wp:align>left</wp:align>
                </wp:positionH>
                <wp:positionV relativeFrom="paragraph">
                  <wp:posOffset>0</wp:posOffset>
                </wp:positionV>
                <wp:extent cx="6172200" cy="8839200"/>
                <wp:effectExtent l="0" t="0" r="0" b="0"/>
                <wp:wrapSquare wrapText="bothSides"/>
                <wp:docPr id="1016991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839200"/>
                        </a:xfrm>
                        <a:prstGeom prst="rect">
                          <a:avLst/>
                        </a:prstGeom>
                        <a:noFill/>
                        <a:ln w="9525">
                          <a:noFill/>
                          <a:miter lim="800000"/>
                          <a:headEnd/>
                          <a:tailEnd/>
                        </a:ln>
                      </wps:spPr>
                      <wps:txbx>
                        <w:txbxContent>
                          <w:tbl>
                            <w:tblPr>
                              <w:tblW w:w="5000" w:type="pct"/>
                              <w:tblLook w:val="04A0" w:firstRow="1" w:lastRow="0" w:firstColumn="1" w:lastColumn="0" w:noHBand="0" w:noVBand="1"/>
                            </w:tblPr>
                            <w:tblGrid>
                              <w:gridCol w:w="2976"/>
                              <w:gridCol w:w="833"/>
                              <w:gridCol w:w="987"/>
                              <w:gridCol w:w="987"/>
                              <w:gridCol w:w="987"/>
                              <w:gridCol w:w="833"/>
                              <w:gridCol w:w="834"/>
                              <w:gridCol w:w="996"/>
                            </w:tblGrid>
                            <w:tr w:rsidR="00057F31" w:rsidRPr="00057F31" w14:paraId="09D391B4" w14:textId="77777777" w:rsidTr="00057F31">
                              <w:trPr>
                                <w:trHeight w:val="336"/>
                              </w:trPr>
                              <w:tc>
                                <w:tcPr>
                                  <w:tcW w:w="5000" w:type="pct"/>
                                  <w:gridSpan w:val="8"/>
                                  <w:tcBorders>
                                    <w:top w:val="nil"/>
                                    <w:left w:val="nil"/>
                                    <w:bottom w:val="nil"/>
                                    <w:right w:val="nil"/>
                                  </w:tcBorders>
                                  <w:noWrap/>
                                  <w:vAlign w:val="bottom"/>
                                  <w:hideMark/>
                                </w:tcPr>
                                <w:p w14:paraId="233A2CC0" w14:textId="5BA8CE58"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r>
                            <w:tr w:rsidR="00057F31" w:rsidRPr="00057F31" w14:paraId="27DB5E06" w14:textId="77777777" w:rsidTr="00057F31">
                              <w:trPr>
                                <w:trHeight w:val="204"/>
                              </w:trPr>
                              <w:tc>
                                <w:tcPr>
                                  <w:tcW w:w="1588" w:type="pct"/>
                                  <w:tcBorders>
                                    <w:top w:val="nil"/>
                                    <w:left w:val="nil"/>
                                    <w:bottom w:val="nil"/>
                                    <w:right w:val="nil"/>
                                  </w:tcBorders>
                                  <w:shd w:val="clear" w:color="000000" w:fill="003366"/>
                                  <w:noWrap/>
                                  <w:vAlign w:val="bottom"/>
                                  <w:hideMark/>
                                </w:tcPr>
                                <w:p w14:paraId="1489529A"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Income Statement</w:t>
                                  </w:r>
                                </w:p>
                              </w:tc>
                              <w:tc>
                                <w:tcPr>
                                  <w:tcW w:w="452" w:type="pct"/>
                                  <w:tcBorders>
                                    <w:top w:val="nil"/>
                                    <w:left w:val="nil"/>
                                    <w:bottom w:val="nil"/>
                                    <w:right w:val="nil"/>
                                  </w:tcBorders>
                                  <w:shd w:val="clear" w:color="000000" w:fill="003366"/>
                                  <w:noWrap/>
                                  <w:vAlign w:val="bottom"/>
                                  <w:hideMark/>
                                </w:tcPr>
                                <w:p w14:paraId="733297DD"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76F8E2C8"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45210945"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1F6D643A"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452" w:type="pct"/>
                                  <w:tcBorders>
                                    <w:top w:val="nil"/>
                                    <w:left w:val="nil"/>
                                    <w:bottom w:val="nil"/>
                                    <w:right w:val="nil"/>
                                  </w:tcBorders>
                                  <w:shd w:val="clear" w:color="000000" w:fill="003366"/>
                                  <w:noWrap/>
                                  <w:vAlign w:val="bottom"/>
                                  <w:hideMark/>
                                </w:tcPr>
                                <w:p w14:paraId="42AAB579"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452" w:type="pct"/>
                                  <w:tcBorders>
                                    <w:top w:val="nil"/>
                                    <w:left w:val="nil"/>
                                    <w:bottom w:val="nil"/>
                                    <w:right w:val="nil"/>
                                  </w:tcBorders>
                                  <w:shd w:val="clear" w:color="000000" w:fill="003366"/>
                                  <w:noWrap/>
                                  <w:vAlign w:val="bottom"/>
                                  <w:hideMark/>
                                </w:tcPr>
                                <w:p w14:paraId="2A00C9D6"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35" w:type="pct"/>
                                  <w:tcBorders>
                                    <w:top w:val="nil"/>
                                    <w:left w:val="nil"/>
                                    <w:bottom w:val="nil"/>
                                    <w:right w:val="nil"/>
                                  </w:tcBorders>
                                  <w:shd w:val="clear" w:color="000000" w:fill="003366"/>
                                  <w:noWrap/>
                                  <w:vAlign w:val="bottom"/>
                                  <w:hideMark/>
                                </w:tcPr>
                                <w:p w14:paraId="7B4BD946"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r>
                            <w:tr w:rsidR="00057F31" w:rsidRPr="00057F31" w14:paraId="589A2BD6" w14:textId="77777777" w:rsidTr="00057F31">
                              <w:trPr>
                                <w:trHeight w:val="816"/>
                              </w:trPr>
                              <w:tc>
                                <w:tcPr>
                                  <w:tcW w:w="1588" w:type="pct"/>
                                  <w:tcBorders>
                                    <w:top w:val="nil"/>
                                    <w:left w:val="nil"/>
                                    <w:bottom w:val="nil"/>
                                    <w:right w:val="nil"/>
                                  </w:tcBorders>
                                  <w:shd w:val="clear" w:color="000000" w:fill="F0F0DC"/>
                                  <w:vAlign w:val="bottom"/>
                                  <w:hideMark/>
                                </w:tcPr>
                                <w:p w14:paraId="25B2CEF1"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For the Fiscal Period Ending</w:t>
                                  </w:r>
                                </w:p>
                              </w:tc>
                              <w:tc>
                                <w:tcPr>
                                  <w:tcW w:w="452" w:type="pct"/>
                                  <w:tcBorders>
                                    <w:top w:val="nil"/>
                                    <w:left w:val="nil"/>
                                    <w:bottom w:val="nil"/>
                                    <w:right w:val="nil"/>
                                  </w:tcBorders>
                                  <w:shd w:val="clear" w:color="000000" w:fill="F0F0DC"/>
                                  <w:vAlign w:val="bottom"/>
                                  <w:hideMark/>
                                </w:tcPr>
                                <w:p w14:paraId="57B9C75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Sep-01-2019</w:t>
                                  </w:r>
                                </w:p>
                              </w:tc>
                              <w:tc>
                                <w:tcPr>
                                  <w:tcW w:w="506" w:type="pct"/>
                                  <w:tcBorders>
                                    <w:top w:val="nil"/>
                                    <w:left w:val="nil"/>
                                    <w:bottom w:val="nil"/>
                                    <w:right w:val="nil"/>
                                  </w:tcBorders>
                                  <w:shd w:val="clear" w:color="000000" w:fill="F0F0DC"/>
                                  <w:vAlign w:val="bottom"/>
                                  <w:hideMark/>
                                </w:tcPr>
                                <w:p w14:paraId="0D20717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Aug-30-2020</w:t>
                                  </w:r>
                                </w:p>
                              </w:tc>
                              <w:tc>
                                <w:tcPr>
                                  <w:tcW w:w="506" w:type="pct"/>
                                  <w:tcBorders>
                                    <w:top w:val="nil"/>
                                    <w:left w:val="nil"/>
                                    <w:bottom w:val="nil"/>
                                    <w:right w:val="nil"/>
                                  </w:tcBorders>
                                  <w:shd w:val="clear" w:color="000000" w:fill="F0F0DC"/>
                                  <w:vAlign w:val="bottom"/>
                                  <w:hideMark/>
                                </w:tcPr>
                                <w:p w14:paraId="30AE233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Aug-29-2021</w:t>
                                  </w:r>
                                </w:p>
                              </w:tc>
                              <w:tc>
                                <w:tcPr>
                                  <w:tcW w:w="506" w:type="pct"/>
                                  <w:tcBorders>
                                    <w:top w:val="nil"/>
                                    <w:left w:val="nil"/>
                                    <w:bottom w:val="nil"/>
                                    <w:right w:val="nil"/>
                                  </w:tcBorders>
                                  <w:shd w:val="clear" w:color="000000" w:fill="F0F0DC"/>
                                  <w:vAlign w:val="bottom"/>
                                  <w:hideMark/>
                                </w:tcPr>
                                <w:p w14:paraId="238AFE2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Aug-28-2022</w:t>
                                  </w:r>
                                </w:p>
                              </w:tc>
                              <w:tc>
                                <w:tcPr>
                                  <w:tcW w:w="452" w:type="pct"/>
                                  <w:tcBorders>
                                    <w:top w:val="nil"/>
                                    <w:left w:val="nil"/>
                                    <w:bottom w:val="nil"/>
                                    <w:right w:val="nil"/>
                                  </w:tcBorders>
                                  <w:shd w:val="clear" w:color="000000" w:fill="F0F0DC"/>
                                  <w:vAlign w:val="bottom"/>
                                  <w:hideMark/>
                                </w:tcPr>
                                <w:p w14:paraId="2644147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Sep-03-2023</w:t>
                                  </w:r>
                                </w:p>
                              </w:tc>
                              <w:tc>
                                <w:tcPr>
                                  <w:tcW w:w="452" w:type="pct"/>
                                  <w:tcBorders>
                                    <w:top w:val="nil"/>
                                    <w:left w:val="nil"/>
                                    <w:bottom w:val="nil"/>
                                    <w:right w:val="nil"/>
                                  </w:tcBorders>
                                  <w:shd w:val="clear" w:color="000000" w:fill="F0F0DC"/>
                                  <w:vAlign w:val="bottom"/>
                                  <w:hideMark/>
                                </w:tcPr>
                                <w:p w14:paraId="1CD15F2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Sep-01-2024</w:t>
                                  </w:r>
                                </w:p>
                              </w:tc>
                              <w:tc>
                                <w:tcPr>
                                  <w:tcW w:w="535" w:type="pct"/>
                                  <w:tcBorders>
                                    <w:top w:val="nil"/>
                                    <w:left w:val="nil"/>
                                    <w:bottom w:val="nil"/>
                                    <w:right w:val="nil"/>
                                  </w:tcBorders>
                                  <w:shd w:val="clear" w:color="000000" w:fill="F0F0DC"/>
                                  <w:vAlign w:val="bottom"/>
                                  <w:hideMark/>
                                </w:tcPr>
                                <w:p w14:paraId="273C8A8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LTM</w:t>
                                  </w:r>
                                  <w:r w:rsidRPr="00057F31">
                                    <w:rPr>
                                      <w:rFonts w:ascii="Cambria" w:eastAsia="Times New Roman" w:hAnsi="Cambria" w:cs="Arial"/>
                                      <w:b/>
                                      <w:bCs/>
                                      <w:color w:val="000000"/>
                                      <w:kern w:val="0"/>
                                      <w:sz w:val="14"/>
                                      <w:szCs w:val="14"/>
                                      <w:lang w:eastAsia="en-IN"/>
                                      <w14:ligatures w14:val="none"/>
                                    </w:rPr>
                                    <w:br/>
                                    <w:t>Press Release</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Feb-16-2025</w:t>
                                  </w:r>
                                </w:p>
                              </w:tc>
                            </w:tr>
                            <w:tr w:rsidR="00057F31" w:rsidRPr="00057F31" w14:paraId="39B1A2AA" w14:textId="77777777" w:rsidTr="00057F31">
                              <w:trPr>
                                <w:trHeight w:val="204"/>
                              </w:trPr>
                              <w:tc>
                                <w:tcPr>
                                  <w:tcW w:w="1588" w:type="pct"/>
                                  <w:tcBorders>
                                    <w:top w:val="nil"/>
                                    <w:left w:val="nil"/>
                                    <w:bottom w:val="nil"/>
                                    <w:right w:val="nil"/>
                                  </w:tcBorders>
                                  <w:shd w:val="clear" w:color="000000" w:fill="F0F0DC"/>
                                  <w:vAlign w:val="bottom"/>
                                  <w:hideMark/>
                                </w:tcPr>
                                <w:p w14:paraId="2D909AB1" w14:textId="77777777" w:rsidR="00057F31" w:rsidRPr="00057F31" w:rsidRDefault="00057F31" w:rsidP="00057F31">
                                  <w:pPr>
                                    <w:spacing w:after="0" w:line="240" w:lineRule="auto"/>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Currency</w:t>
                                  </w:r>
                                </w:p>
                              </w:tc>
                              <w:tc>
                                <w:tcPr>
                                  <w:tcW w:w="452" w:type="pct"/>
                                  <w:tcBorders>
                                    <w:top w:val="nil"/>
                                    <w:left w:val="nil"/>
                                    <w:bottom w:val="nil"/>
                                    <w:right w:val="nil"/>
                                  </w:tcBorders>
                                  <w:shd w:val="clear" w:color="000000" w:fill="F0F0DC"/>
                                  <w:vAlign w:val="bottom"/>
                                  <w:hideMark/>
                                </w:tcPr>
                                <w:p w14:paraId="1F8B4BFF"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3DEF4B5B"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202AB41B"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214C45AE"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452" w:type="pct"/>
                                  <w:tcBorders>
                                    <w:top w:val="nil"/>
                                    <w:left w:val="nil"/>
                                    <w:bottom w:val="nil"/>
                                    <w:right w:val="nil"/>
                                  </w:tcBorders>
                                  <w:shd w:val="clear" w:color="000000" w:fill="F0F0DC"/>
                                  <w:vAlign w:val="bottom"/>
                                  <w:hideMark/>
                                </w:tcPr>
                                <w:p w14:paraId="0619DDD6"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452" w:type="pct"/>
                                  <w:tcBorders>
                                    <w:top w:val="nil"/>
                                    <w:left w:val="nil"/>
                                    <w:bottom w:val="nil"/>
                                    <w:right w:val="nil"/>
                                  </w:tcBorders>
                                  <w:shd w:val="clear" w:color="000000" w:fill="F0F0DC"/>
                                  <w:vAlign w:val="bottom"/>
                                  <w:hideMark/>
                                </w:tcPr>
                                <w:p w14:paraId="29600202"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35" w:type="pct"/>
                                  <w:tcBorders>
                                    <w:top w:val="nil"/>
                                    <w:left w:val="nil"/>
                                    <w:bottom w:val="nil"/>
                                    <w:right w:val="nil"/>
                                  </w:tcBorders>
                                  <w:shd w:val="clear" w:color="000000" w:fill="F0F0DC"/>
                                  <w:vAlign w:val="bottom"/>
                                  <w:hideMark/>
                                </w:tcPr>
                                <w:p w14:paraId="6339C118"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r>
                            <w:tr w:rsidR="003C2F53" w:rsidRPr="00057F31" w14:paraId="7B6B1D00" w14:textId="77777777" w:rsidTr="00057F31">
                              <w:trPr>
                                <w:trHeight w:val="204"/>
                              </w:trPr>
                              <w:tc>
                                <w:tcPr>
                                  <w:tcW w:w="1588" w:type="pct"/>
                                  <w:tcBorders>
                                    <w:top w:val="nil"/>
                                    <w:left w:val="nil"/>
                                    <w:bottom w:val="nil"/>
                                    <w:right w:val="nil"/>
                                  </w:tcBorders>
                                  <w:noWrap/>
                                  <w:hideMark/>
                                </w:tcPr>
                                <w:p w14:paraId="6EBA31A4"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Revenue</w:t>
                                  </w:r>
                                </w:p>
                              </w:tc>
                              <w:tc>
                                <w:tcPr>
                                  <w:tcW w:w="452" w:type="pct"/>
                                  <w:tcBorders>
                                    <w:top w:val="nil"/>
                                    <w:left w:val="nil"/>
                                    <w:bottom w:val="nil"/>
                                    <w:right w:val="nil"/>
                                  </w:tcBorders>
                                  <w:hideMark/>
                                </w:tcPr>
                                <w:p w14:paraId="780F514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152.7 </w:t>
                                  </w:r>
                                </w:p>
                              </w:tc>
                              <w:tc>
                                <w:tcPr>
                                  <w:tcW w:w="506" w:type="pct"/>
                                  <w:tcBorders>
                                    <w:top w:val="nil"/>
                                    <w:left w:val="nil"/>
                                    <w:bottom w:val="nil"/>
                                    <w:right w:val="nil"/>
                                  </w:tcBorders>
                                  <w:hideMark/>
                                </w:tcPr>
                                <w:p w14:paraId="7EADA51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166.8 </w:t>
                                  </w:r>
                                </w:p>
                              </w:tc>
                              <w:tc>
                                <w:tcPr>
                                  <w:tcW w:w="506" w:type="pct"/>
                                  <w:tcBorders>
                                    <w:top w:val="nil"/>
                                    <w:left w:val="nil"/>
                                    <w:bottom w:val="nil"/>
                                    <w:right w:val="nil"/>
                                  </w:tcBorders>
                                  <w:hideMark/>
                                </w:tcPr>
                                <w:p w14:paraId="66A3929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195.9 </w:t>
                                  </w:r>
                                </w:p>
                              </w:tc>
                              <w:tc>
                                <w:tcPr>
                                  <w:tcW w:w="506" w:type="pct"/>
                                  <w:tcBorders>
                                    <w:top w:val="nil"/>
                                    <w:left w:val="nil"/>
                                    <w:bottom w:val="nil"/>
                                    <w:right w:val="nil"/>
                                  </w:tcBorders>
                                  <w:hideMark/>
                                </w:tcPr>
                                <w:p w14:paraId="2C3C657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227.0 </w:t>
                                  </w:r>
                                </w:p>
                              </w:tc>
                              <w:tc>
                                <w:tcPr>
                                  <w:tcW w:w="452" w:type="pct"/>
                                  <w:tcBorders>
                                    <w:top w:val="nil"/>
                                    <w:left w:val="nil"/>
                                    <w:bottom w:val="nil"/>
                                    <w:right w:val="nil"/>
                                  </w:tcBorders>
                                  <w:hideMark/>
                                </w:tcPr>
                                <w:p w14:paraId="240DEE5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242.3 </w:t>
                                  </w:r>
                                </w:p>
                              </w:tc>
                              <w:tc>
                                <w:tcPr>
                                  <w:tcW w:w="452" w:type="pct"/>
                                  <w:tcBorders>
                                    <w:top w:val="nil"/>
                                    <w:left w:val="nil"/>
                                    <w:bottom w:val="nil"/>
                                    <w:right w:val="nil"/>
                                  </w:tcBorders>
                                  <w:hideMark/>
                                </w:tcPr>
                                <w:p w14:paraId="457E0E9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254.5 </w:t>
                                  </w:r>
                                </w:p>
                              </w:tc>
                              <w:tc>
                                <w:tcPr>
                                  <w:tcW w:w="535" w:type="pct"/>
                                  <w:tcBorders>
                                    <w:top w:val="nil"/>
                                    <w:left w:val="nil"/>
                                    <w:bottom w:val="nil"/>
                                    <w:right w:val="nil"/>
                                  </w:tcBorders>
                                  <w:hideMark/>
                                </w:tcPr>
                                <w:p w14:paraId="1003C36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264.1 </w:t>
                                  </w:r>
                                </w:p>
                              </w:tc>
                            </w:tr>
                            <w:tr w:rsidR="003C2F53" w:rsidRPr="00057F31" w14:paraId="6B9B87A4" w14:textId="77777777" w:rsidTr="00057F31">
                              <w:trPr>
                                <w:trHeight w:val="204"/>
                              </w:trPr>
                              <w:tc>
                                <w:tcPr>
                                  <w:tcW w:w="1588" w:type="pct"/>
                                  <w:tcBorders>
                                    <w:top w:val="nil"/>
                                    <w:left w:val="nil"/>
                                    <w:bottom w:val="nil"/>
                                    <w:right w:val="nil"/>
                                  </w:tcBorders>
                                  <w:noWrap/>
                                  <w:hideMark/>
                                </w:tcPr>
                                <w:p w14:paraId="5744951D"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Other Revenue</w:t>
                                  </w:r>
                                </w:p>
                              </w:tc>
                              <w:tc>
                                <w:tcPr>
                                  <w:tcW w:w="452" w:type="pct"/>
                                  <w:tcBorders>
                                    <w:top w:val="nil"/>
                                    <w:left w:val="nil"/>
                                    <w:bottom w:val="nil"/>
                                    <w:right w:val="nil"/>
                                  </w:tcBorders>
                                  <w:hideMark/>
                                </w:tcPr>
                                <w:p w14:paraId="7D196D2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537D2F0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04832D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378061F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533B3A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224B2D1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90E107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r>
                            <w:tr w:rsidR="003C2F53" w:rsidRPr="00057F31" w14:paraId="0B4A79F5" w14:textId="77777777" w:rsidTr="00057F31">
                              <w:trPr>
                                <w:trHeight w:val="204"/>
                              </w:trPr>
                              <w:tc>
                                <w:tcPr>
                                  <w:tcW w:w="1588" w:type="pct"/>
                                  <w:tcBorders>
                                    <w:top w:val="nil"/>
                                    <w:left w:val="nil"/>
                                    <w:bottom w:val="nil"/>
                                    <w:right w:val="nil"/>
                                  </w:tcBorders>
                                  <w:noWrap/>
                                  <w:hideMark/>
                                </w:tcPr>
                                <w:p w14:paraId="48AF7E9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Total Revenue</w:t>
                                  </w:r>
                                </w:p>
                              </w:tc>
                              <w:tc>
                                <w:tcPr>
                                  <w:tcW w:w="452" w:type="pct"/>
                                  <w:tcBorders>
                                    <w:top w:val="single" w:sz="4" w:space="0" w:color="000000"/>
                                    <w:left w:val="nil"/>
                                    <w:bottom w:val="nil"/>
                                    <w:right w:val="nil"/>
                                  </w:tcBorders>
                                  <w:hideMark/>
                                </w:tcPr>
                                <w:p w14:paraId="0F97280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152.7 </w:t>
                                  </w:r>
                                </w:p>
                              </w:tc>
                              <w:tc>
                                <w:tcPr>
                                  <w:tcW w:w="506" w:type="pct"/>
                                  <w:tcBorders>
                                    <w:top w:val="single" w:sz="4" w:space="0" w:color="000000"/>
                                    <w:left w:val="nil"/>
                                    <w:bottom w:val="nil"/>
                                    <w:right w:val="nil"/>
                                  </w:tcBorders>
                                  <w:hideMark/>
                                </w:tcPr>
                                <w:p w14:paraId="34E6E2C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166.8 </w:t>
                                  </w:r>
                                </w:p>
                              </w:tc>
                              <w:tc>
                                <w:tcPr>
                                  <w:tcW w:w="506" w:type="pct"/>
                                  <w:tcBorders>
                                    <w:top w:val="single" w:sz="4" w:space="0" w:color="000000"/>
                                    <w:left w:val="nil"/>
                                    <w:bottom w:val="nil"/>
                                    <w:right w:val="nil"/>
                                  </w:tcBorders>
                                  <w:hideMark/>
                                </w:tcPr>
                                <w:p w14:paraId="1897483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195.9 </w:t>
                                  </w:r>
                                </w:p>
                              </w:tc>
                              <w:tc>
                                <w:tcPr>
                                  <w:tcW w:w="506" w:type="pct"/>
                                  <w:tcBorders>
                                    <w:top w:val="single" w:sz="4" w:space="0" w:color="000000"/>
                                    <w:left w:val="nil"/>
                                    <w:bottom w:val="nil"/>
                                    <w:right w:val="nil"/>
                                  </w:tcBorders>
                                  <w:hideMark/>
                                </w:tcPr>
                                <w:p w14:paraId="7EB9F78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227.0 </w:t>
                                  </w:r>
                                </w:p>
                              </w:tc>
                              <w:tc>
                                <w:tcPr>
                                  <w:tcW w:w="452" w:type="pct"/>
                                  <w:tcBorders>
                                    <w:top w:val="single" w:sz="4" w:space="0" w:color="000000"/>
                                    <w:left w:val="nil"/>
                                    <w:bottom w:val="nil"/>
                                    <w:right w:val="nil"/>
                                  </w:tcBorders>
                                  <w:hideMark/>
                                </w:tcPr>
                                <w:p w14:paraId="3F5949C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242.3 </w:t>
                                  </w:r>
                                </w:p>
                              </w:tc>
                              <w:tc>
                                <w:tcPr>
                                  <w:tcW w:w="452" w:type="pct"/>
                                  <w:tcBorders>
                                    <w:top w:val="single" w:sz="4" w:space="0" w:color="000000"/>
                                    <w:left w:val="nil"/>
                                    <w:bottom w:val="nil"/>
                                    <w:right w:val="nil"/>
                                  </w:tcBorders>
                                  <w:hideMark/>
                                </w:tcPr>
                                <w:p w14:paraId="5F6F8A5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254.5 </w:t>
                                  </w:r>
                                </w:p>
                              </w:tc>
                              <w:tc>
                                <w:tcPr>
                                  <w:tcW w:w="535" w:type="pct"/>
                                  <w:tcBorders>
                                    <w:top w:val="single" w:sz="4" w:space="0" w:color="000000"/>
                                    <w:left w:val="nil"/>
                                    <w:bottom w:val="nil"/>
                                    <w:right w:val="nil"/>
                                  </w:tcBorders>
                                  <w:hideMark/>
                                </w:tcPr>
                                <w:p w14:paraId="551B16E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264.1 </w:t>
                                  </w:r>
                                </w:p>
                              </w:tc>
                            </w:tr>
                            <w:tr w:rsidR="003C2F53" w:rsidRPr="00057F31" w14:paraId="524FBF06" w14:textId="77777777" w:rsidTr="00057F31">
                              <w:trPr>
                                <w:trHeight w:val="204"/>
                              </w:trPr>
                              <w:tc>
                                <w:tcPr>
                                  <w:tcW w:w="1588" w:type="pct"/>
                                  <w:tcBorders>
                                    <w:top w:val="nil"/>
                                    <w:left w:val="nil"/>
                                    <w:bottom w:val="nil"/>
                                    <w:right w:val="nil"/>
                                  </w:tcBorders>
                                  <w:noWrap/>
                                  <w:hideMark/>
                                </w:tcPr>
                                <w:p w14:paraId="43355DE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Cost Of Goods Sold</w:t>
                                  </w:r>
                                </w:p>
                              </w:tc>
                              <w:tc>
                                <w:tcPr>
                                  <w:tcW w:w="452" w:type="pct"/>
                                  <w:tcBorders>
                                    <w:top w:val="nil"/>
                                    <w:left w:val="nil"/>
                                    <w:bottom w:val="nil"/>
                                    <w:right w:val="nil"/>
                                  </w:tcBorders>
                                  <w:hideMark/>
                                </w:tcPr>
                                <w:p w14:paraId="7160661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132.9 </w:t>
                                  </w:r>
                                </w:p>
                              </w:tc>
                              <w:tc>
                                <w:tcPr>
                                  <w:tcW w:w="506" w:type="pct"/>
                                  <w:tcBorders>
                                    <w:top w:val="nil"/>
                                    <w:left w:val="nil"/>
                                    <w:bottom w:val="nil"/>
                                    <w:right w:val="nil"/>
                                  </w:tcBorders>
                                  <w:hideMark/>
                                </w:tcPr>
                                <w:p w14:paraId="1A38A3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144.9 </w:t>
                                  </w:r>
                                </w:p>
                              </w:tc>
                              <w:tc>
                                <w:tcPr>
                                  <w:tcW w:w="506" w:type="pct"/>
                                  <w:tcBorders>
                                    <w:top w:val="nil"/>
                                    <w:left w:val="nil"/>
                                    <w:bottom w:val="nil"/>
                                    <w:right w:val="nil"/>
                                  </w:tcBorders>
                                  <w:hideMark/>
                                </w:tcPr>
                                <w:p w14:paraId="09EE9C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170.7 </w:t>
                                  </w:r>
                                </w:p>
                              </w:tc>
                              <w:tc>
                                <w:tcPr>
                                  <w:tcW w:w="506" w:type="pct"/>
                                  <w:tcBorders>
                                    <w:top w:val="nil"/>
                                    <w:left w:val="nil"/>
                                    <w:bottom w:val="nil"/>
                                    <w:right w:val="nil"/>
                                  </w:tcBorders>
                                  <w:hideMark/>
                                </w:tcPr>
                                <w:p w14:paraId="220014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199.4 </w:t>
                                  </w:r>
                                </w:p>
                              </w:tc>
                              <w:tc>
                                <w:tcPr>
                                  <w:tcW w:w="452" w:type="pct"/>
                                  <w:tcBorders>
                                    <w:top w:val="nil"/>
                                    <w:left w:val="nil"/>
                                    <w:bottom w:val="nil"/>
                                    <w:right w:val="nil"/>
                                  </w:tcBorders>
                                  <w:hideMark/>
                                </w:tcPr>
                                <w:p w14:paraId="781A30D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212.2 </w:t>
                                  </w:r>
                                </w:p>
                              </w:tc>
                              <w:tc>
                                <w:tcPr>
                                  <w:tcW w:w="452" w:type="pct"/>
                                  <w:tcBorders>
                                    <w:top w:val="nil"/>
                                    <w:left w:val="nil"/>
                                    <w:bottom w:val="nil"/>
                                    <w:right w:val="nil"/>
                                  </w:tcBorders>
                                  <w:hideMark/>
                                </w:tcPr>
                                <w:p w14:paraId="1FD0880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222.4 </w:t>
                                  </w:r>
                                </w:p>
                              </w:tc>
                              <w:tc>
                                <w:tcPr>
                                  <w:tcW w:w="535" w:type="pct"/>
                                  <w:tcBorders>
                                    <w:top w:val="nil"/>
                                    <w:left w:val="nil"/>
                                    <w:bottom w:val="nil"/>
                                    <w:right w:val="nil"/>
                                  </w:tcBorders>
                                  <w:hideMark/>
                                </w:tcPr>
                                <w:p w14:paraId="1DFEC81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230.6 </w:t>
                                  </w:r>
                                </w:p>
                              </w:tc>
                            </w:tr>
                            <w:tr w:rsidR="003C2F53" w:rsidRPr="00057F31" w14:paraId="01870F15" w14:textId="77777777" w:rsidTr="00057F31">
                              <w:trPr>
                                <w:trHeight w:val="204"/>
                              </w:trPr>
                              <w:tc>
                                <w:tcPr>
                                  <w:tcW w:w="1588" w:type="pct"/>
                                  <w:tcBorders>
                                    <w:top w:val="nil"/>
                                    <w:left w:val="nil"/>
                                    <w:bottom w:val="nil"/>
                                    <w:right w:val="nil"/>
                                  </w:tcBorders>
                                  <w:noWrap/>
                                  <w:hideMark/>
                                </w:tcPr>
                                <w:p w14:paraId="586035C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Gross Profit</w:t>
                                  </w:r>
                                </w:p>
                              </w:tc>
                              <w:tc>
                                <w:tcPr>
                                  <w:tcW w:w="452" w:type="pct"/>
                                  <w:tcBorders>
                                    <w:top w:val="single" w:sz="4" w:space="0" w:color="000000"/>
                                    <w:left w:val="nil"/>
                                    <w:bottom w:val="nil"/>
                                    <w:right w:val="nil"/>
                                  </w:tcBorders>
                                  <w:hideMark/>
                                </w:tcPr>
                                <w:p w14:paraId="7DFAE82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19.8 </w:t>
                                  </w:r>
                                </w:p>
                              </w:tc>
                              <w:tc>
                                <w:tcPr>
                                  <w:tcW w:w="506" w:type="pct"/>
                                  <w:tcBorders>
                                    <w:top w:val="single" w:sz="4" w:space="0" w:color="000000"/>
                                    <w:left w:val="nil"/>
                                    <w:bottom w:val="nil"/>
                                    <w:right w:val="nil"/>
                                  </w:tcBorders>
                                  <w:hideMark/>
                                </w:tcPr>
                                <w:p w14:paraId="1DA9257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21.8 </w:t>
                                  </w:r>
                                </w:p>
                              </w:tc>
                              <w:tc>
                                <w:tcPr>
                                  <w:tcW w:w="506" w:type="pct"/>
                                  <w:tcBorders>
                                    <w:top w:val="single" w:sz="4" w:space="0" w:color="000000"/>
                                    <w:left w:val="nil"/>
                                    <w:bottom w:val="nil"/>
                                    <w:right w:val="nil"/>
                                  </w:tcBorders>
                                  <w:hideMark/>
                                </w:tcPr>
                                <w:p w14:paraId="7D0F257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25.2 </w:t>
                                  </w:r>
                                </w:p>
                              </w:tc>
                              <w:tc>
                                <w:tcPr>
                                  <w:tcW w:w="506" w:type="pct"/>
                                  <w:tcBorders>
                                    <w:top w:val="single" w:sz="4" w:space="0" w:color="000000"/>
                                    <w:left w:val="nil"/>
                                    <w:bottom w:val="nil"/>
                                    <w:right w:val="nil"/>
                                  </w:tcBorders>
                                  <w:hideMark/>
                                </w:tcPr>
                                <w:p w14:paraId="491D1AE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27.6 </w:t>
                                  </w:r>
                                </w:p>
                              </w:tc>
                              <w:tc>
                                <w:tcPr>
                                  <w:tcW w:w="452" w:type="pct"/>
                                  <w:tcBorders>
                                    <w:top w:val="single" w:sz="4" w:space="0" w:color="000000"/>
                                    <w:left w:val="nil"/>
                                    <w:bottom w:val="nil"/>
                                    <w:right w:val="nil"/>
                                  </w:tcBorders>
                                  <w:hideMark/>
                                </w:tcPr>
                                <w:p w14:paraId="7C9DCD4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30.1 </w:t>
                                  </w:r>
                                </w:p>
                              </w:tc>
                              <w:tc>
                                <w:tcPr>
                                  <w:tcW w:w="452" w:type="pct"/>
                                  <w:tcBorders>
                                    <w:top w:val="single" w:sz="4" w:space="0" w:color="000000"/>
                                    <w:left w:val="nil"/>
                                    <w:bottom w:val="nil"/>
                                    <w:right w:val="nil"/>
                                  </w:tcBorders>
                                  <w:hideMark/>
                                </w:tcPr>
                                <w:p w14:paraId="4CD93A4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32.1 </w:t>
                                  </w:r>
                                </w:p>
                              </w:tc>
                              <w:tc>
                                <w:tcPr>
                                  <w:tcW w:w="535" w:type="pct"/>
                                  <w:tcBorders>
                                    <w:top w:val="single" w:sz="4" w:space="0" w:color="000000"/>
                                    <w:left w:val="nil"/>
                                    <w:bottom w:val="nil"/>
                                    <w:right w:val="nil"/>
                                  </w:tcBorders>
                                  <w:hideMark/>
                                </w:tcPr>
                                <w:p w14:paraId="449E21E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33.5 </w:t>
                                  </w:r>
                                </w:p>
                              </w:tc>
                            </w:tr>
                            <w:tr w:rsidR="003C2F53" w:rsidRPr="00057F31" w14:paraId="7F74FF6E" w14:textId="77777777" w:rsidTr="00057F31">
                              <w:trPr>
                                <w:trHeight w:val="204"/>
                              </w:trPr>
                              <w:tc>
                                <w:tcPr>
                                  <w:tcW w:w="1588" w:type="pct"/>
                                  <w:tcBorders>
                                    <w:top w:val="nil"/>
                                    <w:left w:val="nil"/>
                                    <w:bottom w:val="nil"/>
                                    <w:right w:val="nil"/>
                                  </w:tcBorders>
                                  <w:noWrap/>
                                  <w:hideMark/>
                                </w:tcPr>
                                <w:p w14:paraId="355A57A5"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Selling General &amp; Admin Exp.</w:t>
                                  </w:r>
                                </w:p>
                              </w:tc>
                              <w:tc>
                                <w:tcPr>
                                  <w:tcW w:w="452" w:type="pct"/>
                                  <w:tcBorders>
                                    <w:top w:val="nil"/>
                                    <w:left w:val="nil"/>
                                    <w:bottom w:val="nil"/>
                                    <w:right w:val="nil"/>
                                  </w:tcBorders>
                                  <w:hideMark/>
                                </w:tcPr>
                                <w:p w14:paraId="65E1259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15.0 </w:t>
                                  </w:r>
                                </w:p>
                              </w:tc>
                              <w:tc>
                                <w:tcPr>
                                  <w:tcW w:w="506" w:type="pct"/>
                                  <w:tcBorders>
                                    <w:top w:val="nil"/>
                                    <w:left w:val="nil"/>
                                    <w:bottom w:val="nil"/>
                                    <w:right w:val="nil"/>
                                  </w:tcBorders>
                                  <w:hideMark/>
                                </w:tcPr>
                                <w:p w14:paraId="096AFBB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16.4 </w:t>
                                  </w:r>
                                </w:p>
                              </w:tc>
                              <w:tc>
                                <w:tcPr>
                                  <w:tcW w:w="506" w:type="pct"/>
                                  <w:tcBorders>
                                    <w:top w:val="nil"/>
                                    <w:left w:val="nil"/>
                                    <w:bottom w:val="nil"/>
                                    <w:right w:val="nil"/>
                                  </w:tcBorders>
                                  <w:hideMark/>
                                </w:tcPr>
                                <w:p w14:paraId="68484B8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18.5 </w:t>
                                  </w:r>
                                </w:p>
                              </w:tc>
                              <w:tc>
                                <w:tcPr>
                                  <w:tcW w:w="506" w:type="pct"/>
                                  <w:tcBorders>
                                    <w:top w:val="nil"/>
                                    <w:left w:val="nil"/>
                                    <w:bottom w:val="nil"/>
                                    <w:right w:val="nil"/>
                                  </w:tcBorders>
                                  <w:hideMark/>
                                </w:tcPr>
                                <w:p w14:paraId="3886CA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19.7 </w:t>
                                  </w:r>
                                </w:p>
                              </w:tc>
                              <w:tc>
                                <w:tcPr>
                                  <w:tcW w:w="452" w:type="pct"/>
                                  <w:tcBorders>
                                    <w:top w:val="nil"/>
                                    <w:left w:val="nil"/>
                                    <w:bottom w:val="nil"/>
                                    <w:right w:val="nil"/>
                                  </w:tcBorders>
                                  <w:hideMark/>
                                </w:tcPr>
                                <w:p w14:paraId="261BC9A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21.6 </w:t>
                                  </w:r>
                                </w:p>
                              </w:tc>
                              <w:tc>
                                <w:tcPr>
                                  <w:tcW w:w="452" w:type="pct"/>
                                  <w:tcBorders>
                                    <w:top w:val="nil"/>
                                    <w:left w:val="nil"/>
                                    <w:bottom w:val="nil"/>
                                    <w:right w:val="nil"/>
                                  </w:tcBorders>
                                  <w:hideMark/>
                                </w:tcPr>
                                <w:p w14:paraId="131449E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22.8 </w:t>
                                  </w:r>
                                </w:p>
                              </w:tc>
                              <w:tc>
                                <w:tcPr>
                                  <w:tcW w:w="535" w:type="pct"/>
                                  <w:tcBorders>
                                    <w:top w:val="nil"/>
                                    <w:left w:val="nil"/>
                                    <w:bottom w:val="nil"/>
                                    <w:right w:val="nil"/>
                                  </w:tcBorders>
                                  <w:hideMark/>
                                </w:tcPr>
                                <w:p w14:paraId="0C6450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23.7 </w:t>
                                  </w:r>
                                </w:p>
                              </w:tc>
                            </w:tr>
                            <w:tr w:rsidR="003C2F53" w:rsidRPr="00057F31" w14:paraId="75342A5A" w14:textId="77777777" w:rsidTr="00057F31">
                              <w:trPr>
                                <w:trHeight w:val="204"/>
                              </w:trPr>
                              <w:tc>
                                <w:tcPr>
                                  <w:tcW w:w="1588" w:type="pct"/>
                                  <w:tcBorders>
                                    <w:top w:val="nil"/>
                                    <w:left w:val="nil"/>
                                    <w:bottom w:val="nil"/>
                                    <w:right w:val="nil"/>
                                  </w:tcBorders>
                                  <w:noWrap/>
                                  <w:hideMark/>
                                </w:tcPr>
                                <w:p w14:paraId="467816D9"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Other Operating Exp., Total</w:t>
                                  </w:r>
                                </w:p>
                              </w:tc>
                              <w:tc>
                                <w:tcPr>
                                  <w:tcW w:w="452" w:type="pct"/>
                                  <w:tcBorders>
                                    <w:top w:val="single" w:sz="4" w:space="0" w:color="000000"/>
                                    <w:left w:val="nil"/>
                                    <w:bottom w:val="nil"/>
                                    <w:right w:val="nil"/>
                                  </w:tcBorders>
                                  <w:hideMark/>
                                </w:tcPr>
                                <w:p w14:paraId="08114E4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15.1 </w:t>
                                  </w:r>
                                </w:p>
                              </w:tc>
                              <w:tc>
                                <w:tcPr>
                                  <w:tcW w:w="506" w:type="pct"/>
                                  <w:tcBorders>
                                    <w:top w:val="single" w:sz="4" w:space="0" w:color="000000"/>
                                    <w:left w:val="nil"/>
                                    <w:bottom w:val="nil"/>
                                    <w:right w:val="nil"/>
                                  </w:tcBorders>
                                  <w:hideMark/>
                                </w:tcPr>
                                <w:p w14:paraId="1AF51CF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16.4 </w:t>
                                  </w:r>
                                </w:p>
                              </w:tc>
                              <w:tc>
                                <w:tcPr>
                                  <w:tcW w:w="506" w:type="pct"/>
                                  <w:tcBorders>
                                    <w:top w:val="single" w:sz="4" w:space="0" w:color="000000"/>
                                    <w:left w:val="nil"/>
                                    <w:bottom w:val="nil"/>
                                    <w:right w:val="nil"/>
                                  </w:tcBorders>
                                  <w:hideMark/>
                                </w:tcPr>
                                <w:p w14:paraId="4865E0E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18.5 </w:t>
                                  </w:r>
                                </w:p>
                              </w:tc>
                              <w:tc>
                                <w:tcPr>
                                  <w:tcW w:w="506" w:type="pct"/>
                                  <w:tcBorders>
                                    <w:top w:val="single" w:sz="4" w:space="0" w:color="000000"/>
                                    <w:left w:val="nil"/>
                                    <w:bottom w:val="nil"/>
                                    <w:right w:val="nil"/>
                                  </w:tcBorders>
                                  <w:hideMark/>
                                </w:tcPr>
                                <w:p w14:paraId="0772440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19.7 </w:t>
                                  </w:r>
                                </w:p>
                              </w:tc>
                              <w:tc>
                                <w:tcPr>
                                  <w:tcW w:w="452" w:type="pct"/>
                                  <w:tcBorders>
                                    <w:top w:val="single" w:sz="4" w:space="0" w:color="000000"/>
                                    <w:left w:val="nil"/>
                                    <w:bottom w:val="nil"/>
                                    <w:right w:val="nil"/>
                                  </w:tcBorders>
                                  <w:hideMark/>
                                </w:tcPr>
                                <w:p w14:paraId="45A8A4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21.6 </w:t>
                                  </w:r>
                                </w:p>
                              </w:tc>
                              <w:tc>
                                <w:tcPr>
                                  <w:tcW w:w="452" w:type="pct"/>
                                  <w:tcBorders>
                                    <w:top w:val="single" w:sz="4" w:space="0" w:color="000000"/>
                                    <w:left w:val="nil"/>
                                    <w:bottom w:val="nil"/>
                                    <w:right w:val="nil"/>
                                  </w:tcBorders>
                                  <w:hideMark/>
                                </w:tcPr>
                                <w:p w14:paraId="71B2E23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22.8 </w:t>
                                  </w:r>
                                </w:p>
                              </w:tc>
                              <w:tc>
                                <w:tcPr>
                                  <w:tcW w:w="535" w:type="pct"/>
                                  <w:tcBorders>
                                    <w:top w:val="single" w:sz="4" w:space="0" w:color="000000"/>
                                    <w:left w:val="nil"/>
                                    <w:bottom w:val="nil"/>
                                    <w:right w:val="nil"/>
                                  </w:tcBorders>
                                  <w:hideMark/>
                                </w:tcPr>
                                <w:p w14:paraId="769CB76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23.7 </w:t>
                                  </w:r>
                                </w:p>
                              </w:tc>
                            </w:tr>
                            <w:tr w:rsidR="003C2F53" w:rsidRPr="00057F31" w14:paraId="38B61349" w14:textId="77777777" w:rsidTr="00057F31">
                              <w:trPr>
                                <w:trHeight w:val="204"/>
                              </w:trPr>
                              <w:tc>
                                <w:tcPr>
                                  <w:tcW w:w="1588" w:type="pct"/>
                                  <w:tcBorders>
                                    <w:top w:val="nil"/>
                                    <w:left w:val="nil"/>
                                    <w:bottom w:val="nil"/>
                                    <w:right w:val="nil"/>
                                  </w:tcBorders>
                                  <w:noWrap/>
                                  <w:hideMark/>
                                </w:tcPr>
                                <w:p w14:paraId="6D49B35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Operating Income</w:t>
                                  </w:r>
                                </w:p>
                              </w:tc>
                              <w:tc>
                                <w:tcPr>
                                  <w:tcW w:w="452" w:type="pct"/>
                                  <w:tcBorders>
                                    <w:top w:val="nil"/>
                                    <w:left w:val="nil"/>
                                    <w:bottom w:val="nil"/>
                                    <w:right w:val="nil"/>
                                  </w:tcBorders>
                                  <w:hideMark/>
                                </w:tcPr>
                                <w:p w14:paraId="3F72A33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4.7 </w:t>
                                  </w:r>
                                </w:p>
                              </w:tc>
                              <w:tc>
                                <w:tcPr>
                                  <w:tcW w:w="506" w:type="pct"/>
                                  <w:tcBorders>
                                    <w:top w:val="nil"/>
                                    <w:left w:val="nil"/>
                                    <w:bottom w:val="nil"/>
                                    <w:right w:val="nil"/>
                                  </w:tcBorders>
                                  <w:hideMark/>
                                </w:tcPr>
                                <w:p w14:paraId="2BEC6A3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nil"/>
                                    <w:left w:val="nil"/>
                                    <w:bottom w:val="nil"/>
                                    <w:right w:val="nil"/>
                                  </w:tcBorders>
                                  <w:hideMark/>
                                </w:tcPr>
                                <w:p w14:paraId="27B4B0A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6.8 </w:t>
                                  </w:r>
                                </w:p>
                              </w:tc>
                              <w:tc>
                                <w:tcPr>
                                  <w:tcW w:w="506" w:type="pct"/>
                                  <w:tcBorders>
                                    <w:top w:val="nil"/>
                                    <w:left w:val="nil"/>
                                    <w:bottom w:val="nil"/>
                                    <w:right w:val="nil"/>
                                  </w:tcBorders>
                                  <w:hideMark/>
                                </w:tcPr>
                                <w:p w14:paraId="59E8DDB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7.9 </w:t>
                                  </w:r>
                                </w:p>
                              </w:tc>
                              <w:tc>
                                <w:tcPr>
                                  <w:tcW w:w="452" w:type="pct"/>
                                  <w:tcBorders>
                                    <w:top w:val="nil"/>
                                    <w:left w:val="nil"/>
                                    <w:bottom w:val="nil"/>
                                    <w:right w:val="nil"/>
                                  </w:tcBorders>
                                  <w:hideMark/>
                                </w:tcPr>
                                <w:p w14:paraId="558F7FE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8.5 </w:t>
                                  </w:r>
                                </w:p>
                              </w:tc>
                              <w:tc>
                                <w:tcPr>
                                  <w:tcW w:w="452" w:type="pct"/>
                                  <w:tcBorders>
                                    <w:top w:val="nil"/>
                                    <w:left w:val="nil"/>
                                    <w:bottom w:val="nil"/>
                                    <w:right w:val="nil"/>
                                  </w:tcBorders>
                                  <w:hideMark/>
                                </w:tcPr>
                                <w:p w14:paraId="7D2B0F3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9.3 </w:t>
                                  </w:r>
                                </w:p>
                              </w:tc>
                              <w:tc>
                                <w:tcPr>
                                  <w:tcW w:w="535" w:type="pct"/>
                                  <w:tcBorders>
                                    <w:top w:val="nil"/>
                                    <w:left w:val="nil"/>
                                    <w:bottom w:val="nil"/>
                                    <w:right w:val="nil"/>
                                  </w:tcBorders>
                                  <w:hideMark/>
                                </w:tcPr>
                                <w:p w14:paraId="77F2CD2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9.8 </w:t>
                                  </w:r>
                                </w:p>
                              </w:tc>
                            </w:tr>
                            <w:tr w:rsidR="003C2F53" w:rsidRPr="00057F31" w14:paraId="4EB07C39" w14:textId="77777777" w:rsidTr="00057F31">
                              <w:trPr>
                                <w:trHeight w:val="204"/>
                              </w:trPr>
                              <w:tc>
                                <w:tcPr>
                                  <w:tcW w:w="1588" w:type="pct"/>
                                  <w:tcBorders>
                                    <w:top w:val="nil"/>
                                    <w:left w:val="nil"/>
                                    <w:bottom w:val="nil"/>
                                    <w:right w:val="nil"/>
                                  </w:tcBorders>
                                  <w:noWrap/>
                                  <w:hideMark/>
                                </w:tcPr>
                                <w:p w14:paraId="3C0EAC9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Interest Expense</w:t>
                                  </w:r>
                                </w:p>
                              </w:tc>
                              <w:tc>
                                <w:tcPr>
                                  <w:tcW w:w="452" w:type="pct"/>
                                  <w:tcBorders>
                                    <w:top w:val="nil"/>
                                    <w:left w:val="nil"/>
                                    <w:bottom w:val="nil"/>
                                    <w:right w:val="nil"/>
                                  </w:tcBorders>
                                  <w:hideMark/>
                                </w:tcPr>
                                <w:p w14:paraId="19FEF06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6458411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28C6856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62F9473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452" w:type="pct"/>
                                  <w:tcBorders>
                                    <w:top w:val="nil"/>
                                    <w:left w:val="nil"/>
                                    <w:bottom w:val="nil"/>
                                    <w:right w:val="nil"/>
                                  </w:tcBorders>
                                  <w:hideMark/>
                                </w:tcPr>
                                <w:p w14:paraId="102CFD2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452" w:type="pct"/>
                                  <w:tcBorders>
                                    <w:top w:val="nil"/>
                                    <w:left w:val="nil"/>
                                    <w:bottom w:val="nil"/>
                                    <w:right w:val="nil"/>
                                  </w:tcBorders>
                                  <w:hideMark/>
                                </w:tcPr>
                                <w:p w14:paraId="28F9105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35" w:type="pct"/>
                                  <w:tcBorders>
                                    <w:top w:val="nil"/>
                                    <w:left w:val="nil"/>
                                    <w:bottom w:val="nil"/>
                                    <w:right w:val="nil"/>
                                  </w:tcBorders>
                                  <w:hideMark/>
                                </w:tcPr>
                                <w:p w14:paraId="75F4E2D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r>
                            <w:tr w:rsidR="003C2F53" w:rsidRPr="00057F31" w14:paraId="70E6E935" w14:textId="77777777" w:rsidTr="00057F31">
                              <w:trPr>
                                <w:trHeight w:val="204"/>
                              </w:trPr>
                              <w:tc>
                                <w:tcPr>
                                  <w:tcW w:w="1588" w:type="pct"/>
                                  <w:tcBorders>
                                    <w:top w:val="nil"/>
                                    <w:left w:val="nil"/>
                                    <w:bottom w:val="nil"/>
                                    <w:right w:val="nil"/>
                                  </w:tcBorders>
                                  <w:noWrap/>
                                  <w:hideMark/>
                                </w:tcPr>
                                <w:p w14:paraId="639A703F"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Interest and </w:t>
                                  </w:r>
                                  <w:r w:rsidRPr="00057F31">
                                    <w:rPr>
                                      <w:rFonts w:ascii="Cambria" w:eastAsia="Times New Roman" w:hAnsi="Cambria" w:cs="Arial"/>
                                      <w:color w:val="000000"/>
                                      <w:kern w:val="0"/>
                                      <w:sz w:val="14"/>
                                      <w:szCs w:val="14"/>
                                      <w:lang w:eastAsia="en-IN"/>
                                      <w14:ligatures w14:val="none"/>
                                    </w:rPr>
                                    <w:t>Invest. Income</w:t>
                                  </w:r>
                                </w:p>
                              </w:tc>
                              <w:tc>
                                <w:tcPr>
                                  <w:tcW w:w="452" w:type="pct"/>
                                  <w:tcBorders>
                                    <w:top w:val="nil"/>
                                    <w:left w:val="nil"/>
                                    <w:bottom w:val="nil"/>
                                    <w:right w:val="nil"/>
                                  </w:tcBorders>
                                  <w:hideMark/>
                                </w:tcPr>
                                <w:p w14:paraId="36D0FD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0A889F3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36518D8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71AF278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678BEAF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0.5 </w:t>
                                  </w:r>
                                </w:p>
                              </w:tc>
                              <w:tc>
                                <w:tcPr>
                                  <w:tcW w:w="452" w:type="pct"/>
                                  <w:tcBorders>
                                    <w:top w:val="nil"/>
                                    <w:left w:val="nil"/>
                                    <w:bottom w:val="nil"/>
                                    <w:right w:val="nil"/>
                                  </w:tcBorders>
                                  <w:hideMark/>
                                </w:tcPr>
                                <w:p w14:paraId="7DC2C57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0.5 </w:t>
                                  </w:r>
                                </w:p>
                              </w:tc>
                              <w:tc>
                                <w:tcPr>
                                  <w:tcW w:w="535" w:type="pct"/>
                                  <w:tcBorders>
                                    <w:top w:val="nil"/>
                                    <w:left w:val="nil"/>
                                    <w:bottom w:val="nil"/>
                                    <w:right w:val="nil"/>
                                  </w:tcBorders>
                                  <w:hideMark/>
                                </w:tcPr>
                                <w:p w14:paraId="341DA8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5ED9155E" w14:textId="77777777" w:rsidTr="00057F31">
                              <w:trPr>
                                <w:trHeight w:val="204"/>
                              </w:trPr>
                              <w:tc>
                                <w:tcPr>
                                  <w:tcW w:w="1588" w:type="pct"/>
                                  <w:tcBorders>
                                    <w:top w:val="nil"/>
                                    <w:left w:val="nil"/>
                                    <w:bottom w:val="nil"/>
                                    <w:right w:val="nil"/>
                                  </w:tcBorders>
                                  <w:noWrap/>
                                  <w:hideMark/>
                                </w:tcPr>
                                <w:p w14:paraId="658D9747"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Interest Exp.</w:t>
                                  </w:r>
                                </w:p>
                              </w:tc>
                              <w:tc>
                                <w:tcPr>
                                  <w:tcW w:w="452" w:type="pct"/>
                                  <w:tcBorders>
                                    <w:top w:val="single" w:sz="4" w:space="0" w:color="000000"/>
                                    <w:left w:val="nil"/>
                                    <w:bottom w:val="nil"/>
                                    <w:right w:val="nil"/>
                                  </w:tcBorders>
                                  <w:hideMark/>
                                </w:tcPr>
                                <w:p w14:paraId="03F176E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 </w:t>
                                  </w:r>
                                </w:p>
                              </w:tc>
                              <w:tc>
                                <w:tcPr>
                                  <w:tcW w:w="506" w:type="pct"/>
                                  <w:tcBorders>
                                    <w:top w:val="single" w:sz="4" w:space="0" w:color="000000"/>
                                    <w:left w:val="nil"/>
                                    <w:bottom w:val="nil"/>
                                    <w:right w:val="nil"/>
                                  </w:tcBorders>
                                  <w:hideMark/>
                                </w:tcPr>
                                <w:p w14:paraId="616B5C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506" w:type="pct"/>
                                  <w:tcBorders>
                                    <w:top w:val="single" w:sz="4" w:space="0" w:color="000000"/>
                                    <w:left w:val="nil"/>
                                    <w:bottom w:val="nil"/>
                                    <w:right w:val="nil"/>
                                  </w:tcBorders>
                                  <w:hideMark/>
                                </w:tcPr>
                                <w:p w14:paraId="6EBFD9E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506" w:type="pct"/>
                                  <w:tcBorders>
                                    <w:top w:val="single" w:sz="4" w:space="0" w:color="000000"/>
                                    <w:left w:val="nil"/>
                                    <w:bottom w:val="nil"/>
                                    <w:right w:val="nil"/>
                                  </w:tcBorders>
                                  <w:hideMark/>
                                </w:tcPr>
                                <w:p w14:paraId="511718A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452" w:type="pct"/>
                                  <w:tcBorders>
                                    <w:top w:val="single" w:sz="4" w:space="0" w:color="000000"/>
                                    <w:left w:val="nil"/>
                                    <w:bottom w:val="nil"/>
                                    <w:right w:val="nil"/>
                                  </w:tcBorders>
                                  <w:hideMark/>
                                </w:tcPr>
                                <w:p w14:paraId="7E1ABA0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0.3 </w:t>
                                  </w:r>
                                </w:p>
                              </w:tc>
                              <w:tc>
                                <w:tcPr>
                                  <w:tcW w:w="452" w:type="pct"/>
                                  <w:tcBorders>
                                    <w:top w:val="single" w:sz="4" w:space="0" w:color="000000"/>
                                    <w:left w:val="nil"/>
                                    <w:bottom w:val="nil"/>
                                    <w:right w:val="nil"/>
                                  </w:tcBorders>
                                  <w:hideMark/>
                                </w:tcPr>
                                <w:p w14:paraId="625F912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0.4 </w:t>
                                  </w:r>
                                </w:p>
                              </w:tc>
                              <w:tc>
                                <w:tcPr>
                                  <w:tcW w:w="535" w:type="pct"/>
                                  <w:tcBorders>
                                    <w:top w:val="single" w:sz="4" w:space="0" w:color="000000"/>
                                    <w:left w:val="nil"/>
                                    <w:bottom w:val="nil"/>
                                    <w:right w:val="nil"/>
                                  </w:tcBorders>
                                  <w:hideMark/>
                                </w:tcPr>
                                <w:p w14:paraId="07518E9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0.3 </w:t>
                                  </w:r>
                                </w:p>
                              </w:tc>
                            </w:tr>
                            <w:tr w:rsidR="003C2F53" w:rsidRPr="00057F31" w14:paraId="76B5F58A" w14:textId="77777777" w:rsidTr="00057F31">
                              <w:trPr>
                                <w:trHeight w:val="204"/>
                              </w:trPr>
                              <w:tc>
                                <w:tcPr>
                                  <w:tcW w:w="1588" w:type="pct"/>
                                  <w:tcBorders>
                                    <w:top w:val="nil"/>
                                    <w:left w:val="nil"/>
                                    <w:bottom w:val="nil"/>
                                    <w:right w:val="nil"/>
                                  </w:tcBorders>
                                  <w:noWrap/>
                                  <w:hideMark/>
                                </w:tcPr>
                                <w:p w14:paraId="4915AC69"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Currency Exchange Gains (Loss)</w:t>
                                  </w:r>
                                </w:p>
                              </w:tc>
                              <w:tc>
                                <w:tcPr>
                                  <w:tcW w:w="452" w:type="pct"/>
                                  <w:tcBorders>
                                    <w:top w:val="nil"/>
                                    <w:left w:val="nil"/>
                                    <w:bottom w:val="nil"/>
                                    <w:right w:val="nil"/>
                                  </w:tcBorders>
                                  <w:hideMark/>
                                </w:tcPr>
                                <w:p w14:paraId="5F841C3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6A3C908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308062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4859614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27F6A2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3BD7797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35" w:type="pct"/>
                                  <w:tcBorders>
                                    <w:top w:val="nil"/>
                                    <w:left w:val="nil"/>
                                    <w:bottom w:val="nil"/>
                                    <w:right w:val="nil"/>
                                  </w:tcBorders>
                                  <w:hideMark/>
                                </w:tcPr>
                                <w:p w14:paraId="545C5F0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r>
                            <w:tr w:rsidR="003C2F53" w:rsidRPr="00057F31" w14:paraId="4C893EFA" w14:textId="77777777" w:rsidTr="00057F31">
                              <w:trPr>
                                <w:trHeight w:val="204"/>
                              </w:trPr>
                              <w:tc>
                                <w:tcPr>
                                  <w:tcW w:w="1588" w:type="pct"/>
                                  <w:tcBorders>
                                    <w:top w:val="nil"/>
                                    <w:left w:val="nil"/>
                                    <w:bottom w:val="nil"/>
                                    <w:right w:val="nil"/>
                                  </w:tcBorders>
                                  <w:noWrap/>
                                  <w:hideMark/>
                                </w:tcPr>
                                <w:p w14:paraId="3D99AE3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Other Non-Operating Inc. (Exp.)</w:t>
                                  </w:r>
                                </w:p>
                              </w:tc>
                              <w:tc>
                                <w:tcPr>
                                  <w:tcW w:w="452" w:type="pct"/>
                                  <w:tcBorders>
                                    <w:top w:val="nil"/>
                                    <w:left w:val="nil"/>
                                    <w:bottom w:val="nil"/>
                                    <w:right w:val="nil"/>
                                  </w:tcBorders>
                                  <w:hideMark/>
                                </w:tcPr>
                                <w:p w14:paraId="4BBD29D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32FB810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 </w:t>
                                  </w:r>
                                </w:p>
                              </w:tc>
                              <w:tc>
                                <w:tcPr>
                                  <w:tcW w:w="506" w:type="pct"/>
                                  <w:tcBorders>
                                    <w:top w:val="nil"/>
                                    <w:left w:val="nil"/>
                                    <w:bottom w:val="nil"/>
                                    <w:right w:val="nil"/>
                                  </w:tcBorders>
                                  <w:hideMark/>
                                </w:tcPr>
                                <w:p w14:paraId="7592253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02AB6F6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05DC840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77C1C55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35" w:type="pct"/>
                                  <w:tcBorders>
                                    <w:top w:val="nil"/>
                                    <w:left w:val="nil"/>
                                    <w:bottom w:val="nil"/>
                                    <w:right w:val="nil"/>
                                  </w:tcBorders>
                                  <w:hideMark/>
                                </w:tcPr>
                                <w:p w14:paraId="5FBC0E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r>
                            <w:tr w:rsidR="003C2F53" w:rsidRPr="00057F31" w14:paraId="50F64523" w14:textId="77777777" w:rsidTr="00057F31">
                              <w:trPr>
                                <w:trHeight w:val="204"/>
                              </w:trPr>
                              <w:tc>
                                <w:tcPr>
                                  <w:tcW w:w="1588" w:type="pct"/>
                                  <w:tcBorders>
                                    <w:top w:val="nil"/>
                                    <w:left w:val="nil"/>
                                    <w:bottom w:val="nil"/>
                                    <w:right w:val="nil"/>
                                  </w:tcBorders>
                                  <w:noWrap/>
                                  <w:hideMark/>
                                </w:tcPr>
                                <w:p w14:paraId="4841E186"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EBT Excl. Unusual Items</w:t>
                                  </w:r>
                                </w:p>
                              </w:tc>
                              <w:tc>
                                <w:tcPr>
                                  <w:tcW w:w="452" w:type="pct"/>
                                  <w:tcBorders>
                                    <w:top w:val="single" w:sz="4" w:space="0" w:color="000000"/>
                                    <w:left w:val="nil"/>
                                    <w:bottom w:val="nil"/>
                                    <w:right w:val="nil"/>
                                  </w:tcBorders>
                                  <w:hideMark/>
                                </w:tcPr>
                                <w:p w14:paraId="2275B05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4.8 </w:t>
                                  </w:r>
                                </w:p>
                              </w:tc>
                              <w:tc>
                                <w:tcPr>
                                  <w:tcW w:w="506" w:type="pct"/>
                                  <w:tcBorders>
                                    <w:top w:val="single" w:sz="4" w:space="0" w:color="000000"/>
                                    <w:left w:val="nil"/>
                                    <w:bottom w:val="nil"/>
                                    <w:right w:val="nil"/>
                                  </w:tcBorders>
                                  <w:hideMark/>
                                </w:tcPr>
                                <w:p w14:paraId="17F9D6B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single" w:sz="4" w:space="0" w:color="000000"/>
                                    <w:left w:val="nil"/>
                                    <w:bottom w:val="nil"/>
                                    <w:right w:val="nil"/>
                                  </w:tcBorders>
                                  <w:hideMark/>
                                </w:tcPr>
                                <w:p w14:paraId="66AEE24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6.8 </w:t>
                                  </w:r>
                                </w:p>
                              </w:tc>
                              <w:tc>
                                <w:tcPr>
                                  <w:tcW w:w="506" w:type="pct"/>
                                  <w:tcBorders>
                                    <w:top w:val="single" w:sz="4" w:space="0" w:color="000000"/>
                                    <w:left w:val="nil"/>
                                    <w:bottom w:val="nil"/>
                                    <w:right w:val="nil"/>
                                  </w:tcBorders>
                                  <w:hideMark/>
                                </w:tcPr>
                                <w:p w14:paraId="5E2C8A2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8.0 </w:t>
                                  </w:r>
                                </w:p>
                              </w:tc>
                              <w:tc>
                                <w:tcPr>
                                  <w:tcW w:w="452" w:type="pct"/>
                                  <w:tcBorders>
                                    <w:top w:val="single" w:sz="4" w:space="0" w:color="000000"/>
                                    <w:left w:val="nil"/>
                                    <w:bottom w:val="nil"/>
                                    <w:right w:val="nil"/>
                                  </w:tcBorders>
                                  <w:hideMark/>
                                </w:tcPr>
                                <w:p w14:paraId="6DBDB0E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8.9 </w:t>
                                  </w:r>
                                </w:p>
                              </w:tc>
                              <w:tc>
                                <w:tcPr>
                                  <w:tcW w:w="452" w:type="pct"/>
                                  <w:tcBorders>
                                    <w:top w:val="single" w:sz="4" w:space="0" w:color="000000"/>
                                    <w:left w:val="nil"/>
                                    <w:bottom w:val="nil"/>
                                    <w:right w:val="nil"/>
                                  </w:tcBorders>
                                  <w:hideMark/>
                                </w:tcPr>
                                <w:p w14:paraId="2138252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9.7 </w:t>
                                  </w:r>
                                </w:p>
                              </w:tc>
                              <w:tc>
                                <w:tcPr>
                                  <w:tcW w:w="535" w:type="pct"/>
                                  <w:tcBorders>
                                    <w:top w:val="single" w:sz="4" w:space="0" w:color="000000"/>
                                    <w:left w:val="nil"/>
                                    <w:bottom w:val="nil"/>
                                    <w:right w:val="nil"/>
                                  </w:tcBorders>
                                  <w:hideMark/>
                                </w:tcPr>
                                <w:p w14:paraId="01F5E2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10.1 </w:t>
                                  </w:r>
                                </w:p>
                              </w:tc>
                            </w:tr>
                            <w:tr w:rsidR="003C2F53" w:rsidRPr="00057F31" w14:paraId="52EFE3ED" w14:textId="77777777" w:rsidTr="00057F31">
                              <w:trPr>
                                <w:trHeight w:val="204"/>
                              </w:trPr>
                              <w:tc>
                                <w:tcPr>
                                  <w:tcW w:w="1588" w:type="pct"/>
                                  <w:tcBorders>
                                    <w:top w:val="nil"/>
                                    <w:left w:val="nil"/>
                                    <w:bottom w:val="nil"/>
                                    <w:right w:val="nil"/>
                                  </w:tcBorders>
                                  <w:noWrap/>
                                  <w:hideMark/>
                                </w:tcPr>
                                <w:p w14:paraId="12C721E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EBT Incl. Unusual Items</w:t>
                                  </w:r>
                                </w:p>
                              </w:tc>
                              <w:tc>
                                <w:tcPr>
                                  <w:tcW w:w="452" w:type="pct"/>
                                  <w:tcBorders>
                                    <w:top w:val="single" w:sz="4" w:space="0" w:color="000000"/>
                                    <w:left w:val="nil"/>
                                    <w:bottom w:val="nil"/>
                                    <w:right w:val="nil"/>
                                  </w:tcBorders>
                                  <w:hideMark/>
                                </w:tcPr>
                                <w:p w14:paraId="7C6CE27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4.8 </w:t>
                                  </w:r>
                                </w:p>
                              </w:tc>
                              <w:tc>
                                <w:tcPr>
                                  <w:tcW w:w="506" w:type="pct"/>
                                  <w:tcBorders>
                                    <w:top w:val="single" w:sz="4" w:space="0" w:color="000000"/>
                                    <w:left w:val="nil"/>
                                    <w:bottom w:val="nil"/>
                                    <w:right w:val="nil"/>
                                  </w:tcBorders>
                                  <w:hideMark/>
                                </w:tcPr>
                                <w:p w14:paraId="78384AD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single" w:sz="4" w:space="0" w:color="000000"/>
                                    <w:left w:val="nil"/>
                                    <w:bottom w:val="nil"/>
                                    <w:right w:val="nil"/>
                                  </w:tcBorders>
                                  <w:hideMark/>
                                </w:tcPr>
                                <w:p w14:paraId="229B034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6.7 </w:t>
                                  </w:r>
                                </w:p>
                              </w:tc>
                              <w:tc>
                                <w:tcPr>
                                  <w:tcW w:w="506" w:type="pct"/>
                                  <w:tcBorders>
                                    <w:top w:val="single" w:sz="4" w:space="0" w:color="000000"/>
                                    <w:left w:val="nil"/>
                                    <w:bottom w:val="nil"/>
                                    <w:right w:val="nil"/>
                                  </w:tcBorders>
                                  <w:hideMark/>
                                </w:tcPr>
                                <w:p w14:paraId="2FD97C0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7.8 </w:t>
                                  </w:r>
                                </w:p>
                              </w:tc>
                              <w:tc>
                                <w:tcPr>
                                  <w:tcW w:w="452" w:type="pct"/>
                                  <w:tcBorders>
                                    <w:top w:val="single" w:sz="4" w:space="0" w:color="000000"/>
                                    <w:left w:val="nil"/>
                                    <w:bottom w:val="nil"/>
                                    <w:right w:val="nil"/>
                                  </w:tcBorders>
                                  <w:hideMark/>
                                </w:tcPr>
                                <w:p w14:paraId="457906F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8.5 </w:t>
                                  </w:r>
                                </w:p>
                              </w:tc>
                              <w:tc>
                                <w:tcPr>
                                  <w:tcW w:w="452" w:type="pct"/>
                                  <w:tcBorders>
                                    <w:top w:val="single" w:sz="4" w:space="0" w:color="000000"/>
                                    <w:left w:val="nil"/>
                                    <w:bottom w:val="nil"/>
                                    <w:right w:val="nil"/>
                                  </w:tcBorders>
                                  <w:hideMark/>
                                </w:tcPr>
                                <w:p w14:paraId="4F0C2DE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9.7 </w:t>
                                  </w:r>
                                </w:p>
                              </w:tc>
                              <w:tc>
                                <w:tcPr>
                                  <w:tcW w:w="535" w:type="pct"/>
                                  <w:tcBorders>
                                    <w:top w:val="single" w:sz="4" w:space="0" w:color="000000"/>
                                    <w:left w:val="nil"/>
                                    <w:bottom w:val="nil"/>
                                    <w:right w:val="nil"/>
                                  </w:tcBorders>
                                  <w:hideMark/>
                                </w:tcPr>
                                <w:p w14:paraId="214AF04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10.1 </w:t>
                                  </w:r>
                                </w:p>
                              </w:tc>
                            </w:tr>
                            <w:tr w:rsidR="003C2F53" w:rsidRPr="00057F31" w14:paraId="37634B39" w14:textId="77777777" w:rsidTr="00057F31">
                              <w:trPr>
                                <w:trHeight w:val="204"/>
                              </w:trPr>
                              <w:tc>
                                <w:tcPr>
                                  <w:tcW w:w="1588" w:type="pct"/>
                                  <w:tcBorders>
                                    <w:top w:val="nil"/>
                                    <w:left w:val="nil"/>
                                    <w:bottom w:val="nil"/>
                                    <w:right w:val="nil"/>
                                  </w:tcBorders>
                                  <w:noWrap/>
                                  <w:hideMark/>
                                </w:tcPr>
                                <w:p w14:paraId="5807CDAB"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Income Tax Expense</w:t>
                                  </w:r>
                                </w:p>
                              </w:tc>
                              <w:tc>
                                <w:tcPr>
                                  <w:tcW w:w="452" w:type="pct"/>
                                  <w:tcBorders>
                                    <w:top w:val="nil"/>
                                    <w:left w:val="nil"/>
                                    <w:bottom w:val="nil"/>
                                    <w:right w:val="nil"/>
                                  </w:tcBorders>
                                  <w:hideMark/>
                                </w:tcPr>
                                <w:p w14:paraId="3E69F96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 </w:t>
                                  </w:r>
                                </w:p>
                              </w:tc>
                              <w:tc>
                                <w:tcPr>
                                  <w:tcW w:w="506" w:type="pct"/>
                                  <w:tcBorders>
                                    <w:top w:val="nil"/>
                                    <w:left w:val="nil"/>
                                    <w:bottom w:val="nil"/>
                                    <w:right w:val="nil"/>
                                  </w:tcBorders>
                                  <w:hideMark/>
                                </w:tcPr>
                                <w:p w14:paraId="0291CDE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 </w:t>
                                  </w:r>
                                </w:p>
                              </w:tc>
                              <w:tc>
                                <w:tcPr>
                                  <w:tcW w:w="506" w:type="pct"/>
                                  <w:tcBorders>
                                    <w:top w:val="nil"/>
                                    <w:left w:val="nil"/>
                                    <w:bottom w:val="nil"/>
                                    <w:right w:val="nil"/>
                                  </w:tcBorders>
                                  <w:hideMark/>
                                </w:tcPr>
                                <w:p w14:paraId="2E95809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 </w:t>
                                  </w:r>
                                </w:p>
                              </w:tc>
                              <w:tc>
                                <w:tcPr>
                                  <w:tcW w:w="506" w:type="pct"/>
                                  <w:tcBorders>
                                    <w:top w:val="nil"/>
                                    <w:left w:val="nil"/>
                                    <w:bottom w:val="nil"/>
                                    <w:right w:val="nil"/>
                                  </w:tcBorders>
                                  <w:hideMark/>
                                </w:tcPr>
                                <w:p w14:paraId="38741BD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 </w:t>
                                  </w:r>
                                </w:p>
                              </w:tc>
                              <w:tc>
                                <w:tcPr>
                                  <w:tcW w:w="452" w:type="pct"/>
                                  <w:tcBorders>
                                    <w:top w:val="nil"/>
                                    <w:left w:val="nil"/>
                                    <w:bottom w:val="nil"/>
                                    <w:right w:val="nil"/>
                                  </w:tcBorders>
                                  <w:hideMark/>
                                </w:tcPr>
                                <w:p w14:paraId="595D144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 </w:t>
                                  </w:r>
                                </w:p>
                              </w:tc>
                              <w:tc>
                                <w:tcPr>
                                  <w:tcW w:w="452" w:type="pct"/>
                                  <w:tcBorders>
                                    <w:top w:val="nil"/>
                                    <w:left w:val="nil"/>
                                    <w:bottom w:val="nil"/>
                                    <w:right w:val="nil"/>
                                  </w:tcBorders>
                                  <w:hideMark/>
                                </w:tcPr>
                                <w:p w14:paraId="62DF7CF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2.4 </w:t>
                                  </w:r>
                                </w:p>
                              </w:tc>
                              <w:tc>
                                <w:tcPr>
                                  <w:tcW w:w="535" w:type="pct"/>
                                  <w:tcBorders>
                                    <w:top w:val="nil"/>
                                    <w:left w:val="nil"/>
                                    <w:bottom w:val="nil"/>
                                    <w:right w:val="nil"/>
                                  </w:tcBorders>
                                  <w:hideMark/>
                                </w:tcPr>
                                <w:p w14:paraId="32CB2B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 </w:t>
                                  </w:r>
                                </w:p>
                              </w:tc>
                            </w:tr>
                            <w:tr w:rsidR="003C2F53" w:rsidRPr="00057F31" w14:paraId="4D4FCF81" w14:textId="77777777" w:rsidTr="00057F31">
                              <w:trPr>
                                <w:trHeight w:val="204"/>
                              </w:trPr>
                              <w:tc>
                                <w:tcPr>
                                  <w:tcW w:w="1588" w:type="pct"/>
                                  <w:tcBorders>
                                    <w:top w:val="nil"/>
                                    <w:left w:val="nil"/>
                                    <w:bottom w:val="nil"/>
                                    <w:right w:val="nil"/>
                                  </w:tcBorders>
                                  <w:noWrap/>
                                  <w:hideMark/>
                                </w:tcPr>
                                <w:p w14:paraId="77499A07"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Earnings from Cont. Ops.</w:t>
                                  </w:r>
                                </w:p>
                              </w:tc>
                              <w:tc>
                                <w:tcPr>
                                  <w:tcW w:w="452" w:type="pct"/>
                                  <w:tcBorders>
                                    <w:top w:val="single" w:sz="4" w:space="0" w:color="000000"/>
                                    <w:left w:val="nil"/>
                                    <w:bottom w:val="nil"/>
                                    <w:right w:val="nil"/>
                                  </w:tcBorders>
                                  <w:hideMark/>
                                </w:tcPr>
                                <w:p w14:paraId="5DA6F3F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single" w:sz="4" w:space="0" w:color="000000"/>
                                    <w:left w:val="nil"/>
                                    <w:bottom w:val="nil"/>
                                    <w:right w:val="nil"/>
                                  </w:tcBorders>
                                  <w:hideMark/>
                                </w:tcPr>
                                <w:p w14:paraId="68E9C9C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4.1 </w:t>
                                  </w:r>
                                </w:p>
                              </w:tc>
                              <w:tc>
                                <w:tcPr>
                                  <w:tcW w:w="506" w:type="pct"/>
                                  <w:tcBorders>
                                    <w:top w:val="single" w:sz="4" w:space="0" w:color="000000"/>
                                    <w:left w:val="nil"/>
                                    <w:bottom w:val="nil"/>
                                    <w:right w:val="nil"/>
                                  </w:tcBorders>
                                  <w:hideMark/>
                                </w:tcPr>
                                <w:p w14:paraId="6BEDE37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5.1 </w:t>
                                  </w:r>
                                </w:p>
                              </w:tc>
                              <w:tc>
                                <w:tcPr>
                                  <w:tcW w:w="506" w:type="pct"/>
                                  <w:tcBorders>
                                    <w:top w:val="single" w:sz="4" w:space="0" w:color="000000"/>
                                    <w:left w:val="nil"/>
                                    <w:bottom w:val="nil"/>
                                    <w:right w:val="nil"/>
                                  </w:tcBorders>
                                  <w:hideMark/>
                                </w:tcPr>
                                <w:p w14:paraId="203BBA0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5.9 </w:t>
                                  </w:r>
                                </w:p>
                              </w:tc>
                              <w:tc>
                                <w:tcPr>
                                  <w:tcW w:w="452" w:type="pct"/>
                                  <w:tcBorders>
                                    <w:top w:val="single" w:sz="4" w:space="0" w:color="000000"/>
                                    <w:left w:val="nil"/>
                                    <w:bottom w:val="nil"/>
                                    <w:right w:val="nil"/>
                                  </w:tcBorders>
                                  <w:hideMark/>
                                </w:tcPr>
                                <w:p w14:paraId="2E5C4CC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single" w:sz="4" w:space="0" w:color="000000"/>
                                    <w:left w:val="nil"/>
                                    <w:bottom w:val="nil"/>
                                    <w:right w:val="nil"/>
                                  </w:tcBorders>
                                  <w:hideMark/>
                                </w:tcPr>
                                <w:p w14:paraId="25FA248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single" w:sz="4" w:space="0" w:color="000000"/>
                                    <w:left w:val="nil"/>
                                    <w:bottom w:val="nil"/>
                                    <w:right w:val="nil"/>
                                  </w:tcBorders>
                                  <w:hideMark/>
                                </w:tcPr>
                                <w:p w14:paraId="0858AF7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419C9E87" w14:textId="77777777" w:rsidTr="00057F31">
                              <w:trPr>
                                <w:trHeight w:val="204"/>
                              </w:trPr>
                              <w:tc>
                                <w:tcPr>
                                  <w:tcW w:w="1588" w:type="pct"/>
                                  <w:tcBorders>
                                    <w:top w:val="nil"/>
                                    <w:left w:val="nil"/>
                                    <w:bottom w:val="nil"/>
                                    <w:right w:val="nil"/>
                                  </w:tcBorders>
                                  <w:noWrap/>
                                  <w:hideMark/>
                                </w:tcPr>
                                <w:p w14:paraId="09D863F4"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Income to Company</w:t>
                                  </w:r>
                                </w:p>
                              </w:tc>
                              <w:tc>
                                <w:tcPr>
                                  <w:tcW w:w="452" w:type="pct"/>
                                  <w:tcBorders>
                                    <w:top w:val="single" w:sz="4" w:space="0" w:color="000000"/>
                                    <w:left w:val="nil"/>
                                    <w:bottom w:val="nil"/>
                                    <w:right w:val="nil"/>
                                  </w:tcBorders>
                                  <w:hideMark/>
                                </w:tcPr>
                                <w:p w14:paraId="4D7F442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single" w:sz="4" w:space="0" w:color="000000"/>
                                    <w:left w:val="nil"/>
                                    <w:bottom w:val="nil"/>
                                    <w:right w:val="nil"/>
                                  </w:tcBorders>
                                  <w:hideMark/>
                                </w:tcPr>
                                <w:p w14:paraId="26678FE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4.1 </w:t>
                                  </w:r>
                                </w:p>
                              </w:tc>
                              <w:tc>
                                <w:tcPr>
                                  <w:tcW w:w="506" w:type="pct"/>
                                  <w:tcBorders>
                                    <w:top w:val="single" w:sz="4" w:space="0" w:color="000000"/>
                                    <w:left w:val="nil"/>
                                    <w:bottom w:val="nil"/>
                                    <w:right w:val="nil"/>
                                  </w:tcBorders>
                                  <w:hideMark/>
                                </w:tcPr>
                                <w:p w14:paraId="6E092A3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5.1 </w:t>
                                  </w:r>
                                </w:p>
                              </w:tc>
                              <w:tc>
                                <w:tcPr>
                                  <w:tcW w:w="506" w:type="pct"/>
                                  <w:tcBorders>
                                    <w:top w:val="single" w:sz="4" w:space="0" w:color="000000"/>
                                    <w:left w:val="nil"/>
                                    <w:bottom w:val="nil"/>
                                    <w:right w:val="nil"/>
                                  </w:tcBorders>
                                  <w:hideMark/>
                                </w:tcPr>
                                <w:p w14:paraId="70A4BBB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5.9 </w:t>
                                  </w:r>
                                </w:p>
                              </w:tc>
                              <w:tc>
                                <w:tcPr>
                                  <w:tcW w:w="452" w:type="pct"/>
                                  <w:tcBorders>
                                    <w:top w:val="single" w:sz="4" w:space="0" w:color="000000"/>
                                    <w:left w:val="nil"/>
                                    <w:bottom w:val="nil"/>
                                    <w:right w:val="nil"/>
                                  </w:tcBorders>
                                  <w:hideMark/>
                                </w:tcPr>
                                <w:p w14:paraId="7AC26FE9"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single" w:sz="4" w:space="0" w:color="000000"/>
                                    <w:left w:val="nil"/>
                                    <w:bottom w:val="nil"/>
                                    <w:right w:val="nil"/>
                                  </w:tcBorders>
                                  <w:hideMark/>
                                </w:tcPr>
                                <w:p w14:paraId="104C376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single" w:sz="4" w:space="0" w:color="000000"/>
                                    <w:left w:val="nil"/>
                                    <w:bottom w:val="nil"/>
                                    <w:right w:val="nil"/>
                                  </w:tcBorders>
                                  <w:hideMark/>
                                </w:tcPr>
                                <w:p w14:paraId="56F64AB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2ADFD670" w14:textId="77777777" w:rsidTr="00057F31">
                              <w:trPr>
                                <w:trHeight w:val="204"/>
                              </w:trPr>
                              <w:tc>
                                <w:tcPr>
                                  <w:tcW w:w="1588" w:type="pct"/>
                                  <w:tcBorders>
                                    <w:top w:val="nil"/>
                                    <w:left w:val="nil"/>
                                    <w:bottom w:val="nil"/>
                                    <w:right w:val="nil"/>
                                  </w:tcBorders>
                                  <w:noWrap/>
                                  <w:hideMark/>
                                </w:tcPr>
                                <w:p w14:paraId="307A714B"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Minority Int. in Earnings</w:t>
                                  </w:r>
                                </w:p>
                              </w:tc>
                              <w:tc>
                                <w:tcPr>
                                  <w:tcW w:w="452" w:type="pct"/>
                                  <w:tcBorders>
                                    <w:top w:val="nil"/>
                                    <w:left w:val="nil"/>
                                    <w:bottom w:val="nil"/>
                                    <w:right w:val="nil"/>
                                  </w:tcBorders>
                                  <w:hideMark/>
                                </w:tcPr>
                                <w:p w14:paraId="6459125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 </w:t>
                                  </w:r>
                                </w:p>
                              </w:tc>
                              <w:tc>
                                <w:tcPr>
                                  <w:tcW w:w="506" w:type="pct"/>
                                  <w:tcBorders>
                                    <w:top w:val="nil"/>
                                    <w:left w:val="nil"/>
                                    <w:bottom w:val="nil"/>
                                    <w:right w:val="nil"/>
                                  </w:tcBorders>
                                  <w:hideMark/>
                                </w:tcPr>
                                <w:p w14:paraId="4820F05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32B0181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2897DFF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65783C3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50AA948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B1189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r>
                            <w:tr w:rsidR="003C2F53" w:rsidRPr="00057F31" w14:paraId="7B17CC9A" w14:textId="77777777" w:rsidTr="00057F31">
                              <w:trPr>
                                <w:trHeight w:val="204"/>
                              </w:trPr>
                              <w:tc>
                                <w:tcPr>
                                  <w:tcW w:w="1588" w:type="pct"/>
                                  <w:tcBorders>
                                    <w:top w:val="nil"/>
                                    <w:left w:val="nil"/>
                                    <w:bottom w:val="nil"/>
                                    <w:right w:val="nil"/>
                                  </w:tcBorders>
                                  <w:noWrap/>
                                  <w:hideMark/>
                                </w:tcPr>
                                <w:p w14:paraId="6832482C"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Income</w:t>
                                  </w:r>
                                </w:p>
                              </w:tc>
                              <w:tc>
                                <w:tcPr>
                                  <w:tcW w:w="452" w:type="pct"/>
                                  <w:tcBorders>
                                    <w:top w:val="single" w:sz="4" w:space="0" w:color="000000"/>
                                    <w:left w:val="nil"/>
                                    <w:bottom w:val="nil"/>
                                    <w:right w:val="nil"/>
                                  </w:tcBorders>
                                  <w:hideMark/>
                                </w:tcPr>
                                <w:p w14:paraId="6C07B6B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3.7 </w:t>
                                  </w:r>
                                </w:p>
                              </w:tc>
                              <w:tc>
                                <w:tcPr>
                                  <w:tcW w:w="506" w:type="pct"/>
                                  <w:tcBorders>
                                    <w:top w:val="single" w:sz="4" w:space="0" w:color="000000"/>
                                    <w:left w:val="nil"/>
                                    <w:bottom w:val="nil"/>
                                    <w:right w:val="nil"/>
                                  </w:tcBorders>
                                  <w:hideMark/>
                                </w:tcPr>
                                <w:p w14:paraId="7EFA936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4.0 </w:t>
                                  </w:r>
                                </w:p>
                              </w:tc>
                              <w:tc>
                                <w:tcPr>
                                  <w:tcW w:w="506" w:type="pct"/>
                                  <w:tcBorders>
                                    <w:top w:val="single" w:sz="4" w:space="0" w:color="000000"/>
                                    <w:left w:val="nil"/>
                                    <w:bottom w:val="nil"/>
                                    <w:right w:val="nil"/>
                                  </w:tcBorders>
                                  <w:hideMark/>
                                </w:tcPr>
                                <w:p w14:paraId="6DF5C4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5.0 </w:t>
                                  </w:r>
                                </w:p>
                              </w:tc>
                              <w:tc>
                                <w:tcPr>
                                  <w:tcW w:w="506" w:type="pct"/>
                                  <w:tcBorders>
                                    <w:top w:val="single" w:sz="4" w:space="0" w:color="000000"/>
                                    <w:left w:val="nil"/>
                                    <w:bottom w:val="nil"/>
                                    <w:right w:val="nil"/>
                                  </w:tcBorders>
                                  <w:hideMark/>
                                </w:tcPr>
                                <w:p w14:paraId="087A031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5.8 </w:t>
                                  </w:r>
                                </w:p>
                              </w:tc>
                              <w:tc>
                                <w:tcPr>
                                  <w:tcW w:w="452" w:type="pct"/>
                                  <w:tcBorders>
                                    <w:top w:val="single" w:sz="4" w:space="0" w:color="000000"/>
                                    <w:left w:val="nil"/>
                                    <w:bottom w:val="nil"/>
                                    <w:right w:val="nil"/>
                                  </w:tcBorders>
                                  <w:hideMark/>
                                </w:tcPr>
                                <w:p w14:paraId="4BD465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6.3 </w:t>
                                  </w:r>
                                </w:p>
                              </w:tc>
                              <w:tc>
                                <w:tcPr>
                                  <w:tcW w:w="452" w:type="pct"/>
                                  <w:tcBorders>
                                    <w:top w:val="single" w:sz="4" w:space="0" w:color="000000"/>
                                    <w:left w:val="nil"/>
                                    <w:bottom w:val="nil"/>
                                    <w:right w:val="nil"/>
                                  </w:tcBorders>
                                  <w:hideMark/>
                                </w:tcPr>
                                <w:p w14:paraId="2E407CF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7.4 </w:t>
                                  </w:r>
                                </w:p>
                              </w:tc>
                              <w:tc>
                                <w:tcPr>
                                  <w:tcW w:w="535" w:type="pct"/>
                                  <w:tcBorders>
                                    <w:top w:val="single" w:sz="4" w:space="0" w:color="000000"/>
                                    <w:left w:val="nil"/>
                                    <w:bottom w:val="nil"/>
                                    <w:right w:val="nil"/>
                                  </w:tcBorders>
                                  <w:hideMark/>
                                </w:tcPr>
                                <w:p w14:paraId="7B07F39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7.6 </w:t>
                                  </w:r>
                                </w:p>
                              </w:tc>
                            </w:tr>
                            <w:tr w:rsidR="003C2F53" w:rsidRPr="00057F31" w14:paraId="5A9B75D0" w14:textId="77777777" w:rsidTr="00057F31">
                              <w:trPr>
                                <w:trHeight w:val="204"/>
                              </w:trPr>
                              <w:tc>
                                <w:tcPr>
                                  <w:tcW w:w="1588" w:type="pct"/>
                                  <w:tcBorders>
                                    <w:top w:val="nil"/>
                                    <w:left w:val="nil"/>
                                    <w:bottom w:val="nil"/>
                                    <w:right w:val="nil"/>
                                  </w:tcBorders>
                                  <w:noWrap/>
                                  <w:hideMark/>
                                </w:tcPr>
                                <w:p w14:paraId="5B11225C"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NI to Common </w:t>
                                  </w:r>
                                  <w:r w:rsidRPr="00057F31">
                                    <w:rPr>
                                      <w:rFonts w:ascii="Cambria" w:eastAsia="Times New Roman" w:hAnsi="Cambria" w:cs="Arial"/>
                                      <w:b/>
                                      <w:bCs/>
                                      <w:color w:val="000000"/>
                                      <w:kern w:val="0"/>
                                      <w:sz w:val="14"/>
                                      <w:szCs w:val="14"/>
                                      <w:lang w:eastAsia="en-IN"/>
                                      <w14:ligatures w14:val="none"/>
                                    </w:rPr>
                                    <w:t>Incl Extra Items</w:t>
                                  </w:r>
                                </w:p>
                              </w:tc>
                              <w:tc>
                                <w:tcPr>
                                  <w:tcW w:w="452" w:type="pct"/>
                                  <w:tcBorders>
                                    <w:top w:val="nil"/>
                                    <w:left w:val="nil"/>
                                    <w:bottom w:val="nil"/>
                                    <w:right w:val="nil"/>
                                  </w:tcBorders>
                                  <w:hideMark/>
                                </w:tcPr>
                                <w:p w14:paraId="3B600B59"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nil"/>
                                    <w:left w:val="nil"/>
                                    <w:bottom w:val="nil"/>
                                    <w:right w:val="nil"/>
                                  </w:tcBorders>
                                  <w:hideMark/>
                                </w:tcPr>
                                <w:p w14:paraId="6EA02CB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4.0 </w:t>
                                  </w:r>
                                </w:p>
                              </w:tc>
                              <w:tc>
                                <w:tcPr>
                                  <w:tcW w:w="506" w:type="pct"/>
                                  <w:tcBorders>
                                    <w:top w:val="nil"/>
                                    <w:left w:val="nil"/>
                                    <w:bottom w:val="nil"/>
                                    <w:right w:val="nil"/>
                                  </w:tcBorders>
                                  <w:hideMark/>
                                </w:tcPr>
                                <w:p w14:paraId="11DFA0E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5.0 </w:t>
                                  </w:r>
                                </w:p>
                              </w:tc>
                              <w:tc>
                                <w:tcPr>
                                  <w:tcW w:w="506" w:type="pct"/>
                                  <w:tcBorders>
                                    <w:top w:val="nil"/>
                                    <w:left w:val="nil"/>
                                    <w:bottom w:val="nil"/>
                                    <w:right w:val="nil"/>
                                  </w:tcBorders>
                                  <w:hideMark/>
                                </w:tcPr>
                                <w:p w14:paraId="4B2D6C1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5.8 </w:t>
                                  </w:r>
                                </w:p>
                              </w:tc>
                              <w:tc>
                                <w:tcPr>
                                  <w:tcW w:w="452" w:type="pct"/>
                                  <w:tcBorders>
                                    <w:top w:val="nil"/>
                                    <w:left w:val="nil"/>
                                    <w:bottom w:val="nil"/>
                                    <w:right w:val="nil"/>
                                  </w:tcBorders>
                                  <w:hideMark/>
                                </w:tcPr>
                                <w:p w14:paraId="289910A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nil"/>
                                    <w:left w:val="nil"/>
                                    <w:bottom w:val="nil"/>
                                    <w:right w:val="nil"/>
                                  </w:tcBorders>
                                  <w:hideMark/>
                                </w:tcPr>
                                <w:p w14:paraId="13202C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nil"/>
                                    <w:left w:val="nil"/>
                                    <w:bottom w:val="nil"/>
                                    <w:right w:val="nil"/>
                                  </w:tcBorders>
                                  <w:hideMark/>
                                </w:tcPr>
                                <w:p w14:paraId="5451A10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44EC887A" w14:textId="77777777" w:rsidTr="00057F31">
                              <w:trPr>
                                <w:trHeight w:val="204"/>
                              </w:trPr>
                              <w:tc>
                                <w:tcPr>
                                  <w:tcW w:w="1588" w:type="pct"/>
                                  <w:tcBorders>
                                    <w:top w:val="nil"/>
                                    <w:left w:val="nil"/>
                                    <w:bottom w:val="nil"/>
                                    <w:right w:val="nil"/>
                                  </w:tcBorders>
                                  <w:noWrap/>
                                  <w:hideMark/>
                                </w:tcPr>
                                <w:p w14:paraId="19039876"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NI to Common Excl. Extra Items</w:t>
                                  </w:r>
                                </w:p>
                              </w:tc>
                              <w:tc>
                                <w:tcPr>
                                  <w:tcW w:w="452" w:type="pct"/>
                                  <w:tcBorders>
                                    <w:top w:val="nil"/>
                                    <w:left w:val="nil"/>
                                    <w:bottom w:val="nil"/>
                                    <w:right w:val="nil"/>
                                  </w:tcBorders>
                                  <w:hideMark/>
                                </w:tcPr>
                                <w:p w14:paraId="39FCAFE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nil"/>
                                    <w:left w:val="nil"/>
                                    <w:bottom w:val="nil"/>
                                    <w:right w:val="nil"/>
                                  </w:tcBorders>
                                  <w:hideMark/>
                                </w:tcPr>
                                <w:p w14:paraId="2DF5CE6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4.0 </w:t>
                                  </w:r>
                                </w:p>
                              </w:tc>
                              <w:tc>
                                <w:tcPr>
                                  <w:tcW w:w="506" w:type="pct"/>
                                  <w:tcBorders>
                                    <w:top w:val="nil"/>
                                    <w:left w:val="nil"/>
                                    <w:bottom w:val="nil"/>
                                    <w:right w:val="nil"/>
                                  </w:tcBorders>
                                  <w:hideMark/>
                                </w:tcPr>
                                <w:p w14:paraId="49FBD47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5.0 </w:t>
                                  </w:r>
                                </w:p>
                              </w:tc>
                              <w:tc>
                                <w:tcPr>
                                  <w:tcW w:w="506" w:type="pct"/>
                                  <w:tcBorders>
                                    <w:top w:val="nil"/>
                                    <w:left w:val="nil"/>
                                    <w:bottom w:val="nil"/>
                                    <w:right w:val="nil"/>
                                  </w:tcBorders>
                                  <w:hideMark/>
                                </w:tcPr>
                                <w:p w14:paraId="5D1339B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5.8 </w:t>
                                  </w:r>
                                </w:p>
                              </w:tc>
                              <w:tc>
                                <w:tcPr>
                                  <w:tcW w:w="452" w:type="pct"/>
                                  <w:tcBorders>
                                    <w:top w:val="nil"/>
                                    <w:left w:val="nil"/>
                                    <w:bottom w:val="nil"/>
                                    <w:right w:val="nil"/>
                                  </w:tcBorders>
                                  <w:hideMark/>
                                </w:tcPr>
                                <w:p w14:paraId="459A02D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nil"/>
                                    <w:left w:val="nil"/>
                                    <w:bottom w:val="nil"/>
                                    <w:right w:val="nil"/>
                                  </w:tcBorders>
                                  <w:hideMark/>
                                </w:tcPr>
                                <w:p w14:paraId="406ABD8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nil"/>
                                    <w:left w:val="nil"/>
                                    <w:bottom w:val="nil"/>
                                    <w:right w:val="nil"/>
                                  </w:tcBorders>
                                  <w:hideMark/>
                                </w:tcPr>
                                <w:p w14:paraId="59F5C75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057F31" w:rsidRPr="00057F31" w14:paraId="79AE5515" w14:textId="77777777" w:rsidTr="00057F31">
                              <w:trPr>
                                <w:trHeight w:val="204"/>
                              </w:trPr>
                              <w:tc>
                                <w:tcPr>
                                  <w:tcW w:w="1588" w:type="pct"/>
                                  <w:tcBorders>
                                    <w:top w:val="nil"/>
                                    <w:left w:val="nil"/>
                                    <w:bottom w:val="nil"/>
                                    <w:right w:val="nil"/>
                                  </w:tcBorders>
                                  <w:noWrap/>
                                  <w:hideMark/>
                                </w:tcPr>
                                <w:p w14:paraId="413C9B8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Per Share Items</w:t>
                                  </w:r>
                                </w:p>
                              </w:tc>
                              <w:tc>
                                <w:tcPr>
                                  <w:tcW w:w="452" w:type="pct"/>
                                  <w:tcBorders>
                                    <w:top w:val="nil"/>
                                    <w:left w:val="nil"/>
                                    <w:bottom w:val="nil"/>
                                    <w:right w:val="nil"/>
                                  </w:tcBorders>
                                  <w:noWrap/>
                                  <w:hideMark/>
                                </w:tcPr>
                                <w:p w14:paraId="4D27FA9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c>
                                <w:tcPr>
                                  <w:tcW w:w="506" w:type="pct"/>
                                  <w:tcBorders>
                                    <w:top w:val="nil"/>
                                    <w:left w:val="nil"/>
                                    <w:bottom w:val="nil"/>
                                    <w:right w:val="nil"/>
                                  </w:tcBorders>
                                  <w:noWrap/>
                                  <w:hideMark/>
                                </w:tcPr>
                                <w:p w14:paraId="11C442B4"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313FA572"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71BAC6C6"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25689B42"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3918FA3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0E449FA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r>
                            <w:tr w:rsidR="003C2F53" w:rsidRPr="00057F31" w14:paraId="3A0E1155" w14:textId="77777777" w:rsidTr="00057F31">
                              <w:trPr>
                                <w:trHeight w:val="204"/>
                              </w:trPr>
                              <w:tc>
                                <w:tcPr>
                                  <w:tcW w:w="1588" w:type="pct"/>
                                  <w:tcBorders>
                                    <w:top w:val="nil"/>
                                    <w:left w:val="nil"/>
                                    <w:bottom w:val="nil"/>
                                    <w:right w:val="nil"/>
                                  </w:tcBorders>
                                  <w:noWrap/>
                                  <w:hideMark/>
                                </w:tcPr>
                                <w:p w14:paraId="3003116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Basic EPS</w:t>
                                  </w:r>
                                </w:p>
                              </w:tc>
                              <w:tc>
                                <w:tcPr>
                                  <w:tcW w:w="452" w:type="pct"/>
                                  <w:tcBorders>
                                    <w:top w:val="nil"/>
                                    <w:left w:val="nil"/>
                                    <w:bottom w:val="nil"/>
                                    <w:right w:val="nil"/>
                                  </w:tcBorders>
                                  <w:hideMark/>
                                </w:tcPr>
                                <w:p w14:paraId="00BF38D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$8.32 </w:t>
                                  </w:r>
                                </w:p>
                              </w:tc>
                              <w:tc>
                                <w:tcPr>
                                  <w:tcW w:w="506" w:type="pct"/>
                                  <w:tcBorders>
                                    <w:top w:val="nil"/>
                                    <w:left w:val="nil"/>
                                    <w:bottom w:val="nil"/>
                                    <w:right w:val="nil"/>
                                  </w:tcBorders>
                                  <w:hideMark/>
                                </w:tcPr>
                                <w:p w14:paraId="42F37D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$9.05 </w:t>
                                  </w:r>
                                </w:p>
                              </w:tc>
                              <w:tc>
                                <w:tcPr>
                                  <w:tcW w:w="506" w:type="pct"/>
                                  <w:tcBorders>
                                    <w:top w:val="nil"/>
                                    <w:left w:val="nil"/>
                                    <w:bottom w:val="nil"/>
                                    <w:right w:val="nil"/>
                                  </w:tcBorders>
                                  <w:hideMark/>
                                </w:tcPr>
                                <w:p w14:paraId="1229F25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$11.3 </w:t>
                                  </w:r>
                                </w:p>
                              </w:tc>
                              <w:tc>
                                <w:tcPr>
                                  <w:tcW w:w="506" w:type="pct"/>
                                  <w:tcBorders>
                                    <w:top w:val="nil"/>
                                    <w:left w:val="nil"/>
                                    <w:bottom w:val="nil"/>
                                    <w:right w:val="nil"/>
                                  </w:tcBorders>
                                  <w:hideMark/>
                                </w:tcPr>
                                <w:p w14:paraId="6E4340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$13.17 </w:t>
                                  </w:r>
                                </w:p>
                              </w:tc>
                              <w:tc>
                                <w:tcPr>
                                  <w:tcW w:w="452" w:type="pct"/>
                                  <w:tcBorders>
                                    <w:top w:val="nil"/>
                                    <w:left w:val="nil"/>
                                    <w:bottom w:val="nil"/>
                                    <w:right w:val="nil"/>
                                  </w:tcBorders>
                                  <w:hideMark/>
                                </w:tcPr>
                                <w:p w14:paraId="24FE5A3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$14.18 </w:t>
                                  </w:r>
                                </w:p>
                              </w:tc>
                              <w:tc>
                                <w:tcPr>
                                  <w:tcW w:w="452" w:type="pct"/>
                                  <w:tcBorders>
                                    <w:top w:val="nil"/>
                                    <w:left w:val="nil"/>
                                    <w:bottom w:val="nil"/>
                                    <w:right w:val="nil"/>
                                  </w:tcBorders>
                                  <w:hideMark/>
                                </w:tcPr>
                                <w:p w14:paraId="4CD7E21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1109A51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$17.17 </w:t>
                                  </w:r>
                                </w:p>
                              </w:tc>
                            </w:tr>
                            <w:tr w:rsidR="003C2F53" w:rsidRPr="00057F31" w14:paraId="2A785F80" w14:textId="77777777" w:rsidTr="00057F31">
                              <w:trPr>
                                <w:trHeight w:val="204"/>
                              </w:trPr>
                              <w:tc>
                                <w:tcPr>
                                  <w:tcW w:w="1588" w:type="pct"/>
                                  <w:tcBorders>
                                    <w:top w:val="nil"/>
                                    <w:left w:val="nil"/>
                                    <w:bottom w:val="nil"/>
                                    <w:right w:val="nil"/>
                                  </w:tcBorders>
                                  <w:noWrap/>
                                  <w:hideMark/>
                                </w:tcPr>
                                <w:p w14:paraId="48BBBE6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Basic EPS Excl. Extra Items</w:t>
                                  </w:r>
                                </w:p>
                              </w:tc>
                              <w:tc>
                                <w:tcPr>
                                  <w:tcW w:w="452" w:type="pct"/>
                                  <w:tcBorders>
                                    <w:top w:val="nil"/>
                                    <w:left w:val="nil"/>
                                    <w:bottom w:val="nil"/>
                                    <w:right w:val="nil"/>
                                  </w:tcBorders>
                                  <w:hideMark/>
                                </w:tcPr>
                                <w:p w14:paraId="658424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8.32 </w:t>
                                  </w:r>
                                </w:p>
                              </w:tc>
                              <w:tc>
                                <w:tcPr>
                                  <w:tcW w:w="506" w:type="pct"/>
                                  <w:tcBorders>
                                    <w:top w:val="nil"/>
                                    <w:left w:val="nil"/>
                                    <w:bottom w:val="nil"/>
                                    <w:right w:val="nil"/>
                                  </w:tcBorders>
                                  <w:hideMark/>
                                </w:tcPr>
                                <w:p w14:paraId="1980B21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9.05 </w:t>
                                  </w:r>
                                </w:p>
                              </w:tc>
                              <w:tc>
                                <w:tcPr>
                                  <w:tcW w:w="506" w:type="pct"/>
                                  <w:tcBorders>
                                    <w:top w:val="nil"/>
                                    <w:left w:val="nil"/>
                                    <w:bottom w:val="nil"/>
                                    <w:right w:val="nil"/>
                                  </w:tcBorders>
                                  <w:hideMark/>
                                </w:tcPr>
                                <w:p w14:paraId="793D8FC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11.3 </w:t>
                                  </w:r>
                                </w:p>
                              </w:tc>
                              <w:tc>
                                <w:tcPr>
                                  <w:tcW w:w="506" w:type="pct"/>
                                  <w:tcBorders>
                                    <w:top w:val="nil"/>
                                    <w:left w:val="nil"/>
                                    <w:bottom w:val="nil"/>
                                    <w:right w:val="nil"/>
                                  </w:tcBorders>
                                  <w:hideMark/>
                                </w:tcPr>
                                <w:p w14:paraId="49C264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13.17 </w:t>
                                  </w:r>
                                </w:p>
                              </w:tc>
                              <w:tc>
                                <w:tcPr>
                                  <w:tcW w:w="452" w:type="pct"/>
                                  <w:tcBorders>
                                    <w:top w:val="nil"/>
                                    <w:left w:val="nil"/>
                                    <w:bottom w:val="nil"/>
                                    <w:right w:val="nil"/>
                                  </w:tcBorders>
                                  <w:hideMark/>
                                </w:tcPr>
                                <w:p w14:paraId="419EB7F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14.18 </w:t>
                                  </w:r>
                                </w:p>
                              </w:tc>
                              <w:tc>
                                <w:tcPr>
                                  <w:tcW w:w="452" w:type="pct"/>
                                  <w:tcBorders>
                                    <w:top w:val="nil"/>
                                    <w:left w:val="nil"/>
                                    <w:bottom w:val="nil"/>
                                    <w:right w:val="nil"/>
                                  </w:tcBorders>
                                  <w:hideMark/>
                                </w:tcPr>
                                <w:p w14:paraId="01055A4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45640DF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17.17 </w:t>
                                  </w:r>
                                </w:p>
                              </w:tc>
                            </w:tr>
                            <w:tr w:rsidR="003C2F53" w:rsidRPr="00057F31" w14:paraId="07A1CF9C" w14:textId="77777777" w:rsidTr="00057F31">
                              <w:trPr>
                                <w:trHeight w:val="204"/>
                              </w:trPr>
                              <w:tc>
                                <w:tcPr>
                                  <w:tcW w:w="1588" w:type="pct"/>
                                  <w:tcBorders>
                                    <w:top w:val="nil"/>
                                    <w:left w:val="nil"/>
                                    <w:bottom w:val="nil"/>
                                    <w:right w:val="nil"/>
                                  </w:tcBorders>
                                  <w:noWrap/>
                                  <w:hideMark/>
                                </w:tcPr>
                                <w:p w14:paraId="66F47B3A"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Weighted Avg. Basic Shares Out.</w:t>
                                  </w:r>
                                </w:p>
                              </w:tc>
                              <w:tc>
                                <w:tcPr>
                                  <w:tcW w:w="452" w:type="pct"/>
                                  <w:tcBorders>
                                    <w:top w:val="nil"/>
                                    <w:left w:val="nil"/>
                                    <w:bottom w:val="nil"/>
                                    <w:right w:val="nil"/>
                                  </w:tcBorders>
                                  <w:hideMark/>
                                </w:tcPr>
                                <w:p w14:paraId="4C2856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427B40B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0D6D90B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F55316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254A7A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4B0F2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35" w:type="pct"/>
                                  <w:tcBorders>
                                    <w:top w:val="nil"/>
                                    <w:left w:val="nil"/>
                                    <w:bottom w:val="nil"/>
                                    <w:right w:val="nil"/>
                                  </w:tcBorders>
                                  <w:hideMark/>
                                </w:tcPr>
                                <w:p w14:paraId="53553A1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18615697" w14:textId="77777777" w:rsidTr="00057F31">
                              <w:trPr>
                                <w:trHeight w:val="204"/>
                              </w:trPr>
                              <w:tc>
                                <w:tcPr>
                                  <w:tcW w:w="1588" w:type="pct"/>
                                  <w:tcBorders>
                                    <w:top w:val="nil"/>
                                    <w:left w:val="nil"/>
                                    <w:bottom w:val="nil"/>
                                    <w:right w:val="nil"/>
                                  </w:tcBorders>
                                  <w:noWrap/>
                                  <w:hideMark/>
                                </w:tcPr>
                                <w:p w14:paraId="65A64BF1"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Diluted EPS</w:t>
                                  </w:r>
                                </w:p>
                              </w:tc>
                              <w:tc>
                                <w:tcPr>
                                  <w:tcW w:w="452" w:type="pct"/>
                                  <w:tcBorders>
                                    <w:top w:val="nil"/>
                                    <w:left w:val="nil"/>
                                    <w:bottom w:val="nil"/>
                                    <w:right w:val="nil"/>
                                  </w:tcBorders>
                                  <w:hideMark/>
                                </w:tcPr>
                                <w:p w14:paraId="37BC463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$8.26 </w:t>
                                  </w:r>
                                </w:p>
                              </w:tc>
                              <w:tc>
                                <w:tcPr>
                                  <w:tcW w:w="506" w:type="pct"/>
                                  <w:tcBorders>
                                    <w:top w:val="nil"/>
                                    <w:left w:val="nil"/>
                                    <w:bottom w:val="nil"/>
                                    <w:right w:val="nil"/>
                                  </w:tcBorders>
                                  <w:hideMark/>
                                </w:tcPr>
                                <w:p w14:paraId="4CDDF0B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$9.02 </w:t>
                                  </w:r>
                                </w:p>
                              </w:tc>
                              <w:tc>
                                <w:tcPr>
                                  <w:tcW w:w="506" w:type="pct"/>
                                  <w:tcBorders>
                                    <w:top w:val="nil"/>
                                    <w:left w:val="nil"/>
                                    <w:bottom w:val="nil"/>
                                    <w:right w:val="nil"/>
                                  </w:tcBorders>
                                  <w:hideMark/>
                                </w:tcPr>
                                <w:p w14:paraId="79685C5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$11.27 </w:t>
                                  </w:r>
                                </w:p>
                              </w:tc>
                              <w:tc>
                                <w:tcPr>
                                  <w:tcW w:w="506" w:type="pct"/>
                                  <w:tcBorders>
                                    <w:top w:val="nil"/>
                                    <w:left w:val="nil"/>
                                    <w:bottom w:val="nil"/>
                                    <w:right w:val="nil"/>
                                  </w:tcBorders>
                                  <w:hideMark/>
                                </w:tcPr>
                                <w:p w14:paraId="33AA865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$13.14 </w:t>
                                  </w:r>
                                </w:p>
                              </w:tc>
                              <w:tc>
                                <w:tcPr>
                                  <w:tcW w:w="452" w:type="pct"/>
                                  <w:tcBorders>
                                    <w:top w:val="nil"/>
                                    <w:left w:val="nil"/>
                                    <w:bottom w:val="nil"/>
                                    <w:right w:val="nil"/>
                                  </w:tcBorders>
                                  <w:hideMark/>
                                </w:tcPr>
                                <w:p w14:paraId="2FF0754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$14.16 </w:t>
                                  </w:r>
                                </w:p>
                              </w:tc>
                              <w:tc>
                                <w:tcPr>
                                  <w:tcW w:w="452" w:type="pct"/>
                                  <w:tcBorders>
                                    <w:top w:val="nil"/>
                                    <w:left w:val="nil"/>
                                    <w:bottom w:val="nil"/>
                                    <w:right w:val="nil"/>
                                  </w:tcBorders>
                                  <w:hideMark/>
                                </w:tcPr>
                                <w:p w14:paraId="36CFC4B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$16.56 </w:t>
                                  </w:r>
                                </w:p>
                              </w:tc>
                              <w:tc>
                                <w:tcPr>
                                  <w:tcW w:w="535" w:type="pct"/>
                                  <w:tcBorders>
                                    <w:top w:val="nil"/>
                                    <w:left w:val="nil"/>
                                    <w:bottom w:val="nil"/>
                                    <w:right w:val="nil"/>
                                  </w:tcBorders>
                                  <w:hideMark/>
                                </w:tcPr>
                                <w:p w14:paraId="5BBA627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$17.13 </w:t>
                                  </w:r>
                                </w:p>
                              </w:tc>
                            </w:tr>
                            <w:tr w:rsidR="003C2F53" w:rsidRPr="00057F31" w14:paraId="0B259C64" w14:textId="77777777" w:rsidTr="00057F31">
                              <w:trPr>
                                <w:trHeight w:val="204"/>
                              </w:trPr>
                              <w:tc>
                                <w:tcPr>
                                  <w:tcW w:w="1588" w:type="pct"/>
                                  <w:tcBorders>
                                    <w:top w:val="nil"/>
                                    <w:left w:val="nil"/>
                                    <w:bottom w:val="nil"/>
                                    <w:right w:val="nil"/>
                                  </w:tcBorders>
                                  <w:noWrap/>
                                  <w:hideMark/>
                                </w:tcPr>
                                <w:p w14:paraId="6943980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Diluted EPS Excl. Extra Items</w:t>
                                  </w:r>
                                </w:p>
                              </w:tc>
                              <w:tc>
                                <w:tcPr>
                                  <w:tcW w:w="452" w:type="pct"/>
                                  <w:tcBorders>
                                    <w:top w:val="nil"/>
                                    <w:left w:val="nil"/>
                                    <w:bottom w:val="nil"/>
                                    <w:right w:val="nil"/>
                                  </w:tcBorders>
                                  <w:hideMark/>
                                </w:tcPr>
                                <w:p w14:paraId="612C0E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8.26 </w:t>
                                  </w:r>
                                </w:p>
                              </w:tc>
                              <w:tc>
                                <w:tcPr>
                                  <w:tcW w:w="506" w:type="pct"/>
                                  <w:tcBorders>
                                    <w:top w:val="nil"/>
                                    <w:left w:val="nil"/>
                                    <w:bottom w:val="nil"/>
                                    <w:right w:val="nil"/>
                                  </w:tcBorders>
                                  <w:hideMark/>
                                </w:tcPr>
                                <w:p w14:paraId="723DA24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9.02 </w:t>
                                  </w:r>
                                </w:p>
                              </w:tc>
                              <w:tc>
                                <w:tcPr>
                                  <w:tcW w:w="506" w:type="pct"/>
                                  <w:tcBorders>
                                    <w:top w:val="nil"/>
                                    <w:left w:val="nil"/>
                                    <w:bottom w:val="nil"/>
                                    <w:right w:val="nil"/>
                                  </w:tcBorders>
                                  <w:hideMark/>
                                </w:tcPr>
                                <w:p w14:paraId="41884EA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11.27 </w:t>
                                  </w:r>
                                </w:p>
                              </w:tc>
                              <w:tc>
                                <w:tcPr>
                                  <w:tcW w:w="506" w:type="pct"/>
                                  <w:tcBorders>
                                    <w:top w:val="nil"/>
                                    <w:left w:val="nil"/>
                                    <w:bottom w:val="nil"/>
                                    <w:right w:val="nil"/>
                                  </w:tcBorders>
                                  <w:hideMark/>
                                </w:tcPr>
                                <w:p w14:paraId="253EE92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13.14 </w:t>
                                  </w:r>
                                </w:p>
                              </w:tc>
                              <w:tc>
                                <w:tcPr>
                                  <w:tcW w:w="452" w:type="pct"/>
                                  <w:tcBorders>
                                    <w:top w:val="nil"/>
                                    <w:left w:val="nil"/>
                                    <w:bottom w:val="nil"/>
                                    <w:right w:val="nil"/>
                                  </w:tcBorders>
                                  <w:hideMark/>
                                </w:tcPr>
                                <w:p w14:paraId="7982B69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14.16 </w:t>
                                  </w:r>
                                </w:p>
                              </w:tc>
                              <w:tc>
                                <w:tcPr>
                                  <w:tcW w:w="452" w:type="pct"/>
                                  <w:tcBorders>
                                    <w:top w:val="nil"/>
                                    <w:left w:val="nil"/>
                                    <w:bottom w:val="nil"/>
                                    <w:right w:val="nil"/>
                                  </w:tcBorders>
                                  <w:hideMark/>
                                </w:tcPr>
                                <w:p w14:paraId="26A36E4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16.56 </w:t>
                                  </w:r>
                                </w:p>
                              </w:tc>
                              <w:tc>
                                <w:tcPr>
                                  <w:tcW w:w="535" w:type="pct"/>
                                  <w:tcBorders>
                                    <w:top w:val="nil"/>
                                    <w:left w:val="nil"/>
                                    <w:bottom w:val="nil"/>
                                    <w:right w:val="nil"/>
                                  </w:tcBorders>
                                  <w:hideMark/>
                                </w:tcPr>
                                <w:p w14:paraId="66CABF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17.13 </w:t>
                                  </w:r>
                                </w:p>
                              </w:tc>
                            </w:tr>
                            <w:tr w:rsidR="003C2F53" w:rsidRPr="00057F31" w14:paraId="35684D6B" w14:textId="77777777" w:rsidTr="00057F31">
                              <w:trPr>
                                <w:trHeight w:val="204"/>
                              </w:trPr>
                              <w:tc>
                                <w:tcPr>
                                  <w:tcW w:w="1588" w:type="pct"/>
                                  <w:tcBorders>
                                    <w:top w:val="nil"/>
                                    <w:left w:val="nil"/>
                                    <w:bottom w:val="nil"/>
                                    <w:right w:val="nil"/>
                                  </w:tcBorders>
                                  <w:noWrap/>
                                  <w:hideMark/>
                                </w:tcPr>
                                <w:p w14:paraId="3CED5E34"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Weighted Avg. Diluted Shares Out.</w:t>
                                  </w:r>
                                </w:p>
                              </w:tc>
                              <w:tc>
                                <w:tcPr>
                                  <w:tcW w:w="452" w:type="pct"/>
                                  <w:tcBorders>
                                    <w:top w:val="nil"/>
                                    <w:left w:val="nil"/>
                                    <w:bottom w:val="nil"/>
                                    <w:right w:val="nil"/>
                                  </w:tcBorders>
                                  <w:hideMark/>
                                </w:tcPr>
                                <w:p w14:paraId="7943BB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677F41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2DCFD3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62E9EF8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398019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3982B48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35" w:type="pct"/>
                                  <w:tcBorders>
                                    <w:top w:val="nil"/>
                                    <w:left w:val="nil"/>
                                    <w:bottom w:val="nil"/>
                                    <w:right w:val="nil"/>
                                  </w:tcBorders>
                                  <w:hideMark/>
                                </w:tcPr>
                                <w:p w14:paraId="6653BC3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3B537060" w14:textId="77777777" w:rsidTr="00057F31">
                              <w:trPr>
                                <w:trHeight w:val="204"/>
                              </w:trPr>
                              <w:tc>
                                <w:tcPr>
                                  <w:tcW w:w="1588" w:type="pct"/>
                                  <w:tcBorders>
                                    <w:top w:val="nil"/>
                                    <w:left w:val="nil"/>
                                    <w:bottom w:val="nil"/>
                                    <w:right w:val="nil"/>
                                  </w:tcBorders>
                                  <w:noWrap/>
                                  <w:hideMark/>
                                </w:tcPr>
                                <w:p w14:paraId="7D6EC7A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Normalized Basic EPS</w:t>
                                  </w:r>
                                </w:p>
                              </w:tc>
                              <w:tc>
                                <w:tcPr>
                                  <w:tcW w:w="452" w:type="pct"/>
                                  <w:tcBorders>
                                    <w:top w:val="nil"/>
                                    <w:left w:val="nil"/>
                                    <w:bottom w:val="nil"/>
                                    <w:right w:val="nil"/>
                                  </w:tcBorders>
                                  <w:hideMark/>
                                </w:tcPr>
                                <w:p w14:paraId="1DED497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$6.67 </w:t>
                                  </w:r>
                                </w:p>
                              </w:tc>
                              <w:tc>
                                <w:tcPr>
                                  <w:tcW w:w="506" w:type="pct"/>
                                  <w:tcBorders>
                                    <w:top w:val="nil"/>
                                    <w:left w:val="nil"/>
                                    <w:bottom w:val="nil"/>
                                    <w:right w:val="nil"/>
                                  </w:tcBorders>
                                  <w:hideMark/>
                                </w:tcPr>
                                <w:p w14:paraId="3327923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$7.46 </w:t>
                                  </w:r>
                                </w:p>
                              </w:tc>
                              <w:tc>
                                <w:tcPr>
                                  <w:tcW w:w="506" w:type="pct"/>
                                  <w:tcBorders>
                                    <w:top w:val="nil"/>
                                    <w:left w:val="nil"/>
                                    <w:bottom w:val="nil"/>
                                    <w:right w:val="nil"/>
                                  </w:tcBorders>
                                  <w:hideMark/>
                                </w:tcPr>
                                <w:p w14:paraId="10217F8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$9.38 </w:t>
                                  </w:r>
                                </w:p>
                              </w:tc>
                              <w:tc>
                                <w:tcPr>
                                  <w:tcW w:w="506" w:type="pct"/>
                                  <w:tcBorders>
                                    <w:top w:val="nil"/>
                                    <w:left w:val="nil"/>
                                    <w:bottom w:val="nil"/>
                                    <w:right w:val="nil"/>
                                  </w:tcBorders>
                                  <w:hideMark/>
                                </w:tcPr>
                                <w:p w14:paraId="7027452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$11.05 </w:t>
                                  </w:r>
                                </w:p>
                              </w:tc>
                              <w:tc>
                                <w:tcPr>
                                  <w:tcW w:w="452" w:type="pct"/>
                                  <w:tcBorders>
                                    <w:top w:val="nil"/>
                                    <w:left w:val="nil"/>
                                    <w:bottom w:val="nil"/>
                                    <w:right w:val="nil"/>
                                  </w:tcBorders>
                                  <w:hideMark/>
                                </w:tcPr>
                                <w:p w14:paraId="2D9599F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$12.5 </w:t>
                                  </w:r>
                                </w:p>
                              </w:tc>
                              <w:tc>
                                <w:tcPr>
                                  <w:tcW w:w="452" w:type="pct"/>
                                  <w:tcBorders>
                                    <w:top w:val="nil"/>
                                    <w:left w:val="nil"/>
                                    <w:bottom w:val="nil"/>
                                    <w:right w:val="nil"/>
                                  </w:tcBorders>
                                  <w:hideMark/>
                                </w:tcPr>
                                <w:p w14:paraId="5F40E25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$13.71 </w:t>
                                  </w:r>
                                </w:p>
                              </w:tc>
                              <w:tc>
                                <w:tcPr>
                                  <w:tcW w:w="535" w:type="pct"/>
                                  <w:tcBorders>
                                    <w:top w:val="nil"/>
                                    <w:left w:val="nil"/>
                                    <w:bottom w:val="nil"/>
                                    <w:right w:val="nil"/>
                                  </w:tcBorders>
                                  <w:hideMark/>
                                </w:tcPr>
                                <w:p w14:paraId="5738DB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$14.25 </w:t>
                                  </w:r>
                                </w:p>
                              </w:tc>
                            </w:tr>
                            <w:tr w:rsidR="003C2F53" w:rsidRPr="00057F31" w14:paraId="15FA05D2" w14:textId="77777777" w:rsidTr="00057F31">
                              <w:trPr>
                                <w:trHeight w:val="204"/>
                              </w:trPr>
                              <w:tc>
                                <w:tcPr>
                                  <w:tcW w:w="1588" w:type="pct"/>
                                  <w:tcBorders>
                                    <w:top w:val="nil"/>
                                    <w:left w:val="nil"/>
                                    <w:bottom w:val="nil"/>
                                    <w:right w:val="nil"/>
                                  </w:tcBorders>
                                  <w:noWrap/>
                                  <w:hideMark/>
                                </w:tcPr>
                                <w:p w14:paraId="0B0AF6FC"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Normalized Diluted EPS</w:t>
                                  </w:r>
                                </w:p>
                              </w:tc>
                              <w:tc>
                                <w:tcPr>
                                  <w:tcW w:w="452" w:type="pct"/>
                                  <w:tcBorders>
                                    <w:top w:val="nil"/>
                                    <w:left w:val="nil"/>
                                    <w:bottom w:val="nil"/>
                                    <w:right w:val="nil"/>
                                  </w:tcBorders>
                                  <w:hideMark/>
                                </w:tcPr>
                                <w:p w14:paraId="3EB1C86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6.62 </w:t>
                                  </w:r>
                                </w:p>
                              </w:tc>
                              <w:tc>
                                <w:tcPr>
                                  <w:tcW w:w="506" w:type="pct"/>
                                  <w:tcBorders>
                                    <w:top w:val="nil"/>
                                    <w:left w:val="nil"/>
                                    <w:bottom w:val="nil"/>
                                    <w:right w:val="nil"/>
                                  </w:tcBorders>
                                  <w:hideMark/>
                                </w:tcPr>
                                <w:p w14:paraId="45632E9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7.43 </w:t>
                                  </w:r>
                                </w:p>
                              </w:tc>
                              <w:tc>
                                <w:tcPr>
                                  <w:tcW w:w="506" w:type="pct"/>
                                  <w:tcBorders>
                                    <w:top w:val="nil"/>
                                    <w:left w:val="nil"/>
                                    <w:bottom w:val="nil"/>
                                    <w:right w:val="nil"/>
                                  </w:tcBorders>
                                  <w:hideMark/>
                                </w:tcPr>
                                <w:p w14:paraId="08FEBEF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9.35 </w:t>
                                  </w:r>
                                </w:p>
                              </w:tc>
                              <w:tc>
                                <w:tcPr>
                                  <w:tcW w:w="506" w:type="pct"/>
                                  <w:tcBorders>
                                    <w:top w:val="nil"/>
                                    <w:left w:val="nil"/>
                                    <w:bottom w:val="nil"/>
                                    <w:right w:val="nil"/>
                                  </w:tcBorders>
                                  <w:hideMark/>
                                </w:tcPr>
                                <w:p w14:paraId="2FF072A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11.02 </w:t>
                                  </w:r>
                                </w:p>
                              </w:tc>
                              <w:tc>
                                <w:tcPr>
                                  <w:tcW w:w="452" w:type="pct"/>
                                  <w:tcBorders>
                                    <w:top w:val="nil"/>
                                    <w:left w:val="nil"/>
                                    <w:bottom w:val="nil"/>
                                    <w:right w:val="nil"/>
                                  </w:tcBorders>
                                  <w:hideMark/>
                                </w:tcPr>
                                <w:p w14:paraId="366B4C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12.48 </w:t>
                                  </w:r>
                                </w:p>
                              </w:tc>
                              <w:tc>
                                <w:tcPr>
                                  <w:tcW w:w="452" w:type="pct"/>
                                  <w:tcBorders>
                                    <w:top w:val="nil"/>
                                    <w:left w:val="nil"/>
                                    <w:bottom w:val="nil"/>
                                    <w:right w:val="nil"/>
                                  </w:tcBorders>
                                  <w:hideMark/>
                                </w:tcPr>
                                <w:p w14:paraId="4D66AB4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13.69 </w:t>
                                  </w:r>
                                </w:p>
                              </w:tc>
                              <w:tc>
                                <w:tcPr>
                                  <w:tcW w:w="535" w:type="pct"/>
                                  <w:tcBorders>
                                    <w:top w:val="nil"/>
                                    <w:left w:val="nil"/>
                                    <w:bottom w:val="nil"/>
                                    <w:right w:val="nil"/>
                                  </w:tcBorders>
                                  <w:hideMark/>
                                </w:tcPr>
                                <w:p w14:paraId="76C59BE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14.22 </w:t>
                                  </w:r>
                                </w:p>
                              </w:tc>
                            </w:tr>
                            <w:tr w:rsidR="003C2F53" w:rsidRPr="00057F31" w14:paraId="4A19A927" w14:textId="77777777" w:rsidTr="00057F31">
                              <w:trPr>
                                <w:trHeight w:val="204"/>
                              </w:trPr>
                              <w:tc>
                                <w:tcPr>
                                  <w:tcW w:w="1588" w:type="pct"/>
                                  <w:tcBorders>
                                    <w:top w:val="nil"/>
                                    <w:left w:val="nil"/>
                                    <w:bottom w:val="nil"/>
                                    <w:right w:val="nil"/>
                                  </w:tcBorders>
                                  <w:noWrap/>
                                  <w:hideMark/>
                                </w:tcPr>
                                <w:p w14:paraId="33BDFF2A"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Dividends per Share</w:t>
                                  </w:r>
                                </w:p>
                              </w:tc>
                              <w:tc>
                                <w:tcPr>
                                  <w:tcW w:w="452" w:type="pct"/>
                                  <w:tcBorders>
                                    <w:top w:val="nil"/>
                                    <w:left w:val="nil"/>
                                    <w:bottom w:val="nil"/>
                                    <w:right w:val="nil"/>
                                  </w:tcBorders>
                                  <w:hideMark/>
                                </w:tcPr>
                                <w:p w14:paraId="1AF2B8B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6CA5F34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357251E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7DBD728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452" w:type="pct"/>
                                  <w:tcBorders>
                                    <w:top w:val="nil"/>
                                    <w:left w:val="nil"/>
                                    <w:bottom w:val="nil"/>
                                    <w:right w:val="nil"/>
                                  </w:tcBorders>
                                  <w:hideMark/>
                                </w:tcPr>
                                <w:p w14:paraId="67DF437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452" w:type="pct"/>
                                  <w:tcBorders>
                                    <w:top w:val="nil"/>
                                    <w:left w:val="nil"/>
                                    <w:bottom w:val="nil"/>
                                    <w:right w:val="nil"/>
                                  </w:tcBorders>
                                  <w:hideMark/>
                                </w:tcPr>
                                <w:p w14:paraId="7B2BFC7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35" w:type="pct"/>
                                  <w:tcBorders>
                                    <w:top w:val="nil"/>
                                    <w:left w:val="nil"/>
                                    <w:bottom w:val="nil"/>
                                    <w:right w:val="nil"/>
                                  </w:tcBorders>
                                  <w:hideMark/>
                                </w:tcPr>
                                <w:p w14:paraId="6181C2C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r>
                            <w:tr w:rsidR="003C2F53" w:rsidRPr="00057F31" w14:paraId="033BE4BE" w14:textId="77777777" w:rsidTr="00057F31">
                              <w:trPr>
                                <w:trHeight w:val="204"/>
                              </w:trPr>
                              <w:tc>
                                <w:tcPr>
                                  <w:tcW w:w="1588" w:type="pct"/>
                                  <w:tcBorders>
                                    <w:top w:val="nil"/>
                                    <w:left w:val="nil"/>
                                    <w:bottom w:val="nil"/>
                                    <w:right w:val="nil"/>
                                  </w:tcBorders>
                                  <w:noWrap/>
                                  <w:hideMark/>
                                </w:tcPr>
                                <w:p w14:paraId="557B0FBD"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Payout Ratio %</w:t>
                                  </w:r>
                                </w:p>
                              </w:tc>
                              <w:tc>
                                <w:tcPr>
                                  <w:tcW w:w="452" w:type="pct"/>
                                  <w:tcBorders>
                                    <w:top w:val="nil"/>
                                    <w:left w:val="nil"/>
                                    <w:bottom w:val="nil"/>
                                    <w:right w:val="nil"/>
                                  </w:tcBorders>
                                  <w:hideMark/>
                                </w:tcPr>
                                <w:p w14:paraId="6D17A5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28.4% </w:t>
                                  </w:r>
                                </w:p>
                              </w:tc>
                              <w:tc>
                                <w:tcPr>
                                  <w:tcW w:w="506" w:type="pct"/>
                                  <w:tcBorders>
                                    <w:top w:val="nil"/>
                                    <w:left w:val="nil"/>
                                    <w:bottom w:val="nil"/>
                                    <w:right w:val="nil"/>
                                  </w:tcBorders>
                                  <w:hideMark/>
                                </w:tcPr>
                                <w:p w14:paraId="3F45F8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37.0% </w:t>
                                  </w:r>
                                </w:p>
                              </w:tc>
                              <w:tc>
                                <w:tcPr>
                                  <w:tcW w:w="506" w:type="pct"/>
                                  <w:tcBorders>
                                    <w:top w:val="nil"/>
                                    <w:left w:val="nil"/>
                                    <w:bottom w:val="nil"/>
                                    <w:right w:val="nil"/>
                                  </w:tcBorders>
                                  <w:hideMark/>
                                </w:tcPr>
                                <w:p w14:paraId="7A49DAF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114.8% </w:t>
                                  </w:r>
                                </w:p>
                              </w:tc>
                              <w:tc>
                                <w:tcPr>
                                  <w:tcW w:w="506" w:type="pct"/>
                                  <w:tcBorders>
                                    <w:top w:val="nil"/>
                                    <w:left w:val="nil"/>
                                    <w:bottom w:val="nil"/>
                                    <w:right w:val="nil"/>
                                  </w:tcBorders>
                                  <w:hideMark/>
                                </w:tcPr>
                                <w:p w14:paraId="7E624A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25.6% </w:t>
                                  </w:r>
                                </w:p>
                              </w:tc>
                              <w:tc>
                                <w:tcPr>
                                  <w:tcW w:w="452" w:type="pct"/>
                                  <w:tcBorders>
                                    <w:top w:val="nil"/>
                                    <w:left w:val="nil"/>
                                    <w:bottom w:val="nil"/>
                                    <w:right w:val="nil"/>
                                  </w:tcBorders>
                                  <w:hideMark/>
                                </w:tcPr>
                                <w:p w14:paraId="1BD260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19.9% </w:t>
                                  </w:r>
                                </w:p>
                              </w:tc>
                              <w:tc>
                                <w:tcPr>
                                  <w:tcW w:w="452" w:type="pct"/>
                                  <w:tcBorders>
                                    <w:top w:val="nil"/>
                                    <w:left w:val="nil"/>
                                    <w:bottom w:val="nil"/>
                                    <w:right w:val="nil"/>
                                  </w:tcBorders>
                                  <w:hideMark/>
                                </w:tcPr>
                                <w:p w14:paraId="70BCD84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32.4% </w:t>
                                  </w:r>
                                </w:p>
                              </w:tc>
                              <w:tc>
                                <w:tcPr>
                                  <w:tcW w:w="535" w:type="pct"/>
                                  <w:tcBorders>
                                    <w:top w:val="nil"/>
                                    <w:left w:val="nil"/>
                                    <w:bottom w:val="nil"/>
                                    <w:right w:val="nil"/>
                                  </w:tcBorders>
                                  <w:hideMark/>
                                </w:tcPr>
                                <w:p w14:paraId="17C1DCA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r>
                            <w:tr w:rsidR="003C2F53" w:rsidRPr="00057F31" w14:paraId="7805BE66" w14:textId="77777777" w:rsidTr="00057F31">
                              <w:trPr>
                                <w:trHeight w:val="204"/>
                              </w:trPr>
                              <w:tc>
                                <w:tcPr>
                                  <w:tcW w:w="1588" w:type="pct"/>
                                  <w:tcBorders>
                                    <w:top w:val="nil"/>
                                    <w:left w:val="nil"/>
                                    <w:bottom w:val="nil"/>
                                    <w:right w:val="nil"/>
                                  </w:tcBorders>
                                  <w:noWrap/>
                                  <w:hideMark/>
                                </w:tcPr>
                                <w:p w14:paraId="2BC30539"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Shares per Depository Receipt</w:t>
                                  </w:r>
                                </w:p>
                              </w:tc>
                              <w:tc>
                                <w:tcPr>
                                  <w:tcW w:w="452" w:type="pct"/>
                                  <w:tcBorders>
                                    <w:top w:val="nil"/>
                                    <w:left w:val="nil"/>
                                    <w:bottom w:val="nil"/>
                                    <w:right w:val="nil"/>
                                  </w:tcBorders>
                                  <w:hideMark/>
                                </w:tcPr>
                                <w:p w14:paraId="73AC180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2C22977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461A733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7FC413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452" w:type="pct"/>
                                  <w:tcBorders>
                                    <w:top w:val="nil"/>
                                    <w:left w:val="nil"/>
                                    <w:bottom w:val="nil"/>
                                    <w:right w:val="nil"/>
                                  </w:tcBorders>
                                  <w:hideMark/>
                                </w:tcPr>
                                <w:p w14:paraId="20367A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452" w:type="pct"/>
                                  <w:tcBorders>
                                    <w:top w:val="nil"/>
                                    <w:left w:val="nil"/>
                                    <w:bottom w:val="nil"/>
                                    <w:right w:val="nil"/>
                                  </w:tcBorders>
                                  <w:hideMark/>
                                </w:tcPr>
                                <w:p w14:paraId="650FF50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35" w:type="pct"/>
                                  <w:tcBorders>
                                    <w:top w:val="nil"/>
                                    <w:left w:val="nil"/>
                                    <w:bottom w:val="nil"/>
                                    <w:right w:val="nil"/>
                                  </w:tcBorders>
                                  <w:hideMark/>
                                </w:tcPr>
                                <w:p w14:paraId="3038399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r>
                            <w:tr w:rsidR="00057F31" w:rsidRPr="00057F31" w14:paraId="358AF99E" w14:textId="77777777" w:rsidTr="00057F31">
                              <w:trPr>
                                <w:trHeight w:val="204"/>
                              </w:trPr>
                              <w:tc>
                                <w:tcPr>
                                  <w:tcW w:w="1588" w:type="pct"/>
                                  <w:tcBorders>
                                    <w:top w:val="nil"/>
                                    <w:left w:val="nil"/>
                                    <w:bottom w:val="nil"/>
                                    <w:right w:val="nil"/>
                                  </w:tcBorders>
                                  <w:noWrap/>
                                  <w:hideMark/>
                                </w:tcPr>
                                <w:p w14:paraId="0F6654E1"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Supplemental Items</w:t>
                                  </w:r>
                                </w:p>
                              </w:tc>
                              <w:tc>
                                <w:tcPr>
                                  <w:tcW w:w="452" w:type="pct"/>
                                  <w:tcBorders>
                                    <w:top w:val="nil"/>
                                    <w:left w:val="nil"/>
                                    <w:bottom w:val="nil"/>
                                    <w:right w:val="nil"/>
                                  </w:tcBorders>
                                  <w:noWrap/>
                                  <w:hideMark/>
                                </w:tcPr>
                                <w:p w14:paraId="63D2FF19"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c>
                                <w:tcPr>
                                  <w:tcW w:w="506" w:type="pct"/>
                                  <w:tcBorders>
                                    <w:top w:val="nil"/>
                                    <w:left w:val="nil"/>
                                    <w:bottom w:val="nil"/>
                                    <w:right w:val="nil"/>
                                  </w:tcBorders>
                                  <w:noWrap/>
                                  <w:hideMark/>
                                </w:tcPr>
                                <w:p w14:paraId="3091473D"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5066AAE1"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0DB64AAA"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255B15D4"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32613717"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568B355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r>
                            <w:tr w:rsidR="003C2F53" w:rsidRPr="00057F31" w14:paraId="224B34E3" w14:textId="77777777" w:rsidTr="00057F31">
                              <w:trPr>
                                <w:trHeight w:val="204"/>
                              </w:trPr>
                              <w:tc>
                                <w:tcPr>
                                  <w:tcW w:w="1588" w:type="pct"/>
                                  <w:tcBorders>
                                    <w:top w:val="nil"/>
                                    <w:left w:val="nil"/>
                                    <w:bottom w:val="nil"/>
                                    <w:right w:val="nil"/>
                                  </w:tcBorders>
                                  <w:noWrap/>
                                  <w:hideMark/>
                                </w:tcPr>
                                <w:p w14:paraId="2F96EB2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EBITDA</w:t>
                                  </w:r>
                                </w:p>
                              </w:tc>
                              <w:tc>
                                <w:tcPr>
                                  <w:tcW w:w="452" w:type="pct"/>
                                  <w:tcBorders>
                                    <w:top w:val="nil"/>
                                    <w:left w:val="nil"/>
                                    <w:bottom w:val="nil"/>
                                    <w:right w:val="nil"/>
                                  </w:tcBorders>
                                  <w:hideMark/>
                                </w:tcPr>
                                <w:p w14:paraId="4BC81F5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6.2 </w:t>
                                  </w:r>
                                </w:p>
                              </w:tc>
                              <w:tc>
                                <w:tcPr>
                                  <w:tcW w:w="506" w:type="pct"/>
                                  <w:tcBorders>
                                    <w:top w:val="nil"/>
                                    <w:left w:val="nil"/>
                                    <w:bottom w:val="nil"/>
                                    <w:right w:val="nil"/>
                                  </w:tcBorders>
                                  <w:hideMark/>
                                </w:tcPr>
                                <w:p w14:paraId="576652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7.1 </w:t>
                                  </w:r>
                                </w:p>
                              </w:tc>
                              <w:tc>
                                <w:tcPr>
                                  <w:tcW w:w="506" w:type="pct"/>
                                  <w:tcBorders>
                                    <w:top w:val="nil"/>
                                    <w:left w:val="nil"/>
                                    <w:bottom w:val="nil"/>
                                    <w:right w:val="nil"/>
                                  </w:tcBorders>
                                  <w:hideMark/>
                                </w:tcPr>
                                <w:p w14:paraId="0B7F629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8.6 </w:t>
                                  </w:r>
                                </w:p>
                              </w:tc>
                              <w:tc>
                                <w:tcPr>
                                  <w:tcW w:w="506" w:type="pct"/>
                                  <w:tcBorders>
                                    <w:top w:val="nil"/>
                                    <w:left w:val="nil"/>
                                    <w:bottom w:val="nil"/>
                                    <w:right w:val="nil"/>
                                  </w:tcBorders>
                                  <w:hideMark/>
                                </w:tcPr>
                                <w:p w14:paraId="30F4F7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c>
                                <w:tcPr>
                                  <w:tcW w:w="452" w:type="pct"/>
                                  <w:tcBorders>
                                    <w:top w:val="nil"/>
                                    <w:left w:val="nil"/>
                                    <w:bottom w:val="nil"/>
                                    <w:right w:val="nil"/>
                                  </w:tcBorders>
                                  <w:hideMark/>
                                </w:tcPr>
                                <w:p w14:paraId="40C2AEC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10.6 </w:t>
                                  </w:r>
                                </w:p>
                              </w:tc>
                              <w:tc>
                                <w:tcPr>
                                  <w:tcW w:w="452" w:type="pct"/>
                                  <w:tcBorders>
                                    <w:top w:val="nil"/>
                                    <w:left w:val="nil"/>
                                    <w:bottom w:val="nil"/>
                                    <w:right w:val="nil"/>
                                  </w:tcBorders>
                                  <w:hideMark/>
                                </w:tcPr>
                                <w:p w14:paraId="07B916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11.5 </w:t>
                                  </w:r>
                                </w:p>
                              </w:tc>
                              <w:tc>
                                <w:tcPr>
                                  <w:tcW w:w="535" w:type="pct"/>
                                  <w:tcBorders>
                                    <w:top w:val="nil"/>
                                    <w:left w:val="nil"/>
                                    <w:bottom w:val="nil"/>
                                    <w:right w:val="nil"/>
                                  </w:tcBorders>
                                  <w:hideMark/>
                                </w:tcPr>
                                <w:p w14:paraId="62B3AE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12.1 </w:t>
                                  </w:r>
                                </w:p>
                              </w:tc>
                            </w:tr>
                            <w:tr w:rsidR="003C2F53" w:rsidRPr="00057F31" w14:paraId="53EEBE0B" w14:textId="77777777" w:rsidTr="00057F31">
                              <w:trPr>
                                <w:trHeight w:val="204"/>
                              </w:trPr>
                              <w:tc>
                                <w:tcPr>
                                  <w:tcW w:w="1588" w:type="pct"/>
                                  <w:tcBorders>
                                    <w:top w:val="nil"/>
                                    <w:left w:val="nil"/>
                                    <w:bottom w:val="nil"/>
                                    <w:right w:val="nil"/>
                                  </w:tcBorders>
                                  <w:noWrap/>
                                  <w:hideMark/>
                                </w:tcPr>
                                <w:p w14:paraId="3A389A11"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EBITA</w:t>
                                  </w:r>
                                </w:p>
                              </w:tc>
                              <w:tc>
                                <w:tcPr>
                                  <w:tcW w:w="452" w:type="pct"/>
                                  <w:tcBorders>
                                    <w:top w:val="nil"/>
                                    <w:left w:val="nil"/>
                                    <w:bottom w:val="nil"/>
                                    <w:right w:val="nil"/>
                                  </w:tcBorders>
                                  <w:hideMark/>
                                </w:tcPr>
                                <w:p w14:paraId="287B617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4.7 </w:t>
                                  </w:r>
                                </w:p>
                              </w:tc>
                              <w:tc>
                                <w:tcPr>
                                  <w:tcW w:w="506" w:type="pct"/>
                                  <w:tcBorders>
                                    <w:top w:val="nil"/>
                                    <w:left w:val="nil"/>
                                    <w:bottom w:val="nil"/>
                                    <w:right w:val="nil"/>
                                  </w:tcBorders>
                                  <w:hideMark/>
                                </w:tcPr>
                                <w:p w14:paraId="205692D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5.4 </w:t>
                                  </w:r>
                                </w:p>
                              </w:tc>
                              <w:tc>
                                <w:tcPr>
                                  <w:tcW w:w="506" w:type="pct"/>
                                  <w:tcBorders>
                                    <w:top w:val="nil"/>
                                    <w:left w:val="nil"/>
                                    <w:bottom w:val="nil"/>
                                    <w:right w:val="nil"/>
                                  </w:tcBorders>
                                  <w:hideMark/>
                                </w:tcPr>
                                <w:p w14:paraId="344BBA3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6.8 </w:t>
                                  </w:r>
                                </w:p>
                              </w:tc>
                              <w:tc>
                                <w:tcPr>
                                  <w:tcW w:w="506" w:type="pct"/>
                                  <w:tcBorders>
                                    <w:top w:val="nil"/>
                                    <w:left w:val="nil"/>
                                    <w:bottom w:val="nil"/>
                                    <w:right w:val="nil"/>
                                  </w:tcBorders>
                                  <w:hideMark/>
                                </w:tcPr>
                                <w:p w14:paraId="58348D3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7.9 </w:t>
                                  </w:r>
                                </w:p>
                              </w:tc>
                              <w:tc>
                                <w:tcPr>
                                  <w:tcW w:w="452" w:type="pct"/>
                                  <w:tcBorders>
                                    <w:top w:val="nil"/>
                                    <w:left w:val="nil"/>
                                    <w:bottom w:val="nil"/>
                                    <w:right w:val="nil"/>
                                  </w:tcBorders>
                                  <w:hideMark/>
                                </w:tcPr>
                                <w:p w14:paraId="731AC67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8.5 </w:t>
                                  </w:r>
                                </w:p>
                              </w:tc>
                              <w:tc>
                                <w:tcPr>
                                  <w:tcW w:w="452" w:type="pct"/>
                                  <w:tcBorders>
                                    <w:top w:val="nil"/>
                                    <w:left w:val="nil"/>
                                    <w:bottom w:val="nil"/>
                                    <w:right w:val="nil"/>
                                  </w:tcBorders>
                                  <w:hideMark/>
                                </w:tcPr>
                                <w:p w14:paraId="653C4EE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 </w:t>
                                  </w:r>
                                </w:p>
                              </w:tc>
                              <w:tc>
                                <w:tcPr>
                                  <w:tcW w:w="535" w:type="pct"/>
                                  <w:tcBorders>
                                    <w:top w:val="nil"/>
                                    <w:left w:val="nil"/>
                                    <w:bottom w:val="nil"/>
                                    <w:right w:val="nil"/>
                                  </w:tcBorders>
                                  <w:hideMark/>
                                </w:tcPr>
                                <w:p w14:paraId="55AC741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r>
                            <w:tr w:rsidR="003C2F53" w:rsidRPr="00057F31" w14:paraId="48B031B6" w14:textId="77777777" w:rsidTr="00057F31">
                              <w:trPr>
                                <w:trHeight w:val="204"/>
                              </w:trPr>
                              <w:tc>
                                <w:tcPr>
                                  <w:tcW w:w="1588" w:type="pct"/>
                                  <w:tcBorders>
                                    <w:top w:val="nil"/>
                                    <w:left w:val="nil"/>
                                    <w:bottom w:val="nil"/>
                                    <w:right w:val="nil"/>
                                  </w:tcBorders>
                                  <w:noWrap/>
                                  <w:hideMark/>
                                </w:tcPr>
                                <w:p w14:paraId="08FD997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w:t>
                                  </w:r>
                                </w:p>
                              </w:tc>
                              <w:tc>
                                <w:tcPr>
                                  <w:tcW w:w="452" w:type="pct"/>
                                  <w:tcBorders>
                                    <w:top w:val="nil"/>
                                    <w:left w:val="nil"/>
                                    <w:bottom w:val="nil"/>
                                    <w:right w:val="nil"/>
                                  </w:tcBorders>
                                  <w:hideMark/>
                                </w:tcPr>
                                <w:p w14:paraId="03F552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4.7 </w:t>
                                  </w:r>
                                </w:p>
                              </w:tc>
                              <w:tc>
                                <w:tcPr>
                                  <w:tcW w:w="506" w:type="pct"/>
                                  <w:tcBorders>
                                    <w:top w:val="nil"/>
                                    <w:left w:val="nil"/>
                                    <w:bottom w:val="nil"/>
                                    <w:right w:val="nil"/>
                                  </w:tcBorders>
                                  <w:hideMark/>
                                </w:tcPr>
                                <w:p w14:paraId="756BFF4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5.4 </w:t>
                                  </w:r>
                                </w:p>
                              </w:tc>
                              <w:tc>
                                <w:tcPr>
                                  <w:tcW w:w="506" w:type="pct"/>
                                  <w:tcBorders>
                                    <w:top w:val="nil"/>
                                    <w:left w:val="nil"/>
                                    <w:bottom w:val="nil"/>
                                    <w:right w:val="nil"/>
                                  </w:tcBorders>
                                  <w:hideMark/>
                                </w:tcPr>
                                <w:p w14:paraId="4B2C1DE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6.8 </w:t>
                                  </w:r>
                                </w:p>
                              </w:tc>
                              <w:tc>
                                <w:tcPr>
                                  <w:tcW w:w="506" w:type="pct"/>
                                  <w:tcBorders>
                                    <w:top w:val="nil"/>
                                    <w:left w:val="nil"/>
                                    <w:bottom w:val="nil"/>
                                    <w:right w:val="nil"/>
                                  </w:tcBorders>
                                  <w:hideMark/>
                                </w:tcPr>
                                <w:p w14:paraId="7684173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7.9 </w:t>
                                  </w:r>
                                </w:p>
                              </w:tc>
                              <w:tc>
                                <w:tcPr>
                                  <w:tcW w:w="452" w:type="pct"/>
                                  <w:tcBorders>
                                    <w:top w:val="nil"/>
                                    <w:left w:val="nil"/>
                                    <w:bottom w:val="nil"/>
                                    <w:right w:val="nil"/>
                                  </w:tcBorders>
                                  <w:hideMark/>
                                </w:tcPr>
                                <w:p w14:paraId="447C3D5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8.5 </w:t>
                                  </w:r>
                                </w:p>
                              </w:tc>
                              <w:tc>
                                <w:tcPr>
                                  <w:tcW w:w="452" w:type="pct"/>
                                  <w:tcBorders>
                                    <w:top w:val="nil"/>
                                    <w:left w:val="nil"/>
                                    <w:bottom w:val="nil"/>
                                    <w:right w:val="nil"/>
                                  </w:tcBorders>
                                  <w:hideMark/>
                                </w:tcPr>
                                <w:p w14:paraId="6D4A768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 </w:t>
                                  </w:r>
                                </w:p>
                              </w:tc>
                              <w:tc>
                                <w:tcPr>
                                  <w:tcW w:w="535" w:type="pct"/>
                                  <w:tcBorders>
                                    <w:top w:val="nil"/>
                                    <w:left w:val="nil"/>
                                    <w:bottom w:val="nil"/>
                                    <w:right w:val="nil"/>
                                  </w:tcBorders>
                                  <w:hideMark/>
                                </w:tcPr>
                                <w:p w14:paraId="5CB28BF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r>
                            <w:tr w:rsidR="003C2F53" w:rsidRPr="00057F31" w14:paraId="2DDB5808" w14:textId="77777777" w:rsidTr="00057F31">
                              <w:trPr>
                                <w:trHeight w:val="204"/>
                              </w:trPr>
                              <w:tc>
                                <w:tcPr>
                                  <w:tcW w:w="1588" w:type="pct"/>
                                  <w:tcBorders>
                                    <w:top w:val="nil"/>
                                    <w:left w:val="nil"/>
                                    <w:bottom w:val="nil"/>
                                    <w:right w:val="nil"/>
                                  </w:tcBorders>
                                  <w:noWrap/>
                                  <w:hideMark/>
                                </w:tcPr>
                                <w:p w14:paraId="2A6FE8B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EBITDAR</w:t>
                                  </w:r>
                                </w:p>
                              </w:tc>
                              <w:tc>
                                <w:tcPr>
                                  <w:tcW w:w="452" w:type="pct"/>
                                  <w:tcBorders>
                                    <w:top w:val="nil"/>
                                    <w:left w:val="nil"/>
                                    <w:bottom w:val="nil"/>
                                    <w:right w:val="nil"/>
                                  </w:tcBorders>
                                  <w:hideMark/>
                                </w:tcPr>
                                <w:p w14:paraId="223E6C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c>
                                <w:tcPr>
                                  <w:tcW w:w="506" w:type="pct"/>
                                  <w:tcBorders>
                                    <w:top w:val="nil"/>
                                    <w:left w:val="nil"/>
                                    <w:bottom w:val="nil"/>
                                    <w:right w:val="nil"/>
                                  </w:tcBorders>
                                  <w:hideMark/>
                                </w:tcPr>
                                <w:p w14:paraId="4FC3E67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 </w:t>
                                  </w:r>
                                </w:p>
                              </w:tc>
                              <w:tc>
                                <w:tcPr>
                                  <w:tcW w:w="506" w:type="pct"/>
                                  <w:tcBorders>
                                    <w:top w:val="nil"/>
                                    <w:left w:val="nil"/>
                                    <w:bottom w:val="nil"/>
                                    <w:right w:val="nil"/>
                                  </w:tcBorders>
                                  <w:hideMark/>
                                </w:tcPr>
                                <w:p w14:paraId="296D68D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 </w:t>
                                  </w:r>
                                </w:p>
                              </w:tc>
                              <w:tc>
                                <w:tcPr>
                                  <w:tcW w:w="506" w:type="pct"/>
                                  <w:tcBorders>
                                    <w:top w:val="nil"/>
                                    <w:left w:val="nil"/>
                                    <w:bottom w:val="nil"/>
                                    <w:right w:val="nil"/>
                                  </w:tcBorders>
                                  <w:hideMark/>
                                </w:tcPr>
                                <w:p w14:paraId="655B61A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10.3 </w:t>
                                  </w:r>
                                </w:p>
                              </w:tc>
                              <w:tc>
                                <w:tcPr>
                                  <w:tcW w:w="452" w:type="pct"/>
                                  <w:tcBorders>
                                    <w:top w:val="nil"/>
                                    <w:left w:val="nil"/>
                                    <w:bottom w:val="nil"/>
                                    <w:right w:val="nil"/>
                                  </w:tcBorders>
                                  <w:hideMark/>
                                </w:tcPr>
                                <w:p w14:paraId="7DBF5A2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11.1 </w:t>
                                  </w:r>
                                </w:p>
                              </w:tc>
                              <w:tc>
                                <w:tcPr>
                                  <w:tcW w:w="452" w:type="pct"/>
                                  <w:tcBorders>
                                    <w:top w:val="nil"/>
                                    <w:left w:val="nil"/>
                                    <w:bottom w:val="nil"/>
                                    <w:right w:val="nil"/>
                                  </w:tcBorders>
                                  <w:hideMark/>
                                </w:tcPr>
                                <w:p w14:paraId="30F273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12.0 </w:t>
                                  </w:r>
                                </w:p>
                              </w:tc>
                              <w:tc>
                                <w:tcPr>
                                  <w:tcW w:w="535" w:type="pct"/>
                                  <w:tcBorders>
                                    <w:top w:val="nil"/>
                                    <w:left w:val="nil"/>
                                    <w:bottom w:val="nil"/>
                                    <w:right w:val="nil"/>
                                  </w:tcBorders>
                                  <w:hideMark/>
                                </w:tcPr>
                                <w:p w14:paraId="6040B7E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r>
                          </w:tbl>
                          <w:p w14:paraId="0A031735" w14:textId="3001D045" w:rsidR="00625BED" w:rsidRDefault="00625B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849D1" id="_x0000_s1053" type="#_x0000_t202" style="position:absolute;left:0;text-align:left;margin-left:0;margin-top:0;width:486pt;height:696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" filled="f" stroked="f">
                <v:textbox>
                  <w:txbxContent>
                    <w:tbl>
                      <w:tblPr>
                        <w:tblW w:w="5000" w:type="pct"/>
                        <w:tblLook w:val="04A0" w:firstRow="1" w:lastRow="0" w:firstColumn="1" w:lastColumn="0" w:noHBand="0" w:noVBand="1"/>
                      </w:tblPr>
                      <w:tblGrid>
                        <w:gridCol w:w="2976"/>
                        <w:gridCol w:w="833"/>
                        <w:gridCol w:w="987"/>
                        <w:gridCol w:w="987"/>
                        <w:gridCol w:w="987"/>
                        <w:gridCol w:w="833"/>
                        <w:gridCol w:w="834"/>
                        <w:gridCol w:w="996"/>
                      </w:tblGrid>
                      <w:tr w:rsidR="00057F31" w:rsidRPr="00057F31" w14:paraId="09D391B4" w14:textId="77777777" w:rsidTr="00057F31">
                        <w:trPr>
                          <w:trHeight w:val="336"/>
                        </w:trPr>
                        <w:tc>
                          <w:tcPr>
                            <w:tcW w:w="5000" w:type="pct"/>
                            <w:gridSpan w:val="8"/>
                            <w:tcBorders>
                              <w:top w:val="nil"/>
                              <w:left w:val="nil"/>
                              <w:bottom w:val="nil"/>
                              <w:right w:val="nil"/>
                            </w:tcBorders>
                            <w:noWrap/>
                            <w:vAlign w:val="bottom"/>
                            <w:hideMark/>
                          </w:tcPr>
                          <w:p w14:paraId="233A2CC0" w14:textId="5BA8CE58"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r>
                      <w:tr w:rsidR="00057F31" w:rsidRPr="00057F31" w14:paraId="27DB5E06" w14:textId="77777777" w:rsidTr="00057F31">
                        <w:trPr>
                          <w:trHeight w:val="204"/>
                        </w:trPr>
                        <w:tc>
                          <w:tcPr>
                            <w:tcW w:w="1588" w:type="pct"/>
                            <w:tcBorders>
                              <w:top w:val="nil"/>
                              <w:left w:val="nil"/>
                              <w:bottom w:val="nil"/>
                              <w:right w:val="nil"/>
                            </w:tcBorders>
                            <w:shd w:val="clear" w:color="000000" w:fill="003366"/>
                            <w:noWrap/>
                            <w:vAlign w:val="bottom"/>
                            <w:hideMark/>
                          </w:tcPr>
                          <w:p w14:paraId="1489529A"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Income Statement</w:t>
                            </w:r>
                          </w:p>
                        </w:tc>
                        <w:tc>
                          <w:tcPr>
                            <w:tcW w:w="452" w:type="pct"/>
                            <w:tcBorders>
                              <w:top w:val="nil"/>
                              <w:left w:val="nil"/>
                              <w:bottom w:val="nil"/>
                              <w:right w:val="nil"/>
                            </w:tcBorders>
                            <w:shd w:val="clear" w:color="000000" w:fill="003366"/>
                            <w:noWrap/>
                            <w:vAlign w:val="bottom"/>
                            <w:hideMark/>
                          </w:tcPr>
                          <w:p w14:paraId="733297DD"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76F8E2C8"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45210945"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06" w:type="pct"/>
                            <w:tcBorders>
                              <w:top w:val="nil"/>
                              <w:left w:val="nil"/>
                              <w:bottom w:val="nil"/>
                              <w:right w:val="nil"/>
                            </w:tcBorders>
                            <w:shd w:val="clear" w:color="000000" w:fill="003366"/>
                            <w:noWrap/>
                            <w:vAlign w:val="bottom"/>
                            <w:hideMark/>
                          </w:tcPr>
                          <w:p w14:paraId="1F6D643A"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452" w:type="pct"/>
                            <w:tcBorders>
                              <w:top w:val="nil"/>
                              <w:left w:val="nil"/>
                              <w:bottom w:val="nil"/>
                              <w:right w:val="nil"/>
                            </w:tcBorders>
                            <w:shd w:val="clear" w:color="000000" w:fill="003366"/>
                            <w:noWrap/>
                            <w:vAlign w:val="bottom"/>
                            <w:hideMark/>
                          </w:tcPr>
                          <w:p w14:paraId="42AAB579"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452" w:type="pct"/>
                            <w:tcBorders>
                              <w:top w:val="nil"/>
                              <w:left w:val="nil"/>
                              <w:bottom w:val="nil"/>
                              <w:right w:val="nil"/>
                            </w:tcBorders>
                            <w:shd w:val="clear" w:color="000000" w:fill="003366"/>
                            <w:noWrap/>
                            <w:vAlign w:val="bottom"/>
                            <w:hideMark/>
                          </w:tcPr>
                          <w:p w14:paraId="2A00C9D6"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c>
                          <w:tcPr>
                            <w:tcW w:w="535" w:type="pct"/>
                            <w:tcBorders>
                              <w:top w:val="nil"/>
                              <w:left w:val="nil"/>
                              <w:bottom w:val="nil"/>
                              <w:right w:val="nil"/>
                            </w:tcBorders>
                            <w:shd w:val="clear" w:color="000000" w:fill="003366"/>
                            <w:noWrap/>
                            <w:vAlign w:val="bottom"/>
                            <w:hideMark/>
                          </w:tcPr>
                          <w:p w14:paraId="7B4BD946" w14:textId="77777777" w:rsidR="00057F31" w:rsidRPr="00057F31" w:rsidRDefault="00057F31" w:rsidP="00057F31">
                            <w:pPr>
                              <w:spacing w:after="0" w:line="240" w:lineRule="auto"/>
                              <w:rPr>
                                <w:rFonts w:ascii="Cambria" w:eastAsia="Times New Roman" w:hAnsi="Cambria" w:cs="Arial"/>
                                <w:b/>
                                <w:bCs/>
                                <w:color w:val="FFFFFF"/>
                                <w:kern w:val="0"/>
                                <w:sz w:val="14"/>
                                <w:szCs w:val="14"/>
                                <w:lang w:eastAsia="en-IN"/>
                                <w14:ligatures w14:val="none"/>
                              </w:rPr>
                            </w:pPr>
                            <w:r w:rsidRPr="00057F31">
                              <w:rPr>
                                <w:rFonts w:ascii="Cambria" w:eastAsia="Times New Roman" w:hAnsi="Cambria" w:cs="Arial"/>
                                <w:b/>
                                <w:bCs/>
                                <w:color w:val="FFFFFF"/>
                                <w:kern w:val="0"/>
                                <w:sz w:val="14"/>
                                <w:szCs w:val="14"/>
                                <w:lang w:eastAsia="en-IN"/>
                                <w14:ligatures w14:val="none"/>
                              </w:rPr>
                              <w:t> </w:t>
                            </w:r>
                          </w:p>
                        </w:tc>
                      </w:tr>
                      <w:tr w:rsidR="00057F31" w:rsidRPr="00057F31" w14:paraId="589A2BD6" w14:textId="77777777" w:rsidTr="00057F31">
                        <w:trPr>
                          <w:trHeight w:val="816"/>
                        </w:trPr>
                        <w:tc>
                          <w:tcPr>
                            <w:tcW w:w="1588" w:type="pct"/>
                            <w:tcBorders>
                              <w:top w:val="nil"/>
                              <w:left w:val="nil"/>
                              <w:bottom w:val="nil"/>
                              <w:right w:val="nil"/>
                            </w:tcBorders>
                            <w:shd w:val="clear" w:color="000000" w:fill="F0F0DC"/>
                            <w:vAlign w:val="bottom"/>
                            <w:hideMark/>
                          </w:tcPr>
                          <w:p w14:paraId="25B2CEF1"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For the Fiscal Period Ending</w:t>
                            </w:r>
                          </w:p>
                        </w:tc>
                        <w:tc>
                          <w:tcPr>
                            <w:tcW w:w="452" w:type="pct"/>
                            <w:tcBorders>
                              <w:top w:val="nil"/>
                              <w:left w:val="nil"/>
                              <w:bottom w:val="nil"/>
                              <w:right w:val="nil"/>
                            </w:tcBorders>
                            <w:shd w:val="clear" w:color="000000" w:fill="F0F0DC"/>
                            <w:vAlign w:val="bottom"/>
                            <w:hideMark/>
                          </w:tcPr>
                          <w:p w14:paraId="57B9C75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Sep-01-2019</w:t>
                            </w:r>
                          </w:p>
                        </w:tc>
                        <w:tc>
                          <w:tcPr>
                            <w:tcW w:w="506" w:type="pct"/>
                            <w:tcBorders>
                              <w:top w:val="nil"/>
                              <w:left w:val="nil"/>
                              <w:bottom w:val="nil"/>
                              <w:right w:val="nil"/>
                            </w:tcBorders>
                            <w:shd w:val="clear" w:color="000000" w:fill="F0F0DC"/>
                            <w:vAlign w:val="bottom"/>
                            <w:hideMark/>
                          </w:tcPr>
                          <w:p w14:paraId="0D20717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Aug-30-2020</w:t>
                            </w:r>
                          </w:p>
                        </w:tc>
                        <w:tc>
                          <w:tcPr>
                            <w:tcW w:w="506" w:type="pct"/>
                            <w:tcBorders>
                              <w:top w:val="nil"/>
                              <w:left w:val="nil"/>
                              <w:bottom w:val="nil"/>
                              <w:right w:val="nil"/>
                            </w:tcBorders>
                            <w:shd w:val="clear" w:color="000000" w:fill="F0F0DC"/>
                            <w:vAlign w:val="bottom"/>
                            <w:hideMark/>
                          </w:tcPr>
                          <w:p w14:paraId="30AE233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Aug-29-2021</w:t>
                            </w:r>
                          </w:p>
                        </w:tc>
                        <w:tc>
                          <w:tcPr>
                            <w:tcW w:w="506" w:type="pct"/>
                            <w:tcBorders>
                              <w:top w:val="nil"/>
                              <w:left w:val="nil"/>
                              <w:bottom w:val="nil"/>
                              <w:right w:val="nil"/>
                            </w:tcBorders>
                            <w:shd w:val="clear" w:color="000000" w:fill="F0F0DC"/>
                            <w:vAlign w:val="bottom"/>
                            <w:hideMark/>
                          </w:tcPr>
                          <w:p w14:paraId="238AFE2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Reclassified</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Aug-28-2022</w:t>
                            </w:r>
                          </w:p>
                        </w:tc>
                        <w:tc>
                          <w:tcPr>
                            <w:tcW w:w="452" w:type="pct"/>
                            <w:tcBorders>
                              <w:top w:val="nil"/>
                              <w:left w:val="nil"/>
                              <w:bottom w:val="nil"/>
                              <w:right w:val="nil"/>
                            </w:tcBorders>
                            <w:shd w:val="clear" w:color="000000" w:fill="F0F0DC"/>
                            <w:vAlign w:val="bottom"/>
                            <w:hideMark/>
                          </w:tcPr>
                          <w:p w14:paraId="2644147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Sep-03-2023</w:t>
                            </w:r>
                          </w:p>
                        </w:tc>
                        <w:tc>
                          <w:tcPr>
                            <w:tcW w:w="452" w:type="pct"/>
                            <w:tcBorders>
                              <w:top w:val="nil"/>
                              <w:left w:val="nil"/>
                              <w:bottom w:val="nil"/>
                              <w:right w:val="nil"/>
                            </w:tcBorders>
                            <w:shd w:val="clear" w:color="000000" w:fill="F0F0DC"/>
                            <w:vAlign w:val="bottom"/>
                            <w:hideMark/>
                          </w:tcPr>
                          <w:p w14:paraId="1CD15F2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12 months</w:t>
                            </w:r>
                            <w:r w:rsidRPr="00057F31">
                              <w:rPr>
                                <w:rFonts w:ascii="Cambria" w:eastAsia="Times New Roman" w:hAnsi="Cambria" w:cs="Arial"/>
                                <w:b/>
                                <w:bCs/>
                                <w:color w:val="000000"/>
                                <w:kern w:val="0"/>
                                <w:sz w:val="14"/>
                                <w:szCs w:val="14"/>
                                <w:lang w:eastAsia="en-IN"/>
                                <w14:ligatures w14:val="none"/>
                              </w:rPr>
                              <w:br/>
                              <w:t>Sep-01-2024</w:t>
                            </w:r>
                          </w:p>
                        </w:tc>
                        <w:tc>
                          <w:tcPr>
                            <w:tcW w:w="535" w:type="pct"/>
                            <w:tcBorders>
                              <w:top w:val="nil"/>
                              <w:left w:val="nil"/>
                              <w:bottom w:val="nil"/>
                              <w:right w:val="nil"/>
                            </w:tcBorders>
                            <w:shd w:val="clear" w:color="000000" w:fill="F0F0DC"/>
                            <w:vAlign w:val="bottom"/>
                            <w:hideMark/>
                          </w:tcPr>
                          <w:p w14:paraId="273C8A8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LTM</w:t>
                            </w:r>
                            <w:r w:rsidRPr="00057F31">
                              <w:rPr>
                                <w:rFonts w:ascii="Cambria" w:eastAsia="Times New Roman" w:hAnsi="Cambria" w:cs="Arial"/>
                                <w:b/>
                                <w:bCs/>
                                <w:color w:val="000000"/>
                                <w:kern w:val="0"/>
                                <w:sz w:val="14"/>
                                <w:szCs w:val="14"/>
                                <w:lang w:eastAsia="en-IN"/>
                                <w14:ligatures w14:val="none"/>
                              </w:rPr>
                              <w:br/>
                              <w:t>Press Release</w:t>
                            </w:r>
                            <w:r w:rsidRPr="00057F31">
                              <w:rPr>
                                <w:rFonts w:ascii="Cambria" w:eastAsia="Times New Roman" w:hAnsi="Cambria" w:cs="Arial"/>
                                <w:b/>
                                <w:bCs/>
                                <w:color w:val="000000"/>
                                <w:kern w:val="0"/>
                                <w:sz w:val="14"/>
                                <w:szCs w:val="14"/>
                                <w:lang w:eastAsia="en-IN"/>
                                <w14:ligatures w14:val="none"/>
                              </w:rPr>
                              <w:br/>
                              <w:t>12 months</w:t>
                            </w:r>
                            <w:r w:rsidRPr="00057F31">
                              <w:rPr>
                                <w:rFonts w:ascii="Cambria" w:eastAsia="Times New Roman" w:hAnsi="Cambria" w:cs="Arial"/>
                                <w:b/>
                                <w:bCs/>
                                <w:color w:val="000000"/>
                                <w:kern w:val="0"/>
                                <w:sz w:val="14"/>
                                <w:szCs w:val="14"/>
                                <w:lang w:eastAsia="en-IN"/>
                                <w14:ligatures w14:val="none"/>
                              </w:rPr>
                              <w:br/>
                              <w:t>Feb-16-2025</w:t>
                            </w:r>
                          </w:p>
                        </w:tc>
                      </w:tr>
                      <w:tr w:rsidR="00057F31" w:rsidRPr="00057F31" w14:paraId="39B1A2AA" w14:textId="77777777" w:rsidTr="00057F31">
                        <w:trPr>
                          <w:trHeight w:val="204"/>
                        </w:trPr>
                        <w:tc>
                          <w:tcPr>
                            <w:tcW w:w="1588" w:type="pct"/>
                            <w:tcBorders>
                              <w:top w:val="nil"/>
                              <w:left w:val="nil"/>
                              <w:bottom w:val="nil"/>
                              <w:right w:val="nil"/>
                            </w:tcBorders>
                            <w:shd w:val="clear" w:color="000000" w:fill="F0F0DC"/>
                            <w:vAlign w:val="bottom"/>
                            <w:hideMark/>
                          </w:tcPr>
                          <w:p w14:paraId="2D909AB1" w14:textId="77777777" w:rsidR="00057F31" w:rsidRPr="00057F31" w:rsidRDefault="00057F31" w:rsidP="00057F31">
                            <w:pPr>
                              <w:spacing w:after="0" w:line="240" w:lineRule="auto"/>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Currency</w:t>
                            </w:r>
                          </w:p>
                        </w:tc>
                        <w:tc>
                          <w:tcPr>
                            <w:tcW w:w="452" w:type="pct"/>
                            <w:tcBorders>
                              <w:top w:val="nil"/>
                              <w:left w:val="nil"/>
                              <w:bottom w:val="nil"/>
                              <w:right w:val="nil"/>
                            </w:tcBorders>
                            <w:shd w:val="clear" w:color="000000" w:fill="F0F0DC"/>
                            <w:vAlign w:val="bottom"/>
                            <w:hideMark/>
                          </w:tcPr>
                          <w:p w14:paraId="1F8B4BFF"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3DEF4B5B"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202AB41B"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06" w:type="pct"/>
                            <w:tcBorders>
                              <w:top w:val="nil"/>
                              <w:left w:val="nil"/>
                              <w:bottom w:val="nil"/>
                              <w:right w:val="nil"/>
                            </w:tcBorders>
                            <w:shd w:val="clear" w:color="000000" w:fill="F0F0DC"/>
                            <w:vAlign w:val="bottom"/>
                            <w:hideMark/>
                          </w:tcPr>
                          <w:p w14:paraId="214C45AE"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452" w:type="pct"/>
                            <w:tcBorders>
                              <w:top w:val="nil"/>
                              <w:left w:val="nil"/>
                              <w:bottom w:val="nil"/>
                              <w:right w:val="nil"/>
                            </w:tcBorders>
                            <w:shd w:val="clear" w:color="000000" w:fill="F0F0DC"/>
                            <w:vAlign w:val="bottom"/>
                            <w:hideMark/>
                          </w:tcPr>
                          <w:p w14:paraId="0619DDD6"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452" w:type="pct"/>
                            <w:tcBorders>
                              <w:top w:val="nil"/>
                              <w:left w:val="nil"/>
                              <w:bottom w:val="nil"/>
                              <w:right w:val="nil"/>
                            </w:tcBorders>
                            <w:shd w:val="clear" w:color="000000" w:fill="F0F0DC"/>
                            <w:vAlign w:val="bottom"/>
                            <w:hideMark/>
                          </w:tcPr>
                          <w:p w14:paraId="29600202"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c>
                          <w:tcPr>
                            <w:tcW w:w="535" w:type="pct"/>
                            <w:tcBorders>
                              <w:top w:val="nil"/>
                              <w:left w:val="nil"/>
                              <w:bottom w:val="nil"/>
                              <w:right w:val="nil"/>
                            </w:tcBorders>
                            <w:shd w:val="clear" w:color="000000" w:fill="F0F0DC"/>
                            <w:vAlign w:val="bottom"/>
                            <w:hideMark/>
                          </w:tcPr>
                          <w:p w14:paraId="6339C118" w14:textId="77777777" w:rsidR="00057F31" w:rsidRPr="00057F31" w:rsidRDefault="00057F31" w:rsidP="00057F31">
                            <w:pPr>
                              <w:spacing w:after="0" w:line="240" w:lineRule="auto"/>
                              <w:jc w:val="right"/>
                              <w:rPr>
                                <w:rFonts w:ascii="Cambria" w:eastAsia="Times New Roman" w:hAnsi="Cambria" w:cs="Arial"/>
                                <w:b/>
                                <w:bCs/>
                                <w:i/>
                                <w:iCs/>
                                <w:color w:val="000000"/>
                                <w:kern w:val="0"/>
                                <w:sz w:val="14"/>
                                <w:szCs w:val="14"/>
                                <w:lang w:eastAsia="en-IN"/>
                                <w14:ligatures w14:val="none"/>
                              </w:rPr>
                            </w:pPr>
                            <w:r w:rsidRPr="00057F31">
                              <w:rPr>
                                <w:rFonts w:ascii="Cambria" w:eastAsia="Times New Roman" w:hAnsi="Cambria" w:cs="Arial"/>
                                <w:b/>
                                <w:bCs/>
                                <w:i/>
                                <w:iCs/>
                                <w:color w:val="000000"/>
                                <w:kern w:val="0"/>
                                <w:sz w:val="14"/>
                                <w:szCs w:val="14"/>
                                <w:lang w:eastAsia="en-IN"/>
                                <w14:ligatures w14:val="none"/>
                              </w:rPr>
                              <w:t>USD</w:t>
                            </w:r>
                          </w:p>
                        </w:tc>
                      </w:tr>
                      <w:tr w:rsidR="003C2F53" w:rsidRPr="00057F31" w14:paraId="7B6B1D00" w14:textId="77777777" w:rsidTr="00057F31">
                        <w:trPr>
                          <w:trHeight w:val="204"/>
                        </w:trPr>
                        <w:tc>
                          <w:tcPr>
                            <w:tcW w:w="1588" w:type="pct"/>
                            <w:tcBorders>
                              <w:top w:val="nil"/>
                              <w:left w:val="nil"/>
                              <w:bottom w:val="nil"/>
                              <w:right w:val="nil"/>
                            </w:tcBorders>
                            <w:noWrap/>
                            <w:hideMark/>
                          </w:tcPr>
                          <w:p w14:paraId="6EBA31A4"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Revenue</w:t>
                            </w:r>
                          </w:p>
                        </w:tc>
                        <w:tc>
                          <w:tcPr>
                            <w:tcW w:w="452" w:type="pct"/>
                            <w:tcBorders>
                              <w:top w:val="nil"/>
                              <w:left w:val="nil"/>
                              <w:bottom w:val="nil"/>
                              <w:right w:val="nil"/>
                            </w:tcBorders>
                            <w:hideMark/>
                          </w:tcPr>
                          <w:p w14:paraId="780F514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152.7 </w:t>
                            </w:r>
                          </w:p>
                        </w:tc>
                        <w:tc>
                          <w:tcPr>
                            <w:tcW w:w="506" w:type="pct"/>
                            <w:tcBorders>
                              <w:top w:val="nil"/>
                              <w:left w:val="nil"/>
                              <w:bottom w:val="nil"/>
                              <w:right w:val="nil"/>
                            </w:tcBorders>
                            <w:hideMark/>
                          </w:tcPr>
                          <w:p w14:paraId="7EADA51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166.8 </w:t>
                            </w:r>
                          </w:p>
                        </w:tc>
                        <w:tc>
                          <w:tcPr>
                            <w:tcW w:w="506" w:type="pct"/>
                            <w:tcBorders>
                              <w:top w:val="nil"/>
                              <w:left w:val="nil"/>
                              <w:bottom w:val="nil"/>
                              <w:right w:val="nil"/>
                            </w:tcBorders>
                            <w:hideMark/>
                          </w:tcPr>
                          <w:p w14:paraId="66A3929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195.9 </w:t>
                            </w:r>
                          </w:p>
                        </w:tc>
                        <w:tc>
                          <w:tcPr>
                            <w:tcW w:w="506" w:type="pct"/>
                            <w:tcBorders>
                              <w:top w:val="nil"/>
                              <w:left w:val="nil"/>
                              <w:bottom w:val="nil"/>
                              <w:right w:val="nil"/>
                            </w:tcBorders>
                            <w:hideMark/>
                          </w:tcPr>
                          <w:p w14:paraId="2C3C657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227.0 </w:t>
                            </w:r>
                          </w:p>
                        </w:tc>
                        <w:tc>
                          <w:tcPr>
                            <w:tcW w:w="452" w:type="pct"/>
                            <w:tcBorders>
                              <w:top w:val="nil"/>
                              <w:left w:val="nil"/>
                              <w:bottom w:val="nil"/>
                              <w:right w:val="nil"/>
                            </w:tcBorders>
                            <w:hideMark/>
                          </w:tcPr>
                          <w:p w14:paraId="240DEE5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242.3 </w:t>
                            </w:r>
                          </w:p>
                        </w:tc>
                        <w:tc>
                          <w:tcPr>
                            <w:tcW w:w="452" w:type="pct"/>
                            <w:tcBorders>
                              <w:top w:val="nil"/>
                              <w:left w:val="nil"/>
                              <w:bottom w:val="nil"/>
                              <w:right w:val="nil"/>
                            </w:tcBorders>
                            <w:hideMark/>
                          </w:tcPr>
                          <w:p w14:paraId="457E0E9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254.5 </w:t>
                            </w:r>
                          </w:p>
                        </w:tc>
                        <w:tc>
                          <w:tcPr>
                            <w:tcW w:w="535" w:type="pct"/>
                            <w:tcBorders>
                              <w:top w:val="nil"/>
                              <w:left w:val="nil"/>
                              <w:bottom w:val="nil"/>
                              <w:right w:val="nil"/>
                            </w:tcBorders>
                            <w:hideMark/>
                          </w:tcPr>
                          <w:p w14:paraId="1003C36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264.1 </w:t>
                            </w:r>
                          </w:p>
                        </w:tc>
                      </w:tr>
                      <w:tr w:rsidR="003C2F53" w:rsidRPr="00057F31" w14:paraId="6B9B87A4" w14:textId="77777777" w:rsidTr="00057F31">
                        <w:trPr>
                          <w:trHeight w:val="204"/>
                        </w:trPr>
                        <w:tc>
                          <w:tcPr>
                            <w:tcW w:w="1588" w:type="pct"/>
                            <w:tcBorders>
                              <w:top w:val="nil"/>
                              <w:left w:val="nil"/>
                              <w:bottom w:val="nil"/>
                              <w:right w:val="nil"/>
                            </w:tcBorders>
                            <w:noWrap/>
                            <w:hideMark/>
                          </w:tcPr>
                          <w:p w14:paraId="5744951D"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Other Revenue</w:t>
                            </w:r>
                          </w:p>
                        </w:tc>
                        <w:tc>
                          <w:tcPr>
                            <w:tcW w:w="452" w:type="pct"/>
                            <w:tcBorders>
                              <w:top w:val="nil"/>
                              <w:left w:val="nil"/>
                              <w:bottom w:val="nil"/>
                              <w:right w:val="nil"/>
                            </w:tcBorders>
                            <w:hideMark/>
                          </w:tcPr>
                          <w:p w14:paraId="7D196D2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537D2F0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04832D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06" w:type="pct"/>
                            <w:tcBorders>
                              <w:top w:val="nil"/>
                              <w:left w:val="nil"/>
                              <w:bottom w:val="nil"/>
                              <w:right w:val="nil"/>
                            </w:tcBorders>
                            <w:hideMark/>
                          </w:tcPr>
                          <w:p w14:paraId="378061F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533B3A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224B2D1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90E107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r>
                      <w:tr w:rsidR="003C2F53" w:rsidRPr="00057F31" w14:paraId="0B4A79F5" w14:textId="77777777" w:rsidTr="00057F31">
                        <w:trPr>
                          <w:trHeight w:val="204"/>
                        </w:trPr>
                        <w:tc>
                          <w:tcPr>
                            <w:tcW w:w="1588" w:type="pct"/>
                            <w:tcBorders>
                              <w:top w:val="nil"/>
                              <w:left w:val="nil"/>
                              <w:bottom w:val="nil"/>
                              <w:right w:val="nil"/>
                            </w:tcBorders>
                            <w:noWrap/>
                            <w:hideMark/>
                          </w:tcPr>
                          <w:p w14:paraId="48AF7E9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Total Revenue</w:t>
                            </w:r>
                          </w:p>
                        </w:tc>
                        <w:tc>
                          <w:tcPr>
                            <w:tcW w:w="452" w:type="pct"/>
                            <w:tcBorders>
                              <w:top w:val="single" w:sz="4" w:space="0" w:color="000000"/>
                              <w:left w:val="nil"/>
                              <w:bottom w:val="nil"/>
                              <w:right w:val="nil"/>
                            </w:tcBorders>
                            <w:hideMark/>
                          </w:tcPr>
                          <w:p w14:paraId="0F97280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152.7 </w:t>
                            </w:r>
                          </w:p>
                        </w:tc>
                        <w:tc>
                          <w:tcPr>
                            <w:tcW w:w="506" w:type="pct"/>
                            <w:tcBorders>
                              <w:top w:val="single" w:sz="4" w:space="0" w:color="000000"/>
                              <w:left w:val="nil"/>
                              <w:bottom w:val="nil"/>
                              <w:right w:val="nil"/>
                            </w:tcBorders>
                            <w:hideMark/>
                          </w:tcPr>
                          <w:p w14:paraId="34E6E2C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166.8 </w:t>
                            </w:r>
                          </w:p>
                        </w:tc>
                        <w:tc>
                          <w:tcPr>
                            <w:tcW w:w="506" w:type="pct"/>
                            <w:tcBorders>
                              <w:top w:val="single" w:sz="4" w:space="0" w:color="000000"/>
                              <w:left w:val="nil"/>
                              <w:bottom w:val="nil"/>
                              <w:right w:val="nil"/>
                            </w:tcBorders>
                            <w:hideMark/>
                          </w:tcPr>
                          <w:p w14:paraId="1897483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195.9 </w:t>
                            </w:r>
                          </w:p>
                        </w:tc>
                        <w:tc>
                          <w:tcPr>
                            <w:tcW w:w="506" w:type="pct"/>
                            <w:tcBorders>
                              <w:top w:val="single" w:sz="4" w:space="0" w:color="000000"/>
                              <w:left w:val="nil"/>
                              <w:bottom w:val="nil"/>
                              <w:right w:val="nil"/>
                            </w:tcBorders>
                            <w:hideMark/>
                          </w:tcPr>
                          <w:p w14:paraId="7EB9F78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227.0 </w:t>
                            </w:r>
                          </w:p>
                        </w:tc>
                        <w:tc>
                          <w:tcPr>
                            <w:tcW w:w="452" w:type="pct"/>
                            <w:tcBorders>
                              <w:top w:val="single" w:sz="4" w:space="0" w:color="000000"/>
                              <w:left w:val="nil"/>
                              <w:bottom w:val="nil"/>
                              <w:right w:val="nil"/>
                            </w:tcBorders>
                            <w:hideMark/>
                          </w:tcPr>
                          <w:p w14:paraId="3F5949C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242.3 </w:t>
                            </w:r>
                          </w:p>
                        </w:tc>
                        <w:tc>
                          <w:tcPr>
                            <w:tcW w:w="452" w:type="pct"/>
                            <w:tcBorders>
                              <w:top w:val="single" w:sz="4" w:space="0" w:color="000000"/>
                              <w:left w:val="nil"/>
                              <w:bottom w:val="nil"/>
                              <w:right w:val="nil"/>
                            </w:tcBorders>
                            <w:hideMark/>
                          </w:tcPr>
                          <w:p w14:paraId="5F6F8A5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254.5 </w:t>
                            </w:r>
                          </w:p>
                        </w:tc>
                        <w:tc>
                          <w:tcPr>
                            <w:tcW w:w="535" w:type="pct"/>
                            <w:tcBorders>
                              <w:top w:val="single" w:sz="4" w:space="0" w:color="000000"/>
                              <w:left w:val="nil"/>
                              <w:bottom w:val="nil"/>
                              <w:right w:val="nil"/>
                            </w:tcBorders>
                            <w:hideMark/>
                          </w:tcPr>
                          <w:p w14:paraId="551B16E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264.1 </w:t>
                            </w:r>
                          </w:p>
                        </w:tc>
                      </w:tr>
                      <w:tr w:rsidR="003C2F53" w:rsidRPr="00057F31" w14:paraId="524FBF06" w14:textId="77777777" w:rsidTr="00057F31">
                        <w:trPr>
                          <w:trHeight w:val="204"/>
                        </w:trPr>
                        <w:tc>
                          <w:tcPr>
                            <w:tcW w:w="1588" w:type="pct"/>
                            <w:tcBorders>
                              <w:top w:val="nil"/>
                              <w:left w:val="nil"/>
                              <w:bottom w:val="nil"/>
                              <w:right w:val="nil"/>
                            </w:tcBorders>
                            <w:noWrap/>
                            <w:hideMark/>
                          </w:tcPr>
                          <w:p w14:paraId="43355DE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Cost Of Goods Sold</w:t>
                            </w:r>
                          </w:p>
                        </w:tc>
                        <w:tc>
                          <w:tcPr>
                            <w:tcW w:w="452" w:type="pct"/>
                            <w:tcBorders>
                              <w:top w:val="nil"/>
                              <w:left w:val="nil"/>
                              <w:bottom w:val="nil"/>
                              <w:right w:val="nil"/>
                            </w:tcBorders>
                            <w:hideMark/>
                          </w:tcPr>
                          <w:p w14:paraId="7160661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132.9 </w:t>
                            </w:r>
                          </w:p>
                        </w:tc>
                        <w:tc>
                          <w:tcPr>
                            <w:tcW w:w="506" w:type="pct"/>
                            <w:tcBorders>
                              <w:top w:val="nil"/>
                              <w:left w:val="nil"/>
                              <w:bottom w:val="nil"/>
                              <w:right w:val="nil"/>
                            </w:tcBorders>
                            <w:hideMark/>
                          </w:tcPr>
                          <w:p w14:paraId="1A38A3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144.9 </w:t>
                            </w:r>
                          </w:p>
                        </w:tc>
                        <w:tc>
                          <w:tcPr>
                            <w:tcW w:w="506" w:type="pct"/>
                            <w:tcBorders>
                              <w:top w:val="nil"/>
                              <w:left w:val="nil"/>
                              <w:bottom w:val="nil"/>
                              <w:right w:val="nil"/>
                            </w:tcBorders>
                            <w:hideMark/>
                          </w:tcPr>
                          <w:p w14:paraId="09EE9C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170.7 </w:t>
                            </w:r>
                          </w:p>
                        </w:tc>
                        <w:tc>
                          <w:tcPr>
                            <w:tcW w:w="506" w:type="pct"/>
                            <w:tcBorders>
                              <w:top w:val="nil"/>
                              <w:left w:val="nil"/>
                              <w:bottom w:val="nil"/>
                              <w:right w:val="nil"/>
                            </w:tcBorders>
                            <w:hideMark/>
                          </w:tcPr>
                          <w:p w14:paraId="220014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199.4 </w:t>
                            </w:r>
                          </w:p>
                        </w:tc>
                        <w:tc>
                          <w:tcPr>
                            <w:tcW w:w="452" w:type="pct"/>
                            <w:tcBorders>
                              <w:top w:val="nil"/>
                              <w:left w:val="nil"/>
                              <w:bottom w:val="nil"/>
                              <w:right w:val="nil"/>
                            </w:tcBorders>
                            <w:hideMark/>
                          </w:tcPr>
                          <w:p w14:paraId="781A30D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212.2 </w:t>
                            </w:r>
                          </w:p>
                        </w:tc>
                        <w:tc>
                          <w:tcPr>
                            <w:tcW w:w="452" w:type="pct"/>
                            <w:tcBorders>
                              <w:top w:val="nil"/>
                              <w:left w:val="nil"/>
                              <w:bottom w:val="nil"/>
                              <w:right w:val="nil"/>
                            </w:tcBorders>
                            <w:hideMark/>
                          </w:tcPr>
                          <w:p w14:paraId="1FD0880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222.4 </w:t>
                            </w:r>
                          </w:p>
                        </w:tc>
                        <w:tc>
                          <w:tcPr>
                            <w:tcW w:w="535" w:type="pct"/>
                            <w:tcBorders>
                              <w:top w:val="nil"/>
                              <w:left w:val="nil"/>
                              <w:bottom w:val="nil"/>
                              <w:right w:val="nil"/>
                            </w:tcBorders>
                            <w:hideMark/>
                          </w:tcPr>
                          <w:p w14:paraId="1DFEC81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230.6 </w:t>
                            </w:r>
                          </w:p>
                        </w:tc>
                      </w:tr>
                      <w:tr w:rsidR="003C2F53" w:rsidRPr="00057F31" w14:paraId="01870F15" w14:textId="77777777" w:rsidTr="00057F31">
                        <w:trPr>
                          <w:trHeight w:val="204"/>
                        </w:trPr>
                        <w:tc>
                          <w:tcPr>
                            <w:tcW w:w="1588" w:type="pct"/>
                            <w:tcBorders>
                              <w:top w:val="nil"/>
                              <w:left w:val="nil"/>
                              <w:bottom w:val="nil"/>
                              <w:right w:val="nil"/>
                            </w:tcBorders>
                            <w:noWrap/>
                            <w:hideMark/>
                          </w:tcPr>
                          <w:p w14:paraId="586035C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Gross Profit</w:t>
                            </w:r>
                          </w:p>
                        </w:tc>
                        <w:tc>
                          <w:tcPr>
                            <w:tcW w:w="452" w:type="pct"/>
                            <w:tcBorders>
                              <w:top w:val="single" w:sz="4" w:space="0" w:color="000000"/>
                              <w:left w:val="nil"/>
                              <w:bottom w:val="nil"/>
                              <w:right w:val="nil"/>
                            </w:tcBorders>
                            <w:hideMark/>
                          </w:tcPr>
                          <w:p w14:paraId="7DFAE82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19.8 </w:t>
                            </w:r>
                          </w:p>
                        </w:tc>
                        <w:tc>
                          <w:tcPr>
                            <w:tcW w:w="506" w:type="pct"/>
                            <w:tcBorders>
                              <w:top w:val="single" w:sz="4" w:space="0" w:color="000000"/>
                              <w:left w:val="nil"/>
                              <w:bottom w:val="nil"/>
                              <w:right w:val="nil"/>
                            </w:tcBorders>
                            <w:hideMark/>
                          </w:tcPr>
                          <w:p w14:paraId="1DA9257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21.8 </w:t>
                            </w:r>
                          </w:p>
                        </w:tc>
                        <w:tc>
                          <w:tcPr>
                            <w:tcW w:w="506" w:type="pct"/>
                            <w:tcBorders>
                              <w:top w:val="single" w:sz="4" w:space="0" w:color="000000"/>
                              <w:left w:val="nil"/>
                              <w:bottom w:val="nil"/>
                              <w:right w:val="nil"/>
                            </w:tcBorders>
                            <w:hideMark/>
                          </w:tcPr>
                          <w:p w14:paraId="7D0F257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25.2 </w:t>
                            </w:r>
                          </w:p>
                        </w:tc>
                        <w:tc>
                          <w:tcPr>
                            <w:tcW w:w="506" w:type="pct"/>
                            <w:tcBorders>
                              <w:top w:val="single" w:sz="4" w:space="0" w:color="000000"/>
                              <w:left w:val="nil"/>
                              <w:bottom w:val="nil"/>
                              <w:right w:val="nil"/>
                            </w:tcBorders>
                            <w:hideMark/>
                          </w:tcPr>
                          <w:p w14:paraId="491D1AE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27.6 </w:t>
                            </w:r>
                          </w:p>
                        </w:tc>
                        <w:tc>
                          <w:tcPr>
                            <w:tcW w:w="452" w:type="pct"/>
                            <w:tcBorders>
                              <w:top w:val="single" w:sz="4" w:space="0" w:color="000000"/>
                              <w:left w:val="nil"/>
                              <w:bottom w:val="nil"/>
                              <w:right w:val="nil"/>
                            </w:tcBorders>
                            <w:hideMark/>
                          </w:tcPr>
                          <w:p w14:paraId="7C9DCD4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30.1 </w:t>
                            </w:r>
                          </w:p>
                        </w:tc>
                        <w:tc>
                          <w:tcPr>
                            <w:tcW w:w="452" w:type="pct"/>
                            <w:tcBorders>
                              <w:top w:val="single" w:sz="4" w:space="0" w:color="000000"/>
                              <w:left w:val="nil"/>
                              <w:bottom w:val="nil"/>
                              <w:right w:val="nil"/>
                            </w:tcBorders>
                            <w:hideMark/>
                          </w:tcPr>
                          <w:p w14:paraId="4CD93A4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32.1 </w:t>
                            </w:r>
                          </w:p>
                        </w:tc>
                        <w:tc>
                          <w:tcPr>
                            <w:tcW w:w="535" w:type="pct"/>
                            <w:tcBorders>
                              <w:top w:val="single" w:sz="4" w:space="0" w:color="000000"/>
                              <w:left w:val="nil"/>
                              <w:bottom w:val="nil"/>
                              <w:right w:val="nil"/>
                            </w:tcBorders>
                            <w:hideMark/>
                          </w:tcPr>
                          <w:p w14:paraId="449E21E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33.5 </w:t>
                            </w:r>
                          </w:p>
                        </w:tc>
                      </w:tr>
                      <w:tr w:rsidR="003C2F53" w:rsidRPr="00057F31" w14:paraId="7F74FF6E" w14:textId="77777777" w:rsidTr="00057F31">
                        <w:trPr>
                          <w:trHeight w:val="204"/>
                        </w:trPr>
                        <w:tc>
                          <w:tcPr>
                            <w:tcW w:w="1588" w:type="pct"/>
                            <w:tcBorders>
                              <w:top w:val="nil"/>
                              <w:left w:val="nil"/>
                              <w:bottom w:val="nil"/>
                              <w:right w:val="nil"/>
                            </w:tcBorders>
                            <w:noWrap/>
                            <w:hideMark/>
                          </w:tcPr>
                          <w:p w14:paraId="355A57A5"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Selling General &amp; Admin Exp.</w:t>
                            </w:r>
                          </w:p>
                        </w:tc>
                        <w:tc>
                          <w:tcPr>
                            <w:tcW w:w="452" w:type="pct"/>
                            <w:tcBorders>
                              <w:top w:val="nil"/>
                              <w:left w:val="nil"/>
                              <w:bottom w:val="nil"/>
                              <w:right w:val="nil"/>
                            </w:tcBorders>
                            <w:hideMark/>
                          </w:tcPr>
                          <w:p w14:paraId="65E1259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15.0 </w:t>
                            </w:r>
                          </w:p>
                        </w:tc>
                        <w:tc>
                          <w:tcPr>
                            <w:tcW w:w="506" w:type="pct"/>
                            <w:tcBorders>
                              <w:top w:val="nil"/>
                              <w:left w:val="nil"/>
                              <w:bottom w:val="nil"/>
                              <w:right w:val="nil"/>
                            </w:tcBorders>
                            <w:hideMark/>
                          </w:tcPr>
                          <w:p w14:paraId="096AFBB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16.4 </w:t>
                            </w:r>
                          </w:p>
                        </w:tc>
                        <w:tc>
                          <w:tcPr>
                            <w:tcW w:w="506" w:type="pct"/>
                            <w:tcBorders>
                              <w:top w:val="nil"/>
                              <w:left w:val="nil"/>
                              <w:bottom w:val="nil"/>
                              <w:right w:val="nil"/>
                            </w:tcBorders>
                            <w:hideMark/>
                          </w:tcPr>
                          <w:p w14:paraId="68484B8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18.5 </w:t>
                            </w:r>
                          </w:p>
                        </w:tc>
                        <w:tc>
                          <w:tcPr>
                            <w:tcW w:w="506" w:type="pct"/>
                            <w:tcBorders>
                              <w:top w:val="nil"/>
                              <w:left w:val="nil"/>
                              <w:bottom w:val="nil"/>
                              <w:right w:val="nil"/>
                            </w:tcBorders>
                            <w:hideMark/>
                          </w:tcPr>
                          <w:p w14:paraId="3886CA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19.7 </w:t>
                            </w:r>
                          </w:p>
                        </w:tc>
                        <w:tc>
                          <w:tcPr>
                            <w:tcW w:w="452" w:type="pct"/>
                            <w:tcBorders>
                              <w:top w:val="nil"/>
                              <w:left w:val="nil"/>
                              <w:bottom w:val="nil"/>
                              <w:right w:val="nil"/>
                            </w:tcBorders>
                            <w:hideMark/>
                          </w:tcPr>
                          <w:p w14:paraId="261BC9A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21.6 </w:t>
                            </w:r>
                          </w:p>
                        </w:tc>
                        <w:tc>
                          <w:tcPr>
                            <w:tcW w:w="452" w:type="pct"/>
                            <w:tcBorders>
                              <w:top w:val="nil"/>
                              <w:left w:val="nil"/>
                              <w:bottom w:val="nil"/>
                              <w:right w:val="nil"/>
                            </w:tcBorders>
                            <w:hideMark/>
                          </w:tcPr>
                          <w:p w14:paraId="131449E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22.8 </w:t>
                            </w:r>
                          </w:p>
                        </w:tc>
                        <w:tc>
                          <w:tcPr>
                            <w:tcW w:w="535" w:type="pct"/>
                            <w:tcBorders>
                              <w:top w:val="nil"/>
                              <w:left w:val="nil"/>
                              <w:bottom w:val="nil"/>
                              <w:right w:val="nil"/>
                            </w:tcBorders>
                            <w:hideMark/>
                          </w:tcPr>
                          <w:p w14:paraId="0C6450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23.7 </w:t>
                            </w:r>
                          </w:p>
                        </w:tc>
                      </w:tr>
                      <w:tr w:rsidR="003C2F53" w:rsidRPr="00057F31" w14:paraId="75342A5A" w14:textId="77777777" w:rsidTr="00057F31">
                        <w:trPr>
                          <w:trHeight w:val="204"/>
                        </w:trPr>
                        <w:tc>
                          <w:tcPr>
                            <w:tcW w:w="1588" w:type="pct"/>
                            <w:tcBorders>
                              <w:top w:val="nil"/>
                              <w:left w:val="nil"/>
                              <w:bottom w:val="nil"/>
                              <w:right w:val="nil"/>
                            </w:tcBorders>
                            <w:noWrap/>
                            <w:hideMark/>
                          </w:tcPr>
                          <w:p w14:paraId="467816D9"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Other Operating Exp., Total</w:t>
                            </w:r>
                          </w:p>
                        </w:tc>
                        <w:tc>
                          <w:tcPr>
                            <w:tcW w:w="452" w:type="pct"/>
                            <w:tcBorders>
                              <w:top w:val="single" w:sz="4" w:space="0" w:color="000000"/>
                              <w:left w:val="nil"/>
                              <w:bottom w:val="nil"/>
                              <w:right w:val="nil"/>
                            </w:tcBorders>
                            <w:hideMark/>
                          </w:tcPr>
                          <w:p w14:paraId="08114E4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15.1 </w:t>
                            </w:r>
                          </w:p>
                        </w:tc>
                        <w:tc>
                          <w:tcPr>
                            <w:tcW w:w="506" w:type="pct"/>
                            <w:tcBorders>
                              <w:top w:val="single" w:sz="4" w:space="0" w:color="000000"/>
                              <w:left w:val="nil"/>
                              <w:bottom w:val="nil"/>
                              <w:right w:val="nil"/>
                            </w:tcBorders>
                            <w:hideMark/>
                          </w:tcPr>
                          <w:p w14:paraId="1AF51CF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16.4 </w:t>
                            </w:r>
                          </w:p>
                        </w:tc>
                        <w:tc>
                          <w:tcPr>
                            <w:tcW w:w="506" w:type="pct"/>
                            <w:tcBorders>
                              <w:top w:val="single" w:sz="4" w:space="0" w:color="000000"/>
                              <w:left w:val="nil"/>
                              <w:bottom w:val="nil"/>
                              <w:right w:val="nil"/>
                            </w:tcBorders>
                            <w:hideMark/>
                          </w:tcPr>
                          <w:p w14:paraId="4865E0E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18.5 </w:t>
                            </w:r>
                          </w:p>
                        </w:tc>
                        <w:tc>
                          <w:tcPr>
                            <w:tcW w:w="506" w:type="pct"/>
                            <w:tcBorders>
                              <w:top w:val="single" w:sz="4" w:space="0" w:color="000000"/>
                              <w:left w:val="nil"/>
                              <w:bottom w:val="nil"/>
                              <w:right w:val="nil"/>
                            </w:tcBorders>
                            <w:hideMark/>
                          </w:tcPr>
                          <w:p w14:paraId="0772440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19.7 </w:t>
                            </w:r>
                          </w:p>
                        </w:tc>
                        <w:tc>
                          <w:tcPr>
                            <w:tcW w:w="452" w:type="pct"/>
                            <w:tcBorders>
                              <w:top w:val="single" w:sz="4" w:space="0" w:color="000000"/>
                              <w:left w:val="nil"/>
                              <w:bottom w:val="nil"/>
                              <w:right w:val="nil"/>
                            </w:tcBorders>
                            <w:hideMark/>
                          </w:tcPr>
                          <w:p w14:paraId="45A8A4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21.6 </w:t>
                            </w:r>
                          </w:p>
                        </w:tc>
                        <w:tc>
                          <w:tcPr>
                            <w:tcW w:w="452" w:type="pct"/>
                            <w:tcBorders>
                              <w:top w:val="single" w:sz="4" w:space="0" w:color="000000"/>
                              <w:left w:val="nil"/>
                              <w:bottom w:val="nil"/>
                              <w:right w:val="nil"/>
                            </w:tcBorders>
                            <w:hideMark/>
                          </w:tcPr>
                          <w:p w14:paraId="71B2E23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22.8 </w:t>
                            </w:r>
                          </w:p>
                        </w:tc>
                        <w:tc>
                          <w:tcPr>
                            <w:tcW w:w="535" w:type="pct"/>
                            <w:tcBorders>
                              <w:top w:val="single" w:sz="4" w:space="0" w:color="000000"/>
                              <w:left w:val="nil"/>
                              <w:bottom w:val="nil"/>
                              <w:right w:val="nil"/>
                            </w:tcBorders>
                            <w:hideMark/>
                          </w:tcPr>
                          <w:p w14:paraId="769CB76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23.7 </w:t>
                            </w:r>
                          </w:p>
                        </w:tc>
                      </w:tr>
                      <w:tr w:rsidR="003C2F53" w:rsidRPr="00057F31" w14:paraId="38B61349" w14:textId="77777777" w:rsidTr="00057F31">
                        <w:trPr>
                          <w:trHeight w:val="204"/>
                        </w:trPr>
                        <w:tc>
                          <w:tcPr>
                            <w:tcW w:w="1588" w:type="pct"/>
                            <w:tcBorders>
                              <w:top w:val="nil"/>
                              <w:left w:val="nil"/>
                              <w:bottom w:val="nil"/>
                              <w:right w:val="nil"/>
                            </w:tcBorders>
                            <w:noWrap/>
                            <w:hideMark/>
                          </w:tcPr>
                          <w:p w14:paraId="6D49B35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Operating Income</w:t>
                            </w:r>
                          </w:p>
                        </w:tc>
                        <w:tc>
                          <w:tcPr>
                            <w:tcW w:w="452" w:type="pct"/>
                            <w:tcBorders>
                              <w:top w:val="nil"/>
                              <w:left w:val="nil"/>
                              <w:bottom w:val="nil"/>
                              <w:right w:val="nil"/>
                            </w:tcBorders>
                            <w:hideMark/>
                          </w:tcPr>
                          <w:p w14:paraId="3F72A33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4.7 </w:t>
                            </w:r>
                          </w:p>
                        </w:tc>
                        <w:tc>
                          <w:tcPr>
                            <w:tcW w:w="506" w:type="pct"/>
                            <w:tcBorders>
                              <w:top w:val="nil"/>
                              <w:left w:val="nil"/>
                              <w:bottom w:val="nil"/>
                              <w:right w:val="nil"/>
                            </w:tcBorders>
                            <w:hideMark/>
                          </w:tcPr>
                          <w:p w14:paraId="2BEC6A3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nil"/>
                              <w:left w:val="nil"/>
                              <w:bottom w:val="nil"/>
                              <w:right w:val="nil"/>
                            </w:tcBorders>
                            <w:hideMark/>
                          </w:tcPr>
                          <w:p w14:paraId="27B4B0A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6.8 </w:t>
                            </w:r>
                          </w:p>
                        </w:tc>
                        <w:tc>
                          <w:tcPr>
                            <w:tcW w:w="506" w:type="pct"/>
                            <w:tcBorders>
                              <w:top w:val="nil"/>
                              <w:left w:val="nil"/>
                              <w:bottom w:val="nil"/>
                              <w:right w:val="nil"/>
                            </w:tcBorders>
                            <w:hideMark/>
                          </w:tcPr>
                          <w:p w14:paraId="59E8DDB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7.9 </w:t>
                            </w:r>
                          </w:p>
                        </w:tc>
                        <w:tc>
                          <w:tcPr>
                            <w:tcW w:w="452" w:type="pct"/>
                            <w:tcBorders>
                              <w:top w:val="nil"/>
                              <w:left w:val="nil"/>
                              <w:bottom w:val="nil"/>
                              <w:right w:val="nil"/>
                            </w:tcBorders>
                            <w:hideMark/>
                          </w:tcPr>
                          <w:p w14:paraId="558F7FE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8.5 </w:t>
                            </w:r>
                          </w:p>
                        </w:tc>
                        <w:tc>
                          <w:tcPr>
                            <w:tcW w:w="452" w:type="pct"/>
                            <w:tcBorders>
                              <w:top w:val="nil"/>
                              <w:left w:val="nil"/>
                              <w:bottom w:val="nil"/>
                              <w:right w:val="nil"/>
                            </w:tcBorders>
                            <w:hideMark/>
                          </w:tcPr>
                          <w:p w14:paraId="7D2B0F3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9.3 </w:t>
                            </w:r>
                          </w:p>
                        </w:tc>
                        <w:tc>
                          <w:tcPr>
                            <w:tcW w:w="535" w:type="pct"/>
                            <w:tcBorders>
                              <w:top w:val="nil"/>
                              <w:left w:val="nil"/>
                              <w:bottom w:val="nil"/>
                              <w:right w:val="nil"/>
                            </w:tcBorders>
                            <w:hideMark/>
                          </w:tcPr>
                          <w:p w14:paraId="77F2CD2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9.8 </w:t>
                            </w:r>
                          </w:p>
                        </w:tc>
                      </w:tr>
                      <w:tr w:rsidR="003C2F53" w:rsidRPr="00057F31" w14:paraId="4EB07C39" w14:textId="77777777" w:rsidTr="00057F31">
                        <w:trPr>
                          <w:trHeight w:val="204"/>
                        </w:trPr>
                        <w:tc>
                          <w:tcPr>
                            <w:tcW w:w="1588" w:type="pct"/>
                            <w:tcBorders>
                              <w:top w:val="nil"/>
                              <w:left w:val="nil"/>
                              <w:bottom w:val="nil"/>
                              <w:right w:val="nil"/>
                            </w:tcBorders>
                            <w:noWrap/>
                            <w:hideMark/>
                          </w:tcPr>
                          <w:p w14:paraId="3C0EAC9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Interest Expense</w:t>
                            </w:r>
                          </w:p>
                        </w:tc>
                        <w:tc>
                          <w:tcPr>
                            <w:tcW w:w="452" w:type="pct"/>
                            <w:tcBorders>
                              <w:top w:val="nil"/>
                              <w:left w:val="nil"/>
                              <w:bottom w:val="nil"/>
                              <w:right w:val="nil"/>
                            </w:tcBorders>
                            <w:hideMark/>
                          </w:tcPr>
                          <w:p w14:paraId="19FEF06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6458411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28C6856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06" w:type="pct"/>
                            <w:tcBorders>
                              <w:top w:val="nil"/>
                              <w:left w:val="nil"/>
                              <w:bottom w:val="nil"/>
                              <w:right w:val="nil"/>
                            </w:tcBorders>
                            <w:hideMark/>
                          </w:tcPr>
                          <w:p w14:paraId="62F9473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452" w:type="pct"/>
                            <w:tcBorders>
                              <w:top w:val="nil"/>
                              <w:left w:val="nil"/>
                              <w:bottom w:val="nil"/>
                              <w:right w:val="nil"/>
                            </w:tcBorders>
                            <w:hideMark/>
                          </w:tcPr>
                          <w:p w14:paraId="102CFD2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452" w:type="pct"/>
                            <w:tcBorders>
                              <w:top w:val="nil"/>
                              <w:left w:val="nil"/>
                              <w:bottom w:val="nil"/>
                              <w:right w:val="nil"/>
                            </w:tcBorders>
                            <w:hideMark/>
                          </w:tcPr>
                          <w:p w14:paraId="28F9105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c>
                          <w:tcPr>
                            <w:tcW w:w="535" w:type="pct"/>
                            <w:tcBorders>
                              <w:top w:val="nil"/>
                              <w:left w:val="nil"/>
                              <w:bottom w:val="nil"/>
                              <w:right w:val="nil"/>
                            </w:tcBorders>
                            <w:hideMark/>
                          </w:tcPr>
                          <w:p w14:paraId="75F4E2D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(0.2)  </w:t>
                            </w:r>
                          </w:p>
                        </w:tc>
                      </w:tr>
                      <w:tr w:rsidR="003C2F53" w:rsidRPr="00057F31" w14:paraId="70E6E935" w14:textId="77777777" w:rsidTr="00057F31">
                        <w:trPr>
                          <w:trHeight w:val="204"/>
                        </w:trPr>
                        <w:tc>
                          <w:tcPr>
                            <w:tcW w:w="1588" w:type="pct"/>
                            <w:tcBorders>
                              <w:top w:val="nil"/>
                              <w:left w:val="nil"/>
                              <w:bottom w:val="nil"/>
                              <w:right w:val="nil"/>
                            </w:tcBorders>
                            <w:noWrap/>
                            <w:hideMark/>
                          </w:tcPr>
                          <w:p w14:paraId="639A703F"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Interest and </w:t>
                            </w:r>
                            <w:r w:rsidRPr="00057F31">
                              <w:rPr>
                                <w:rFonts w:ascii="Cambria" w:eastAsia="Times New Roman" w:hAnsi="Cambria" w:cs="Arial"/>
                                <w:color w:val="000000"/>
                                <w:kern w:val="0"/>
                                <w:sz w:val="14"/>
                                <w:szCs w:val="14"/>
                                <w:lang w:eastAsia="en-IN"/>
                                <w14:ligatures w14:val="none"/>
                              </w:rPr>
                              <w:t>Invest. Income</w:t>
                            </w:r>
                          </w:p>
                        </w:tc>
                        <w:tc>
                          <w:tcPr>
                            <w:tcW w:w="452" w:type="pct"/>
                            <w:tcBorders>
                              <w:top w:val="nil"/>
                              <w:left w:val="nil"/>
                              <w:bottom w:val="nil"/>
                              <w:right w:val="nil"/>
                            </w:tcBorders>
                            <w:hideMark/>
                          </w:tcPr>
                          <w:p w14:paraId="36D0FD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0A889F3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36518D8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71AF278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678BEAF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0.5 </w:t>
                            </w:r>
                          </w:p>
                        </w:tc>
                        <w:tc>
                          <w:tcPr>
                            <w:tcW w:w="452" w:type="pct"/>
                            <w:tcBorders>
                              <w:top w:val="nil"/>
                              <w:left w:val="nil"/>
                              <w:bottom w:val="nil"/>
                              <w:right w:val="nil"/>
                            </w:tcBorders>
                            <w:hideMark/>
                          </w:tcPr>
                          <w:p w14:paraId="7DC2C57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0.5 </w:t>
                            </w:r>
                          </w:p>
                        </w:tc>
                        <w:tc>
                          <w:tcPr>
                            <w:tcW w:w="535" w:type="pct"/>
                            <w:tcBorders>
                              <w:top w:val="nil"/>
                              <w:left w:val="nil"/>
                              <w:bottom w:val="nil"/>
                              <w:right w:val="nil"/>
                            </w:tcBorders>
                            <w:hideMark/>
                          </w:tcPr>
                          <w:p w14:paraId="341DA8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5ED9155E" w14:textId="77777777" w:rsidTr="00057F31">
                        <w:trPr>
                          <w:trHeight w:val="204"/>
                        </w:trPr>
                        <w:tc>
                          <w:tcPr>
                            <w:tcW w:w="1588" w:type="pct"/>
                            <w:tcBorders>
                              <w:top w:val="nil"/>
                              <w:left w:val="nil"/>
                              <w:bottom w:val="nil"/>
                              <w:right w:val="nil"/>
                            </w:tcBorders>
                            <w:noWrap/>
                            <w:hideMark/>
                          </w:tcPr>
                          <w:p w14:paraId="658D9747"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Interest Exp.</w:t>
                            </w:r>
                          </w:p>
                        </w:tc>
                        <w:tc>
                          <w:tcPr>
                            <w:tcW w:w="452" w:type="pct"/>
                            <w:tcBorders>
                              <w:top w:val="single" w:sz="4" w:space="0" w:color="000000"/>
                              <w:left w:val="nil"/>
                              <w:bottom w:val="nil"/>
                              <w:right w:val="nil"/>
                            </w:tcBorders>
                            <w:hideMark/>
                          </w:tcPr>
                          <w:p w14:paraId="03F176E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 </w:t>
                            </w:r>
                          </w:p>
                        </w:tc>
                        <w:tc>
                          <w:tcPr>
                            <w:tcW w:w="506" w:type="pct"/>
                            <w:tcBorders>
                              <w:top w:val="single" w:sz="4" w:space="0" w:color="000000"/>
                              <w:left w:val="nil"/>
                              <w:bottom w:val="nil"/>
                              <w:right w:val="nil"/>
                            </w:tcBorders>
                            <w:hideMark/>
                          </w:tcPr>
                          <w:p w14:paraId="616B5C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506" w:type="pct"/>
                            <w:tcBorders>
                              <w:top w:val="single" w:sz="4" w:space="0" w:color="000000"/>
                              <w:left w:val="nil"/>
                              <w:bottom w:val="nil"/>
                              <w:right w:val="nil"/>
                            </w:tcBorders>
                            <w:hideMark/>
                          </w:tcPr>
                          <w:p w14:paraId="6EBFD9E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506" w:type="pct"/>
                            <w:tcBorders>
                              <w:top w:val="single" w:sz="4" w:space="0" w:color="000000"/>
                              <w:left w:val="nil"/>
                              <w:bottom w:val="nil"/>
                              <w:right w:val="nil"/>
                            </w:tcBorders>
                            <w:hideMark/>
                          </w:tcPr>
                          <w:p w14:paraId="511718A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(0.1)  </w:t>
                            </w:r>
                          </w:p>
                        </w:tc>
                        <w:tc>
                          <w:tcPr>
                            <w:tcW w:w="452" w:type="pct"/>
                            <w:tcBorders>
                              <w:top w:val="single" w:sz="4" w:space="0" w:color="000000"/>
                              <w:left w:val="nil"/>
                              <w:bottom w:val="nil"/>
                              <w:right w:val="nil"/>
                            </w:tcBorders>
                            <w:hideMark/>
                          </w:tcPr>
                          <w:p w14:paraId="7E1ABA0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0.3 </w:t>
                            </w:r>
                          </w:p>
                        </w:tc>
                        <w:tc>
                          <w:tcPr>
                            <w:tcW w:w="452" w:type="pct"/>
                            <w:tcBorders>
                              <w:top w:val="single" w:sz="4" w:space="0" w:color="000000"/>
                              <w:left w:val="nil"/>
                              <w:bottom w:val="nil"/>
                              <w:right w:val="nil"/>
                            </w:tcBorders>
                            <w:hideMark/>
                          </w:tcPr>
                          <w:p w14:paraId="625F912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0.4 </w:t>
                            </w:r>
                          </w:p>
                        </w:tc>
                        <w:tc>
                          <w:tcPr>
                            <w:tcW w:w="535" w:type="pct"/>
                            <w:tcBorders>
                              <w:top w:val="single" w:sz="4" w:space="0" w:color="000000"/>
                              <w:left w:val="nil"/>
                              <w:bottom w:val="nil"/>
                              <w:right w:val="nil"/>
                            </w:tcBorders>
                            <w:hideMark/>
                          </w:tcPr>
                          <w:p w14:paraId="07518E9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0.3 </w:t>
                            </w:r>
                          </w:p>
                        </w:tc>
                      </w:tr>
                      <w:tr w:rsidR="003C2F53" w:rsidRPr="00057F31" w14:paraId="76B5F58A" w14:textId="77777777" w:rsidTr="00057F31">
                        <w:trPr>
                          <w:trHeight w:val="204"/>
                        </w:trPr>
                        <w:tc>
                          <w:tcPr>
                            <w:tcW w:w="1588" w:type="pct"/>
                            <w:tcBorders>
                              <w:top w:val="nil"/>
                              <w:left w:val="nil"/>
                              <w:bottom w:val="nil"/>
                              <w:right w:val="nil"/>
                            </w:tcBorders>
                            <w:noWrap/>
                            <w:hideMark/>
                          </w:tcPr>
                          <w:p w14:paraId="4915AC69"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Currency Exchange Gains (Loss)</w:t>
                            </w:r>
                          </w:p>
                        </w:tc>
                        <w:tc>
                          <w:tcPr>
                            <w:tcW w:w="452" w:type="pct"/>
                            <w:tcBorders>
                              <w:top w:val="nil"/>
                              <w:left w:val="nil"/>
                              <w:bottom w:val="nil"/>
                              <w:right w:val="nil"/>
                            </w:tcBorders>
                            <w:hideMark/>
                          </w:tcPr>
                          <w:p w14:paraId="5F841C3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6A3C908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308062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4859614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27F6A2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3BD7797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35" w:type="pct"/>
                            <w:tcBorders>
                              <w:top w:val="nil"/>
                              <w:left w:val="nil"/>
                              <w:bottom w:val="nil"/>
                              <w:right w:val="nil"/>
                            </w:tcBorders>
                            <w:hideMark/>
                          </w:tcPr>
                          <w:p w14:paraId="545C5F0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r>
                      <w:tr w:rsidR="003C2F53" w:rsidRPr="00057F31" w14:paraId="4C893EFA" w14:textId="77777777" w:rsidTr="00057F31">
                        <w:trPr>
                          <w:trHeight w:val="204"/>
                        </w:trPr>
                        <w:tc>
                          <w:tcPr>
                            <w:tcW w:w="1588" w:type="pct"/>
                            <w:tcBorders>
                              <w:top w:val="nil"/>
                              <w:left w:val="nil"/>
                              <w:bottom w:val="nil"/>
                              <w:right w:val="nil"/>
                            </w:tcBorders>
                            <w:noWrap/>
                            <w:hideMark/>
                          </w:tcPr>
                          <w:p w14:paraId="3D99AE3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Other Non-Operating Inc. (Exp.)</w:t>
                            </w:r>
                          </w:p>
                        </w:tc>
                        <w:tc>
                          <w:tcPr>
                            <w:tcW w:w="452" w:type="pct"/>
                            <w:tcBorders>
                              <w:top w:val="nil"/>
                              <w:left w:val="nil"/>
                              <w:bottom w:val="nil"/>
                              <w:right w:val="nil"/>
                            </w:tcBorders>
                            <w:hideMark/>
                          </w:tcPr>
                          <w:p w14:paraId="4BBD29D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32FB810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 </w:t>
                            </w:r>
                          </w:p>
                        </w:tc>
                        <w:tc>
                          <w:tcPr>
                            <w:tcW w:w="506" w:type="pct"/>
                            <w:tcBorders>
                              <w:top w:val="nil"/>
                              <w:left w:val="nil"/>
                              <w:bottom w:val="nil"/>
                              <w:right w:val="nil"/>
                            </w:tcBorders>
                            <w:hideMark/>
                          </w:tcPr>
                          <w:p w14:paraId="7592253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506" w:type="pct"/>
                            <w:tcBorders>
                              <w:top w:val="nil"/>
                              <w:left w:val="nil"/>
                              <w:bottom w:val="nil"/>
                              <w:right w:val="nil"/>
                            </w:tcBorders>
                            <w:hideMark/>
                          </w:tcPr>
                          <w:p w14:paraId="02AB6F6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05DC840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 </w:t>
                            </w:r>
                          </w:p>
                        </w:tc>
                        <w:tc>
                          <w:tcPr>
                            <w:tcW w:w="452" w:type="pct"/>
                            <w:tcBorders>
                              <w:top w:val="nil"/>
                              <w:left w:val="nil"/>
                              <w:bottom w:val="nil"/>
                              <w:right w:val="nil"/>
                            </w:tcBorders>
                            <w:hideMark/>
                          </w:tcPr>
                          <w:p w14:paraId="77C1C55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35" w:type="pct"/>
                            <w:tcBorders>
                              <w:top w:val="nil"/>
                              <w:left w:val="nil"/>
                              <w:bottom w:val="nil"/>
                              <w:right w:val="nil"/>
                            </w:tcBorders>
                            <w:hideMark/>
                          </w:tcPr>
                          <w:p w14:paraId="5FBC0E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r>
                      <w:tr w:rsidR="003C2F53" w:rsidRPr="00057F31" w14:paraId="50F64523" w14:textId="77777777" w:rsidTr="00057F31">
                        <w:trPr>
                          <w:trHeight w:val="204"/>
                        </w:trPr>
                        <w:tc>
                          <w:tcPr>
                            <w:tcW w:w="1588" w:type="pct"/>
                            <w:tcBorders>
                              <w:top w:val="nil"/>
                              <w:left w:val="nil"/>
                              <w:bottom w:val="nil"/>
                              <w:right w:val="nil"/>
                            </w:tcBorders>
                            <w:noWrap/>
                            <w:hideMark/>
                          </w:tcPr>
                          <w:p w14:paraId="4841E186"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EBT Excl. Unusual Items</w:t>
                            </w:r>
                          </w:p>
                        </w:tc>
                        <w:tc>
                          <w:tcPr>
                            <w:tcW w:w="452" w:type="pct"/>
                            <w:tcBorders>
                              <w:top w:val="single" w:sz="4" w:space="0" w:color="000000"/>
                              <w:left w:val="nil"/>
                              <w:bottom w:val="nil"/>
                              <w:right w:val="nil"/>
                            </w:tcBorders>
                            <w:hideMark/>
                          </w:tcPr>
                          <w:p w14:paraId="2275B05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4.8 </w:t>
                            </w:r>
                          </w:p>
                        </w:tc>
                        <w:tc>
                          <w:tcPr>
                            <w:tcW w:w="506" w:type="pct"/>
                            <w:tcBorders>
                              <w:top w:val="single" w:sz="4" w:space="0" w:color="000000"/>
                              <w:left w:val="nil"/>
                              <w:bottom w:val="nil"/>
                              <w:right w:val="nil"/>
                            </w:tcBorders>
                            <w:hideMark/>
                          </w:tcPr>
                          <w:p w14:paraId="17F9D6B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single" w:sz="4" w:space="0" w:color="000000"/>
                              <w:left w:val="nil"/>
                              <w:bottom w:val="nil"/>
                              <w:right w:val="nil"/>
                            </w:tcBorders>
                            <w:hideMark/>
                          </w:tcPr>
                          <w:p w14:paraId="66AEE24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6.8 </w:t>
                            </w:r>
                          </w:p>
                        </w:tc>
                        <w:tc>
                          <w:tcPr>
                            <w:tcW w:w="506" w:type="pct"/>
                            <w:tcBorders>
                              <w:top w:val="single" w:sz="4" w:space="0" w:color="000000"/>
                              <w:left w:val="nil"/>
                              <w:bottom w:val="nil"/>
                              <w:right w:val="nil"/>
                            </w:tcBorders>
                            <w:hideMark/>
                          </w:tcPr>
                          <w:p w14:paraId="5E2C8A2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8.0 </w:t>
                            </w:r>
                          </w:p>
                        </w:tc>
                        <w:tc>
                          <w:tcPr>
                            <w:tcW w:w="452" w:type="pct"/>
                            <w:tcBorders>
                              <w:top w:val="single" w:sz="4" w:space="0" w:color="000000"/>
                              <w:left w:val="nil"/>
                              <w:bottom w:val="nil"/>
                              <w:right w:val="nil"/>
                            </w:tcBorders>
                            <w:hideMark/>
                          </w:tcPr>
                          <w:p w14:paraId="6DBDB0E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8.9 </w:t>
                            </w:r>
                          </w:p>
                        </w:tc>
                        <w:tc>
                          <w:tcPr>
                            <w:tcW w:w="452" w:type="pct"/>
                            <w:tcBorders>
                              <w:top w:val="single" w:sz="4" w:space="0" w:color="000000"/>
                              <w:left w:val="nil"/>
                              <w:bottom w:val="nil"/>
                              <w:right w:val="nil"/>
                            </w:tcBorders>
                            <w:hideMark/>
                          </w:tcPr>
                          <w:p w14:paraId="2138252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9.7 </w:t>
                            </w:r>
                          </w:p>
                        </w:tc>
                        <w:tc>
                          <w:tcPr>
                            <w:tcW w:w="535" w:type="pct"/>
                            <w:tcBorders>
                              <w:top w:val="single" w:sz="4" w:space="0" w:color="000000"/>
                              <w:left w:val="nil"/>
                              <w:bottom w:val="nil"/>
                              <w:right w:val="nil"/>
                            </w:tcBorders>
                            <w:hideMark/>
                          </w:tcPr>
                          <w:p w14:paraId="01F5E24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10.1 </w:t>
                            </w:r>
                          </w:p>
                        </w:tc>
                      </w:tr>
                      <w:tr w:rsidR="003C2F53" w:rsidRPr="00057F31" w14:paraId="52EFE3ED" w14:textId="77777777" w:rsidTr="00057F31">
                        <w:trPr>
                          <w:trHeight w:val="204"/>
                        </w:trPr>
                        <w:tc>
                          <w:tcPr>
                            <w:tcW w:w="1588" w:type="pct"/>
                            <w:tcBorders>
                              <w:top w:val="nil"/>
                              <w:left w:val="nil"/>
                              <w:bottom w:val="nil"/>
                              <w:right w:val="nil"/>
                            </w:tcBorders>
                            <w:noWrap/>
                            <w:hideMark/>
                          </w:tcPr>
                          <w:p w14:paraId="12C721E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EBT Incl. Unusual Items</w:t>
                            </w:r>
                          </w:p>
                        </w:tc>
                        <w:tc>
                          <w:tcPr>
                            <w:tcW w:w="452" w:type="pct"/>
                            <w:tcBorders>
                              <w:top w:val="single" w:sz="4" w:space="0" w:color="000000"/>
                              <w:left w:val="nil"/>
                              <w:bottom w:val="nil"/>
                              <w:right w:val="nil"/>
                            </w:tcBorders>
                            <w:hideMark/>
                          </w:tcPr>
                          <w:p w14:paraId="7C6CE27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4.8 </w:t>
                            </w:r>
                          </w:p>
                        </w:tc>
                        <w:tc>
                          <w:tcPr>
                            <w:tcW w:w="506" w:type="pct"/>
                            <w:tcBorders>
                              <w:top w:val="single" w:sz="4" w:space="0" w:color="000000"/>
                              <w:left w:val="nil"/>
                              <w:bottom w:val="nil"/>
                              <w:right w:val="nil"/>
                            </w:tcBorders>
                            <w:hideMark/>
                          </w:tcPr>
                          <w:p w14:paraId="78384AD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5.4 </w:t>
                            </w:r>
                          </w:p>
                        </w:tc>
                        <w:tc>
                          <w:tcPr>
                            <w:tcW w:w="506" w:type="pct"/>
                            <w:tcBorders>
                              <w:top w:val="single" w:sz="4" w:space="0" w:color="000000"/>
                              <w:left w:val="nil"/>
                              <w:bottom w:val="nil"/>
                              <w:right w:val="nil"/>
                            </w:tcBorders>
                            <w:hideMark/>
                          </w:tcPr>
                          <w:p w14:paraId="229B034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6.7 </w:t>
                            </w:r>
                          </w:p>
                        </w:tc>
                        <w:tc>
                          <w:tcPr>
                            <w:tcW w:w="506" w:type="pct"/>
                            <w:tcBorders>
                              <w:top w:val="single" w:sz="4" w:space="0" w:color="000000"/>
                              <w:left w:val="nil"/>
                              <w:bottom w:val="nil"/>
                              <w:right w:val="nil"/>
                            </w:tcBorders>
                            <w:hideMark/>
                          </w:tcPr>
                          <w:p w14:paraId="2FD97C0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7.8 </w:t>
                            </w:r>
                          </w:p>
                        </w:tc>
                        <w:tc>
                          <w:tcPr>
                            <w:tcW w:w="452" w:type="pct"/>
                            <w:tcBorders>
                              <w:top w:val="single" w:sz="4" w:space="0" w:color="000000"/>
                              <w:left w:val="nil"/>
                              <w:bottom w:val="nil"/>
                              <w:right w:val="nil"/>
                            </w:tcBorders>
                            <w:hideMark/>
                          </w:tcPr>
                          <w:p w14:paraId="457906F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8.5 </w:t>
                            </w:r>
                          </w:p>
                        </w:tc>
                        <w:tc>
                          <w:tcPr>
                            <w:tcW w:w="452" w:type="pct"/>
                            <w:tcBorders>
                              <w:top w:val="single" w:sz="4" w:space="0" w:color="000000"/>
                              <w:left w:val="nil"/>
                              <w:bottom w:val="nil"/>
                              <w:right w:val="nil"/>
                            </w:tcBorders>
                            <w:hideMark/>
                          </w:tcPr>
                          <w:p w14:paraId="4F0C2DE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9.7 </w:t>
                            </w:r>
                          </w:p>
                        </w:tc>
                        <w:tc>
                          <w:tcPr>
                            <w:tcW w:w="535" w:type="pct"/>
                            <w:tcBorders>
                              <w:top w:val="single" w:sz="4" w:space="0" w:color="000000"/>
                              <w:left w:val="nil"/>
                              <w:bottom w:val="nil"/>
                              <w:right w:val="nil"/>
                            </w:tcBorders>
                            <w:hideMark/>
                          </w:tcPr>
                          <w:p w14:paraId="214AF04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10.1 </w:t>
                            </w:r>
                          </w:p>
                        </w:tc>
                      </w:tr>
                      <w:tr w:rsidR="003C2F53" w:rsidRPr="00057F31" w14:paraId="37634B39" w14:textId="77777777" w:rsidTr="00057F31">
                        <w:trPr>
                          <w:trHeight w:val="204"/>
                        </w:trPr>
                        <w:tc>
                          <w:tcPr>
                            <w:tcW w:w="1588" w:type="pct"/>
                            <w:tcBorders>
                              <w:top w:val="nil"/>
                              <w:left w:val="nil"/>
                              <w:bottom w:val="nil"/>
                              <w:right w:val="nil"/>
                            </w:tcBorders>
                            <w:noWrap/>
                            <w:hideMark/>
                          </w:tcPr>
                          <w:p w14:paraId="5807CDAB"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Income Tax Expense</w:t>
                            </w:r>
                          </w:p>
                        </w:tc>
                        <w:tc>
                          <w:tcPr>
                            <w:tcW w:w="452" w:type="pct"/>
                            <w:tcBorders>
                              <w:top w:val="nil"/>
                              <w:left w:val="nil"/>
                              <w:bottom w:val="nil"/>
                              <w:right w:val="nil"/>
                            </w:tcBorders>
                            <w:hideMark/>
                          </w:tcPr>
                          <w:p w14:paraId="3E69F96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 </w:t>
                            </w:r>
                          </w:p>
                        </w:tc>
                        <w:tc>
                          <w:tcPr>
                            <w:tcW w:w="506" w:type="pct"/>
                            <w:tcBorders>
                              <w:top w:val="nil"/>
                              <w:left w:val="nil"/>
                              <w:bottom w:val="nil"/>
                              <w:right w:val="nil"/>
                            </w:tcBorders>
                            <w:hideMark/>
                          </w:tcPr>
                          <w:p w14:paraId="0291CDE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 </w:t>
                            </w:r>
                          </w:p>
                        </w:tc>
                        <w:tc>
                          <w:tcPr>
                            <w:tcW w:w="506" w:type="pct"/>
                            <w:tcBorders>
                              <w:top w:val="nil"/>
                              <w:left w:val="nil"/>
                              <w:bottom w:val="nil"/>
                              <w:right w:val="nil"/>
                            </w:tcBorders>
                            <w:hideMark/>
                          </w:tcPr>
                          <w:p w14:paraId="2E95809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 </w:t>
                            </w:r>
                          </w:p>
                        </w:tc>
                        <w:tc>
                          <w:tcPr>
                            <w:tcW w:w="506" w:type="pct"/>
                            <w:tcBorders>
                              <w:top w:val="nil"/>
                              <w:left w:val="nil"/>
                              <w:bottom w:val="nil"/>
                              <w:right w:val="nil"/>
                            </w:tcBorders>
                            <w:hideMark/>
                          </w:tcPr>
                          <w:p w14:paraId="38741BD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 </w:t>
                            </w:r>
                          </w:p>
                        </w:tc>
                        <w:tc>
                          <w:tcPr>
                            <w:tcW w:w="452" w:type="pct"/>
                            <w:tcBorders>
                              <w:top w:val="nil"/>
                              <w:left w:val="nil"/>
                              <w:bottom w:val="nil"/>
                              <w:right w:val="nil"/>
                            </w:tcBorders>
                            <w:hideMark/>
                          </w:tcPr>
                          <w:p w14:paraId="595D144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2.2 </w:t>
                            </w:r>
                          </w:p>
                        </w:tc>
                        <w:tc>
                          <w:tcPr>
                            <w:tcW w:w="452" w:type="pct"/>
                            <w:tcBorders>
                              <w:top w:val="nil"/>
                              <w:left w:val="nil"/>
                              <w:bottom w:val="nil"/>
                              <w:right w:val="nil"/>
                            </w:tcBorders>
                            <w:hideMark/>
                          </w:tcPr>
                          <w:p w14:paraId="62DF7CF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2.4 </w:t>
                            </w:r>
                          </w:p>
                        </w:tc>
                        <w:tc>
                          <w:tcPr>
                            <w:tcW w:w="535" w:type="pct"/>
                            <w:tcBorders>
                              <w:top w:val="nil"/>
                              <w:left w:val="nil"/>
                              <w:bottom w:val="nil"/>
                              <w:right w:val="nil"/>
                            </w:tcBorders>
                            <w:hideMark/>
                          </w:tcPr>
                          <w:p w14:paraId="32CB2B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 </w:t>
                            </w:r>
                          </w:p>
                        </w:tc>
                      </w:tr>
                      <w:tr w:rsidR="003C2F53" w:rsidRPr="00057F31" w14:paraId="4D4FCF81" w14:textId="77777777" w:rsidTr="00057F31">
                        <w:trPr>
                          <w:trHeight w:val="204"/>
                        </w:trPr>
                        <w:tc>
                          <w:tcPr>
                            <w:tcW w:w="1588" w:type="pct"/>
                            <w:tcBorders>
                              <w:top w:val="nil"/>
                              <w:left w:val="nil"/>
                              <w:bottom w:val="nil"/>
                              <w:right w:val="nil"/>
                            </w:tcBorders>
                            <w:noWrap/>
                            <w:hideMark/>
                          </w:tcPr>
                          <w:p w14:paraId="77499A07"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Earnings from Cont. Ops.</w:t>
                            </w:r>
                          </w:p>
                        </w:tc>
                        <w:tc>
                          <w:tcPr>
                            <w:tcW w:w="452" w:type="pct"/>
                            <w:tcBorders>
                              <w:top w:val="single" w:sz="4" w:space="0" w:color="000000"/>
                              <w:left w:val="nil"/>
                              <w:bottom w:val="nil"/>
                              <w:right w:val="nil"/>
                            </w:tcBorders>
                            <w:hideMark/>
                          </w:tcPr>
                          <w:p w14:paraId="5DA6F3F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single" w:sz="4" w:space="0" w:color="000000"/>
                              <w:left w:val="nil"/>
                              <w:bottom w:val="nil"/>
                              <w:right w:val="nil"/>
                            </w:tcBorders>
                            <w:hideMark/>
                          </w:tcPr>
                          <w:p w14:paraId="68E9C9C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4.1 </w:t>
                            </w:r>
                          </w:p>
                        </w:tc>
                        <w:tc>
                          <w:tcPr>
                            <w:tcW w:w="506" w:type="pct"/>
                            <w:tcBorders>
                              <w:top w:val="single" w:sz="4" w:space="0" w:color="000000"/>
                              <w:left w:val="nil"/>
                              <w:bottom w:val="nil"/>
                              <w:right w:val="nil"/>
                            </w:tcBorders>
                            <w:hideMark/>
                          </w:tcPr>
                          <w:p w14:paraId="6BEDE37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5.1 </w:t>
                            </w:r>
                          </w:p>
                        </w:tc>
                        <w:tc>
                          <w:tcPr>
                            <w:tcW w:w="506" w:type="pct"/>
                            <w:tcBorders>
                              <w:top w:val="single" w:sz="4" w:space="0" w:color="000000"/>
                              <w:left w:val="nil"/>
                              <w:bottom w:val="nil"/>
                              <w:right w:val="nil"/>
                            </w:tcBorders>
                            <w:hideMark/>
                          </w:tcPr>
                          <w:p w14:paraId="203BBA0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5.9 </w:t>
                            </w:r>
                          </w:p>
                        </w:tc>
                        <w:tc>
                          <w:tcPr>
                            <w:tcW w:w="452" w:type="pct"/>
                            <w:tcBorders>
                              <w:top w:val="single" w:sz="4" w:space="0" w:color="000000"/>
                              <w:left w:val="nil"/>
                              <w:bottom w:val="nil"/>
                              <w:right w:val="nil"/>
                            </w:tcBorders>
                            <w:hideMark/>
                          </w:tcPr>
                          <w:p w14:paraId="2E5C4CC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single" w:sz="4" w:space="0" w:color="000000"/>
                              <w:left w:val="nil"/>
                              <w:bottom w:val="nil"/>
                              <w:right w:val="nil"/>
                            </w:tcBorders>
                            <w:hideMark/>
                          </w:tcPr>
                          <w:p w14:paraId="25FA248B"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single" w:sz="4" w:space="0" w:color="000000"/>
                              <w:left w:val="nil"/>
                              <w:bottom w:val="nil"/>
                              <w:right w:val="nil"/>
                            </w:tcBorders>
                            <w:hideMark/>
                          </w:tcPr>
                          <w:p w14:paraId="0858AF7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419C9E87" w14:textId="77777777" w:rsidTr="00057F31">
                        <w:trPr>
                          <w:trHeight w:val="204"/>
                        </w:trPr>
                        <w:tc>
                          <w:tcPr>
                            <w:tcW w:w="1588" w:type="pct"/>
                            <w:tcBorders>
                              <w:top w:val="nil"/>
                              <w:left w:val="nil"/>
                              <w:bottom w:val="nil"/>
                              <w:right w:val="nil"/>
                            </w:tcBorders>
                            <w:noWrap/>
                            <w:hideMark/>
                          </w:tcPr>
                          <w:p w14:paraId="09D863F4"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Income to Company</w:t>
                            </w:r>
                          </w:p>
                        </w:tc>
                        <w:tc>
                          <w:tcPr>
                            <w:tcW w:w="452" w:type="pct"/>
                            <w:tcBorders>
                              <w:top w:val="single" w:sz="4" w:space="0" w:color="000000"/>
                              <w:left w:val="nil"/>
                              <w:bottom w:val="nil"/>
                              <w:right w:val="nil"/>
                            </w:tcBorders>
                            <w:hideMark/>
                          </w:tcPr>
                          <w:p w14:paraId="4D7F442F"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single" w:sz="4" w:space="0" w:color="000000"/>
                              <w:left w:val="nil"/>
                              <w:bottom w:val="nil"/>
                              <w:right w:val="nil"/>
                            </w:tcBorders>
                            <w:hideMark/>
                          </w:tcPr>
                          <w:p w14:paraId="26678FE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4.1 </w:t>
                            </w:r>
                          </w:p>
                        </w:tc>
                        <w:tc>
                          <w:tcPr>
                            <w:tcW w:w="506" w:type="pct"/>
                            <w:tcBorders>
                              <w:top w:val="single" w:sz="4" w:space="0" w:color="000000"/>
                              <w:left w:val="nil"/>
                              <w:bottom w:val="nil"/>
                              <w:right w:val="nil"/>
                            </w:tcBorders>
                            <w:hideMark/>
                          </w:tcPr>
                          <w:p w14:paraId="6E092A3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5.1 </w:t>
                            </w:r>
                          </w:p>
                        </w:tc>
                        <w:tc>
                          <w:tcPr>
                            <w:tcW w:w="506" w:type="pct"/>
                            <w:tcBorders>
                              <w:top w:val="single" w:sz="4" w:space="0" w:color="000000"/>
                              <w:left w:val="nil"/>
                              <w:bottom w:val="nil"/>
                              <w:right w:val="nil"/>
                            </w:tcBorders>
                            <w:hideMark/>
                          </w:tcPr>
                          <w:p w14:paraId="70A4BBB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5.9 </w:t>
                            </w:r>
                          </w:p>
                        </w:tc>
                        <w:tc>
                          <w:tcPr>
                            <w:tcW w:w="452" w:type="pct"/>
                            <w:tcBorders>
                              <w:top w:val="single" w:sz="4" w:space="0" w:color="000000"/>
                              <w:left w:val="nil"/>
                              <w:bottom w:val="nil"/>
                              <w:right w:val="nil"/>
                            </w:tcBorders>
                            <w:hideMark/>
                          </w:tcPr>
                          <w:p w14:paraId="7AC26FE9"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single" w:sz="4" w:space="0" w:color="000000"/>
                              <w:left w:val="nil"/>
                              <w:bottom w:val="nil"/>
                              <w:right w:val="nil"/>
                            </w:tcBorders>
                            <w:hideMark/>
                          </w:tcPr>
                          <w:p w14:paraId="104C3768"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single" w:sz="4" w:space="0" w:color="000000"/>
                              <w:left w:val="nil"/>
                              <w:bottom w:val="nil"/>
                              <w:right w:val="nil"/>
                            </w:tcBorders>
                            <w:hideMark/>
                          </w:tcPr>
                          <w:p w14:paraId="56F64AB3"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2ADFD670" w14:textId="77777777" w:rsidTr="00057F31">
                        <w:trPr>
                          <w:trHeight w:val="204"/>
                        </w:trPr>
                        <w:tc>
                          <w:tcPr>
                            <w:tcW w:w="1588" w:type="pct"/>
                            <w:tcBorders>
                              <w:top w:val="nil"/>
                              <w:left w:val="nil"/>
                              <w:bottom w:val="nil"/>
                              <w:right w:val="nil"/>
                            </w:tcBorders>
                            <w:noWrap/>
                            <w:hideMark/>
                          </w:tcPr>
                          <w:p w14:paraId="307A714B"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Minority Int. in Earnings</w:t>
                            </w:r>
                          </w:p>
                        </w:tc>
                        <w:tc>
                          <w:tcPr>
                            <w:tcW w:w="452" w:type="pct"/>
                            <w:tcBorders>
                              <w:top w:val="nil"/>
                              <w:left w:val="nil"/>
                              <w:bottom w:val="nil"/>
                              <w:right w:val="nil"/>
                            </w:tcBorders>
                            <w:hideMark/>
                          </w:tcPr>
                          <w:p w14:paraId="6459125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 </w:t>
                            </w:r>
                          </w:p>
                        </w:tc>
                        <w:tc>
                          <w:tcPr>
                            <w:tcW w:w="506" w:type="pct"/>
                            <w:tcBorders>
                              <w:top w:val="nil"/>
                              <w:left w:val="nil"/>
                              <w:bottom w:val="nil"/>
                              <w:right w:val="nil"/>
                            </w:tcBorders>
                            <w:hideMark/>
                          </w:tcPr>
                          <w:p w14:paraId="4820F05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32B0181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506" w:type="pct"/>
                            <w:tcBorders>
                              <w:top w:val="nil"/>
                              <w:left w:val="nil"/>
                              <w:bottom w:val="nil"/>
                              <w:right w:val="nil"/>
                            </w:tcBorders>
                            <w:hideMark/>
                          </w:tcPr>
                          <w:p w14:paraId="2897DFF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(0.1)  </w:t>
                            </w:r>
                          </w:p>
                        </w:tc>
                        <w:tc>
                          <w:tcPr>
                            <w:tcW w:w="452" w:type="pct"/>
                            <w:tcBorders>
                              <w:top w:val="nil"/>
                              <w:left w:val="nil"/>
                              <w:bottom w:val="nil"/>
                              <w:right w:val="nil"/>
                            </w:tcBorders>
                            <w:hideMark/>
                          </w:tcPr>
                          <w:p w14:paraId="65783C3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452" w:type="pct"/>
                            <w:tcBorders>
                              <w:top w:val="nil"/>
                              <w:left w:val="nil"/>
                              <w:bottom w:val="nil"/>
                              <w:right w:val="nil"/>
                            </w:tcBorders>
                            <w:hideMark/>
                          </w:tcPr>
                          <w:p w14:paraId="50AA948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B1189C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t>
                            </w:r>
                          </w:p>
                        </w:tc>
                      </w:tr>
                      <w:tr w:rsidR="003C2F53" w:rsidRPr="00057F31" w14:paraId="7B17CC9A" w14:textId="77777777" w:rsidTr="00057F31">
                        <w:trPr>
                          <w:trHeight w:val="204"/>
                        </w:trPr>
                        <w:tc>
                          <w:tcPr>
                            <w:tcW w:w="1588" w:type="pct"/>
                            <w:tcBorders>
                              <w:top w:val="nil"/>
                              <w:left w:val="nil"/>
                              <w:bottom w:val="nil"/>
                              <w:right w:val="nil"/>
                            </w:tcBorders>
                            <w:noWrap/>
                            <w:hideMark/>
                          </w:tcPr>
                          <w:p w14:paraId="6832482C"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Net Income</w:t>
                            </w:r>
                          </w:p>
                        </w:tc>
                        <w:tc>
                          <w:tcPr>
                            <w:tcW w:w="452" w:type="pct"/>
                            <w:tcBorders>
                              <w:top w:val="single" w:sz="4" w:space="0" w:color="000000"/>
                              <w:left w:val="nil"/>
                              <w:bottom w:val="nil"/>
                              <w:right w:val="nil"/>
                            </w:tcBorders>
                            <w:hideMark/>
                          </w:tcPr>
                          <w:p w14:paraId="6C07B6B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3.7 </w:t>
                            </w:r>
                          </w:p>
                        </w:tc>
                        <w:tc>
                          <w:tcPr>
                            <w:tcW w:w="506" w:type="pct"/>
                            <w:tcBorders>
                              <w:top w:val="single" w:sz="4" w:space="0" w:color="000000"/>
                              <w:left w:val="nil"/>
                              <w:bottom w:val="nil"/>
                              <w:right w:val="nil"/>
                            </w:tcBorders>
                            <w:hideMark/>
                          </w:tcPr>
                          <w:p w14:paraId="7EFA936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4.0 </w:t>
                            </w:r>
                          </w:p>
                        </w:tc>
                        <w:tc>
                          <w:tcPr>
                            <w:tcW w:w="506" w:type="pct"/>
                            <w:tcBorders>
                              <w:top w:val="single" w:sz="4" w:space="0" w:color="000000"/>
                              <w:left w:val="nil"/>
                              <w:bottom w:val="nil"/>
                              <w:right w:val="nil"/>
                            </w:tcBorders>
                            <w:hideMark/>
                          </w:tcPr>
                          <w:p w14:paraId="6DF5C4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5.0 </w:t>
                            </w:r>
                          </w:p>
                        </w:tc>
                        <w:tc>
                          <w:tcPr>
                            <w:tcW w:w="506" w:type="pct"/>
                            <w:tcBorders>
                              <w:top w:val="single" w:sz="4" w:space="0" w:color="000000"/>
                              <w:left w:val="nil"/>
                              <w:bottom w:val="nil"/>
                              <w:right w:val="nil"/>
                            </w:tcBorders>
                            <w:hideMark/>
                          </w:tcPr>
                          <w:p w14:paraId="087A0311"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5.8 </w:t>
                            </w:r>
                          </w:p>
                        </w:tc>
                        <w:tc>
                          <w:tcPr>
                            <w:tcW w:w="452" w:type="pct"/>
                            <w:tcBorders>
                              <w:top w:val="single" w:sz="4" w:space="0" w:color="000000"/>
                              <w:left w:val="nil"/>
                              <w:bottom w:val="nil"/>
                              <w:right w:val="nil"/>
                            </w:tcBorders>
                            <w:hideMark/>
                          </w:tcPr>
                          <w:p w14:paraId="4BD465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6.3 </w:t>
                            </w:r>
                          </w:p>
                        </w:tc>
                        <w:tc>
                          <w:tcPr>
                            <w:tcW w:w="452" w:type="pct"/>
                            <w:tcBorders>
                              <w:top w:val="single" w:sz="4" w:space="0" w:color="000000"/>
                              <w:left w:val="nil"/>
                              <w:bottom w:val="nil"/>
                              <w:right w:val="nil"/>
                            </w:tcBorders>
                            <w:hideMark/>
                          </w:tcPr>
                          <w:p w14:paraId="2E407CFE"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7.4 </w:t>
                            </w:r>
                          </w:p>
                        </w:tc>
                        <w:tc>
                          <w:tcPr>
                            <w:tcW w:w="535" w:type="pct"/>
                            <w:tcBorders>
                              <w:top w:val="single" w:sz="4" w:space="0" w:color="000000"/>
                              <w:left w:val="nil"/>
                              <w:bottom w:val="nil"/>
                              <w:right w:val="nil"/>
                            </w:tcBorders>
                            <w:hideMark/>
                          </w:tcPr>
                          <w:p w14:paraId="7B07F39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u w:val="double"/>
                                <w:lang w:eastAsia="en-IN"/>
                                <w14:ligatures w14:val="none"/>
                              </w:rPr>
                            </w:pPr>
                            <w:r w:rsidRPr="00057F31">
                              <w:rPr>
                                <w:rFonts w:ascii="Cambria" w:eastAsia="Times New Roman" w:hAnsi="Cambria" w:cs="Arial"/>
                                <w:b/>
                                <w:bCs/>
                                <w:color w:val="000000"/>
                                <w:kern w:val="0"/>
                                <w:sz w:val="14"/>
                                <w:szCs w:val="14"/>
                                <w:u w:val="double"/>
                                <w:lang w:eastAsia="en-IN"/>
                                <w14:ligatures w14:val="none"/>
                              </w:rPr>
                              <w:t xml:space="preserve">                       7.6 </w:t>
                            </w:r>
                          </w:p>
                        </w:tc>
                      </w:tr>
                      <w:tr w:rsidR="003C2F53" w:rsidRPr="00057F31" w14:paraId="5A9B75D0" w14:textId="77777777" w:rsidTr="00057F31">
                        <w:trPr>
                          <w:trHeight w:val="204"/>
                        </w:trPr>
                        <w:tc>
                          <w:tcPr>
                            <w:tcW w:w="1588" w:type="pct"/>
                            <w:tcBorders>
                              <w:top w:val="nil"/>
                              <w:left w:val="nil"/>
                              <w:bottom w:val="nil"/>
                              <w:right w:val="nil"/>
                            </w:tcBorders>
                            <w:noWrap/>
                            <w:hideMark/>
                          </w:tcPr>
                          <w:p w14:paraId="5B11225C"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NI to Common </w:t>
                            </w:r>
                            <w:r w:rsidRPr="00057F31">
                              <w:rPr>
                                <w:rFonts w:ascii="Cambria" w:eastAsia="Times New Roman" w:hAnsi="Cambria" w:cs="Arial"/>
                                <w:b/>
                                <w:bCs/>
                                <w:color w:val="000000"/>
                                <w:kern w:val="0"/>
                                <w:sz w:val="14"/>
                                <w:szCs w:val="14"/>
                                <w:lang w:eastAsia="en-IN"/>
                                <w14:ligatures w14:val="none"/>
                              </w:rPr>
                              <w:t>Incl Extra Items</w:t>
                            </w:r>
                          </w:p>
                        </w:tc>
                        <w:tc>
                          <w:tcPr>
                            <w:tcW w:w="452" w:type="pct"/>
                            <w:tcBorders>
                              <w:top w:val="nil"/>
                              <w:left w:val="nil"/>
                              <w:bottom w:val="nil"/>
                              <w:right w:val="nil"/>
                            </w:tcBorders>
                            <w:hideMark/>
                          </w:tcPr>
                          <w:p w14:paraId="3B600B59"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nil"/>
                              <w:left w:val="nil"/>
                              <w:bottom w:val="nil"/>
                              <w:right w:val="nil"/>
                            </w:tcBorders>
                            <w:hideMark/>
                          </w:tcPr>
                          <w:p w14:paraId="6EA02CB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4.0 </w:t>
                            </w:r>
                          </w:p>
                        </w:tc>
                        <w:tc>
                          <w:tcPr>
                            <w:tcW w:w="506" w:type="pct"/>
                            <w:tcBorders>
                              <w:top w:val="nil"/>
                              <w:left w:val="nil"/>
                              <w:bottom w:val="nil"/>
                              <w:right w:val="nil"/>
                            </w:tcBorders>
                            <w:hideMark/>
                          </w:tcPr>
                          <w:p w14:paraId="11DFA0ED"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5.0 </w:t>
                            </w:r>
                          </w:p>
                        </w:tc>
                        <w:tc>
                          <w:tcPr>
                            <w:tcW w:w="506" w:type="pct"/>
                            <w:tcBorders>
                              <w:top w:val="nil"/>
                              <w:left w:val="nil"/>
                              <w:bottom w:val="nil"/>
                              <w:right w:val="nil"/>
                            </w:tcBorders>
                            <w:hideMark/>
                          </w:tcPr>
                          <w:p w14:paraId="4B2D6C1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5.8 </w:t>
                            </w:r>
                          </w:p>
                        </w:tc>
                        <w:tc>
                          <w:tcPr>
                            <w:tcW w:w="452" w:type="pct"/>
                            <w:tcBorders>
                              <w:top w:val="nil"/>
                              <w:left w:val="nil"/>
                              <w:bottom w:val="nil"/>
                              <w:right w:val="nil"/>
                            </w:tcBorders>
                            <w:hideMark/>
                          </w:tcPr>
                          <w:p w14:paraId="289910A4"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nil"/>
                              <w:left w:val="nil"/>
                              <w:bottom w:val="nil"/>
                              <w:right w:val="nil"/>
                            </w:tcBorders>
                            <w:hideMark/>
                          </w:tcPr>
                          <w:p w14:paraId="13202C56"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nil"/>
                              <w:left w:val="nil"/>
                              <w:bottom w:val="nil"/>
                              <w:right w:val="nil"/>
                            </w:tcBorders>
                            <w:hideMark/>
                          </w:tcPr>
                          <w:p w14:paraId="5451A10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3C2F53" w:rsidRPr="00057F31" w14:paraId="44EC887A" w14:textId="77777777" w:rsidTr="00057F31">
                        <w:trPr>
                          <w:trHeight w:val="204"/>
                        </w:trPr>
                        <w:tc>
                          <w:tcPr>
                            <w:tcW w:w="1588" w:type="pct"/>
                            <w:tcBorders>
                              <w:top w:val="nil"/>
                              <w:left w:val="nil"/>
                              <w:bottom w:val="nil"/>
                              <w:right w:val="nil"/>
                            </w:tcBorders>
                            <w:noWrap/>
                            <w:hideMark/>
                          </w:tcPr>
                          <w:p w14:paraId="19039876"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NI to Common Excl. Extra Items</w:t>
                            </w:r>
                          </w:p>
                        </w:tc>
                        <w:tc>
                          <w:tcPr>
                            <w:tcW w:w="452" w:type="pct"/>
                            <w:tcBorders>
                              <w:top w:val="nil"/>
                              <w:left w:val="nil"/>
                              <w:bottom w:val="nil"/>
                              <w:right w:val="nil"/>
                            </w:tcBorders>
                            <w:hideMark/>
                          </w:tcPr>
                          <w:p w14:paraId="39FCAFEC"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3.7 </w:t>
                            </w:r>
                          </w:p>
                        </w:tc>
                        <w:tc>
                          <w:tcPr>
                            <w:tcW w:w="506" w:type="pct"/>
                            <w:tcBorders>
                              <w:top w:val="nil"/>
                              <w:left w:val="nil"/>
                              <w:bottom w:val="nil"/>
                              <w:right w:val="nil"/>
                            </w:tcBorders>
                            <w:hideMark/>
                          </w:tcPr>
                          <w:p w14:paraId="2DF5CE65"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4.0 </w:t>
                            </w:r>
                          </w:p>
                        </w:tc>
                        <w:tc>
                          <w:tcPr>
                            <w:tcW w:w="506" w:type="pct"/>
                            <w:tcBorders>
                              <w:top w:val="nil"/>
                              <w:left w:val="nil"/>
                              <w:bottom w:val="nil"/>
                              <w:right w:val="nil"/>
                            </w:tcBorders>
                            <w:hideMark/>
                          </w:tcPr>
                          <w:p w14:paraId="49FBD47A"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5.0 </w:t>
                            </w:r>
                          </w:p>
                        </w:tc>
                        <w:tc>
                          <w:tcPr>
                            <w:tcW w:w="506" w:type="pct"/>
                            <w:tcBorders>
                              <w:top w:val="nil"/>
                              <w:left w:val="nil"/>
                              <w:bottom w:val="nil"/>
                              <w:right w:val="nil"/>
                            </w:tcBorders>
                            <w:hideMark/>
                          </w:tcPr>
                          <w:p w14:paraId="5D1339B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5.8 </w:t>
                            </w:r>
                          </w:p>
                        </w:tc>
                        <w:tc>
                          <w:tcPr>
                            <w:tcW w:w="452" w:type="pct"/>
                            <w:tcBorders>
                              <w:top w:val="nil"/>
                              <w:left w:val="nil"/>
                              <w:bottom w:val="nil"/>
                              <w:right w:val="nil"/>
                            </w:tcBorders>
                            <w:hideMark/>
                          </w:tcPr>
                          <w:p w14:paraId="459A02D0"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6.3 </w:t>
                            </w:r>
                          </w:p>
                        </w:tc>
                        <w:tc>
                          <w:tcPr>
                            <w:tcW w:w="452" w:type="pct"/>
                            <w:tcBorders>
                              <w:top w:val="nil"/>
                              <w:left w:val="nil"/>
                              <w:bottom w:val="nil"/>
                              <w:right w:val="nil"/>
                            </w:tcBorders>
                            <w:hideMark/>
                          </w:tcPr>
                          <w:p w14:paraId="406ABD87"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7.4 </w:t>
                            </w:r>
                          </w:p>
                        </w:tc>
                        <w:tc>
                          <w:tcPr>
                            <w:tcW w:w="535" w:type="pct"/>
                            <w:tcBorders>
                              <w:top w:val="nil"/>
                              <w:left w:val="nil"/>
                              <w:bottom w:val="nil"/>
                              <w:right w:val="nil"/>
                            </w:tcBorders>
                            <w:hideMark/>
                          </w:tcPr>
                          <w:p w14:paraId="59F5C752" w14:textId="77777777" w:rsidR="00057F31" w:rsidRPr="00057F31" w:rsidRDefault="00057F31" w:rsidP="00057F31">
                            <w:pPr>
                              <w:spacing w:after="0" w:line="240" w:lineRule="auto"/>
                              <w:jc w:val="right"/>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 xml:space="preserve">                       7.6 </w:t>
                            </w:r>
                          </w:p>
                        </w:tc>
                      </w:tr>
                      <w:tr w:rsidR="00057F31" w:rsidRPr="00057F31" w14:paraId="79AE5515" w14:textId="77777777" w:rsidTr="00057F31">
                        <w:trPr>
                          <w:trHeight w:val="204"/>
                        </w:trPr>
                        <w:tc>
                          <w:tcPr>
                            <w:tcW w:w="1588" w:type="pct"/>
                            <w:tcBorders>
                              <w:top w:val="nil"/>
                              <w:left w:val="nil"/>
                              <w:bottom w:val="nil"/>
                              <w:right w:val="nil"/>
                            </w:tcBorders>
                            <w:noWrap/>
                            <w:hideMark/>
                          </w:tcPr>
                          <w:p w14:paraId="413C9B8B"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Per Share Items</w:t>
                            </w:r>
                          </w:p>
                        </w:tc>
                        <w:tc>
                          <w:tcPr>
                            <w:tcW w:w="452" w:type="pct"/>
                            <w:tcBorders>
                              <w:top w:val="nil"/>
                              <w:left w:val="nil"/>
                              <w:bottom w:val="nil"/>
                              <w:right w:val="nil"/>
                            </w:tcBorders>
                            <w:noWrap/>
                            <w:hideMark/>
                          </w:tcPr>
                          <w:p w14:paraId="4D27FA90"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c>
                          <w:tcPr>
                            <w:tcW w:w="506" w:type="pct"/>
                            <w:tcBorders>
                              <w:top w:val="nil"/>
                              <w:left w:val="nil"/>
                              <w:bottom w:val="nil"/>
                              <w:right w:val="nil"/>
                            </w:tcBorders>
                            <w:noWrap/>
                            <w:hideMark/>
                          </w:tcPr>
                          <w:p w14:paraId="11C442B4"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313FA572"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71BAC6C6"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25689B42"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3918FA3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0E449FA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r>
                      <w:tr w:rsidR="003C2F53" w:rsidRPr="00057F31" w14:paraId="3A0E1155" w14:textId="77777777" w:rsidTr="00057F31">
                        <w:trPr>
                          <w:trHeight w:val="204"/>
                        </w:trPr>
                        <w:tc>
                          <w:tcPr>
                            <w:tcW w:w="1588" w:type="pct"/>
                            <w:tcBorders>
                              <w:top w:val="nil"/>
                              <w:left w:val="nil"/>
                              <w:bottom w:val="nil"/>
                              <w:right w:val="nil"/>
                            </w:tcBorders>
                            <w:noWrap/>
                            <w:hideMark/>
                          </w:tcPr>
                          <w:p w14:paraId="3003116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Basic EPS</w:t>
                            </w:r>
                          </w:p>
                        </w:tc>
                        <w:tc>
                          <w:tcPr>
                            <w:tcW w:w="452" w:type="pct"/>
                            <w:tcBorders>
                              <w:top w:val="nil"/>
                              <w:left w:val="nil"/>
                              <w:bottom w:val="nil"/>
                              <w:right w:val="nil"/>
                            </w:tcBorders>
                            <w:hideMark/>
                          </w:tcPr>
                          <w:p w14:paraId="00BF38D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$8.32 </w:t>
                            </w:r>
                          </w:p>
                        </w:tc>
                        <w:tc>
                          <w:tcPr>
                            <w:tcW w:w="506" w:type="pct"/>
                            <w:tcBorders>
                              <w:top w:val="nil"/>
                              <w:left w:val="nil"/>
                              <w:bottom w:val="nil"/>
                              <w:right w:val="nil"/>
                            </w:tcBorders>
                            <w:hideMark/>
                          </w:tcPr>
                          <w:p w14:paraId="42F37D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$9.05 </w:t>
                            </w:r>
                          </w:p>
                        </w:tc>
                        <w:tc>
                          <w:tcPr>
                            <w:tcW w:w="506" w:type="pct"/>
                            <w:tcBorders>
                              <w:top w:val="nil"/>
                              <w:left w:val="nil"/>
                              <w:bottom w:val="nil"/>
                              <w:right w:val="nil"/>
                            </w:tcBorders>
                            <w:hideMark/>
                          </w:tcPr>
                          <w:p w14:paraId="1229F25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$11.3 </w:t>
                            </w:r>
                          </w:p>
                        </w:tc>
                        <w:tc>
                          <w:tcPr>
                            <w:tcW w:w="506" w:type="pct"/>
                            <w:tcBorders>
                              <w:top w:val="nil"/>
                              <w:left w:val="nil"/>
                              <w:bottom w:val="nil"/>
                              <w:right w:val="nil"/>
                            </w:tcBorders>
                            <w:hideMark/>
                          </w:tcPr>
                          <w:p w14:paraId="6E4340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$13.17 </w:t>
                            </w:r>
                          </w:p>
                        </w:tc>
                        <w:tc>
                          <w:tcPr>
                            <w:tcW w:w="452" w:type="pct"/>
                            <w:tcBorders>
                              <w:top w:val="nil"/>
                              <w:left w:val="nil"/>
                              <w:bottom w:val="nil"/>
                              <w:right w:val="nil"/>
                            </w:tcBorders>
                            <w:hideMark/>
                          </w:tcPr>
                          <w:p w14:paraId="24FE5A3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$14.18 </w:t>
                            </w:r>
                          </w:p>
                        </w:tc>
                        <w:tc>
                          <w:tcPr>
                            <w:tcW w:w="452" w:type="pct"/>
                            <w:tcBorders>
                              <w:top w:val="nil"/>
                              <w:left w:val="nil"/>
                              <w:bottom w:val="nil"/>
                              <w:right w:val="nil"/>
                            </w:tcBorders>
                            <w:hideMark/>
                          </w:tcPr>
                          <w:p w14:paraId="4CD7E21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1109A51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$17.17 </w:t>
                            </w:r>
                          </w:p>
                        </w:tc>
                      </w:tr>
                      <w:tr w:rsidR="003C2F53" w:rsidRPr="00057F31" w14:paraId="2A785F80" w14:textId="77777777" w:rsidTr="00057F31">
                        <w:trPr>
                          <w:trHeight w:val="204"/>
                        </w:trPr>
                        <w:tc>
                          <w:tcPr>
                            <w:tcW w:w="1588" w:type="pct"/>
                            <w:tcBorders>
                              <w:top w:val="nil"/>
                              <w:left w:val="nil"/>
                              <w:bottom w:val="nil"/>
                              <w:right w:val="nil"/>
                            </w:tcBorders>
                            <w:noWrap/>
                            <w:hideMark/>
                          </w:tcPr>
                          <w:p w14:paraId="48BBBE6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Basic EPS Excl. Extra Items</w:t>
                            </w:r>
                          </w:p>
                        </w:tc>
                        <w:tc>
                          <w:tcPr>
                            <w:tcW w:w="452" w:type="pct"/>
                            <w:tcBorders>
                              <w:top w:val="nil"/>
                              <w:left w:val="nil"/>
                              <w:bottom w:val="nil"/>
                              <w:right w:val="nil"/>
                            </w:tcBorders>
                            <w:hideMark/>
                          </w:tcPr>
                          <w:p w14:paraId="658424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8.32 </w:t>
                            </w:r>
                          </w:p>
                        </w:tc>
                        <w:tc>
                          <w:tcPr>
                            <w:tcW w:w="506" w:type="pct"/>
                            <w:tcBorders>
                              <w:top w:val="nil"/>
                              <w:left w:val="nil"/>
                              <w:bottom w:val="nil"/>
                              <w:right w:val="nil"/>
                            </w:tcBorders>
                            <w:hideMark/>
                          </w:tcPr>
                          <w:p w14:paraId="1980B21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9.05 </w:t>
                            </w:r>
                          </w:p>
                        </w:tc>
                        <w:tc>
                          <w:tcPr>
                            <w:tcW w:w="506" w:type="pct"/>
                            <w:tcBorders>
                              <w:top w:val="nil"/>
                              <w:left w:val="nil"/>
                              <w:bottom w:val="nil"/>
                              <w:right w:val="nil"/>
                            </w:tcBorders>
                            <w:hideMark/>
                          </w:tcPr>
                          <w:p w14:paraId="793D8FC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11.3 </w:t>
                            </w:r>
                          </w:p>
                        </w:tc>
                        <w:tc>
                          <w:tcPr>
                            <w:tcW w:w="506" w:type="pct"/>
                            <w:tcBorders>
                              <w:top w:val="nil"/>
                              <w:left w:val="nil"/>
                              <w:bottom w:val="nil"/>
                              <w:right w:val="nil"/>
                            </w:tcBorders>
                            <w:hideMark/>
                          </w:tcPr>
                          <w:p w14:paraId="49C264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13.17 </w:t>
                            </w:r>
                          </w:p>
                        </w:tc>
                        <w:tc>
                          <w:tcPr>
                            <w:tcW w:w="452" w:type="pct"/>
                            <w:tcBorders>
                              <w:top w:val="nil"/>
                              <w:left w:val="nil"/>
                              <w:bottom w:val="nil"/>
                              <w:right w:val="nil"/>
                            </w:tcBorders>
                            <w:hideMark/>
                          </w:tcPr>
                          <w:p w14:paraId="419EB7F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14.18 </w:t>
                            </w:r>
                          </w:p>
                        </w:tc>
                        <w:tc>
                          <w:tcPr>
                            <w:tcW w:w="452" w:type="pct"/>
                            <w:tcBorders>
                              <w:top w:val="nil"/>
                              <w:left w:val="nil"/>
                              <w:bottom w:val="nil"/>
                              <w:right w:val="nil"/>
                            </w:tcBorders>
                            <w:hideMark/>
                          </w:tcPr>
                          <w:p w14:paraId="01055A4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45640DF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17.17 </w:t>
                            </w:r>
                          </w:p>
                        </w:tc>
                      </w:tr>
                      <w:tr w:rsidR="003C2F53" w:rsidRPr="00057F31" w14:paraId="07A1CF9C" w14:textId="77777777" w:rsidTr="00057F31">
                        <w:trPr>
                          <w:trHeight w:val="204"/>
                        </w:trPr>
                        <w:tc>
                          <w:tcPr>
                            <w:tcW w:w="1588" w:type="pct"/>
                            <w:tcBorders>
                              <w:top w:val="nil"/>
                              <w:left w:val="nil"/>
                              <w:bottom w:val="nil"/>
                              <w:right w:val="nil"/>
                            </w:tcBorders>
                            <w:noWrap/>
                            <w:hideMark/>
                          </w:tcPr>
                          <w:p w14:paraId="66F47B3A"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Weighted Avg. Basic Shares Out.</w:t>
                            </w:r>
                          </w:p>
                        </w:tc>
                        <w:tc>
                          <w:tcPr>
                            <w:tcW w:w="452" w:type="pct"/>
                            <w:tcBorders>
                              <w:top w:val="nil"/>
                              <w:left w:val="nil"/>
                              <w:bottom w:val="nil"/>
                              <w:right w:val="nil"/>
                            </w:tcBorders>
                            <w:hideMark/>
                          </w:tcPr>
                          <w:p w14:paraId="4C2856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427B40B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0D6D90B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F55316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254A7A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4B0F2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35" w:type="pct"/>
                            <w:tcBorders>
                              <w:top w:val="nil"/>
                              <w:left w:val="nil"/>
                              <w:bottom w:val="nil"/>
                              <w:right w:val="nil"/>
                            </w:tcBorders>
                            <w:hideMark/>
                          </w:tcPr>
                          <w:p w14:paraId="53553A1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18615697" w14:textId="77777777" w:rsidTr="00057F31">
                        <w:trPr>
                          <w:trHeight w:val="204"/>
                        </w:trPr>
                        <w:tc>
                          <w:tcPr>
                            <w:tcW w:w="1588" w:type="pct"/>
                            <w:tcBorders>
                              <w:top w:val="nil"/>
                              <w:left w:val="nil"/>
                              <w:bottom w:val="nil"/>
                              <w:right w:val="nil"/>
                            </w:tcBorders>
                            <w:noWrap/>
                            <w:hideMark/>
                          </w:tcPr>
                          <w:p w14:paraId="65A64BF1"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Diluted EPS</w:t>
                            </w:r>
                          </w:p>
                        </w:tc>
                        <w:tc>
                          <w:tcPr>
                            <w:tcW w:w="452" w:type="pct"/>
                            <w:tcBorders>
                              <w:top w:val="nil"/>
                              <w:left w:val="nil"/>
                              <w:bottom w:val="nil"/>
                              <w:right w:val="nil"/>
                            </w:tcBorders>
                            <w:hideMark/>
                          </w:tcPr>
                          <w:p w14:paraId="37BC463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$8.26 </w:t>
                            </w:r>
                          </w:p>
                        </w:tc>
                        <w:tc>
                          <w:tcPr>
                            <w:tcW w:w="506" w:type="pct"/>
                            <w:tcBorders>
                              <w:top w:val="nil"/>
                              <w:left w:val="nil"/>
                              <w:bottom w:val="nil"/>
                              <w:right w:val="nil"/>
                            </w:tcBorders>
                            <w:hideMark/>
                          </w:tcPr>
                          <w:p w14:paraId="4CDDF0B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$9.02 </w:t>
                            </w:r>
                          </w:p>
                        </w:tc>
                        <w:tc>
                          <w:tcPr>
                            <w:tcW w:w="506" w:type="pct"/>
                            <w:tcBorders>
                              <w:top w:val="nil"/>
                              <w:left w:val="nil"/>
                              <w:bottom w:val="nil"/>
                              <w:right w:val="nil"/>
                            </w:tcBorders>
                            <w:hideMark/>
                          </w:tcPr>
                          <w:p w14:paraId="79685C5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$11.27 </w:t>
                            </w:r>
                          </w:p>
                        </w:tc>
                        <w:tc>
                          <w:tcPr>
                            <w:tcW w:w="506" w:type="pct"/>
                            <w:tcBorders>
                              <w:top w:val="nil"/>
                              <w:left w:val="nil"/>
                              <w:bottom w:val="nil"/>
                              <w:right w:val="nil"/>
                            </w:tcBorders>
                            <w:hideMark/>
                          </w:tcPr>
                          <w:p w14:paraId="33AA865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$13.14 </w:t>
                            </w:r>
                          </w:p>
                        </w:tc>
                        <w:tc>
                          <w:tcPr>
                            <w:tcW w:w="452" w:type="pct"/>
                            <w:tcBorders>
                              <w:top w:val="nil"/>
                              <w:left w:val="nil"/>
                              <w:bottom w:val="nil"/>
                              <w:right w:val="nil"/>
                            </w:tcBorders>
                            <w:hideMark/>
                          </w:tcPr>
                          <w:p w14:paraId="2FF0754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$14.16 </w:t>
                            </w:r>
                          </w:p>
                        </w:tc>
                        <w:tc>
                          <w:tcPr>
                            <w:tcW w:w="452" w:type="pct"/>
                            <w:tcBorders>
                              <w:top w:val="nil"/>
                              <w:left w:val="nil"/>
                              <w:bottom w:val="nil"/>
                              <w:right w:val="nil"/>
                            </w:tcBorders>
                            <w:hideMark/>
                          </w:tcPr>
                          <w:p w14:paraId="36CFC4B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$16.56 </w:t>
                            </w:r>
                          </w:p>
                        </w:tc>
                        <w:tc>
                          <w:tcPr>
                            <w:tcW w:w="535" w:type="pct"/>
                            <w:tcBorders>
                              <w:top w:val="nil"/>
                              <w:left w:val="nil"/>
                              <w:bottom w:val="nil"/>
                              <w:right w:val="nil"/>
                            </w:tcBorders>
                            <w:hideMark/>
                          </w:tcPr>
                          <w:p w14:paraId="5BBA627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$17.13 </w:t>
                            </w:r>
                          </w:p>
                        </w:tc>
                      </w:tr>
                      <w:tr w:rsidR="003C2F53" w:rsidRPr="00057F31" w14:paraId="0B259C64" w14:textId="77777777" w:rsidTr="00057F31">
                        <w:trPr>
                          <w:trHeight w:val="204"/>
                        </w:trPr>
                        <w:tc>
                          <w:tcPr>
                            <w:tcW w:w="1588" w:type="pct"/>
                            <w:tcBorders>
                              <w:top w:val="nil"/>
                              <w:left w:val="nil"/>
                              <w:bottom w:val="nil"/>
                              <w:right w:val="nil"/>
                            </w:tcBorders>
                            <w:noWrap/>
                            <w:hideMark/>
                          </w:tcPr>
                          <w:p w14:paraId="69439806"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Diluted EPS Excl. Extra Items</w:t>
                            </w:r>
                          </w:p>
                        </w:tc>
                        <w:tc>
                          <w:tcPr>
                            <w:tcW w:w="452" w:type="pct"/>
                            <w:tcBorders>
                              <w:top w:val="nil"/>
                              <w:left w:val="nil"/>
                              <w:bottom w:val="nil"/>
                              <w:right w:val="nil"/>
                            </w:tcBorders>
                            <w:hideMark/>
                          </w:tcPr>
                          <w:p w14:paraId="612C0EB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8.26 </w:t>
                            </w:r>
                          </w:p>
                        </w:tc>
                        <w:tc>
                          <w:tcPr>
                            <w:tcW w:w="506" w:type="pct"/>
                            <w:tcBorders>
                              <w:top w:val="nil"/>
                              <w:left w:val="nil"/>
                              <w:bottom w:val="nil"/>
                              <w:right w:val="nil"/>
                            </w:tcBorders>
                            <w:hideMark/>
                          </w:tcPr>
                          <w:p w14:paraId="723DA24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9.02 </w:t>
                            </w:r>
                          </w:p>
                        </w:tc>
                        <w:tc>
                          <w:tcPr>
                            <w:tcW w:w="506" w:type="pct"/>
                            <w:tcBorders>
                              <w:top w:val="nil"/>
                              <w:left w:val="nil"/>
                              <w:bottom w:val="nil"/>
                              <w:right w:val="nil"/>
                            </w:tcBorders>
                            <w:hideMark/>
                          </w:tcPr>
                          <w:p w14:paraId="41884EA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11.27 </w:t>
                            </w:r>
                          </w:p>
                        </w:tc>
                        <w:tc>
                          <w:tcPr>
                            <w:tcW w:w="506" w:type="pct"/>
                            <w:tcBorders>
                              <w:top w:val="nil"/>
                              <w:left w:val="nil"/>
                              <w:bottom w:val="nil"/>
                              <w:right w:val="nil"/>
                            </w:tcBorders>
                            <w:hideMark/>
                          </w:tcPr>
                          <w:p w14:paraId="253EE92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13.14 </w:t>
                            </w:r>
                          </w:p>
                        </w:tc>
                        <w:tc>
                          <w:tcPr>
                            <w:tcW w:w="452" w:type="pct"/>
                            <w:tcBorders>
                              <w:top w:val="nil"/>
                              <w:left w:val="nil"/>
                              <w:bottom w:val="nil"/>
                              <w:right w:val="nil"/>
                            </w:tcBorders>
                            <w:hideMark/>
                          </w:tcPr>
                          <w:p w14:paraId="7982B69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14.16 </w:t>
                            </w:r>
                          </w:p>
                        </w:tc>
                        <w:tc>
                          <w:tcPr>
                            <w:tcW w:w="452" w:type="pct"/>
                            <w:tcBorders>
                              <w:top w:val="nil"/>
                              <w:left w:val="nil"/>
                              <w:bottom w:val="nil"/>
                              <w:right w:val="nil"/>
                            </w:tcBorders>
                            <w:hideMark/>
                          </w:tcPr>
                          <w:p w14:paraId="26A36E4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16.56 </w:t>
                            </w:r>
                          </w:p>
                        </w:tc>
                        <w:tc>
                          <w:tcPr>
                            <w:tcW w:w="535" w:type="pct"/>
                            <w:tcBorders>
                              <w:top w:val="nil"/>
                              <w:left w:val="nil"/>
                              <w:bottom w:val="nil"/>
                              <w:right w:val="nil"/>
                            </w:tcBorders>
                            <w:hideMark/>
                          </w:tcPr>
                          <w:p w14:paraId="66CABF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17.13 </w:t>
                            </w:r>
                          </w:p>
                        </w:tc>
                      </w:tr>
                      <w:tr w:rsidR="003C2F53" w:rsidRPr="00057F31" w14:paraId="35684D6B" w14:textId="77777777" w:rsidTr="00057F31">
                        <w:trPr>
                          <w:trHeight w:val="204"/>
                        </w:trPr>
                        <w:tc>
                          <w:tcPr>
                            <w:tcW w:w="1588" w:type="pct"/>
                            <w:tcBorders>
                              <w:top w:val="nil"/>
                              <w:left w:val="nil"/>
                              <w:bottom w:val="nil"/>
                              <w:right w:val="nil"/>
                            </w:tcBorders>
                            <w:noWrap/>
                            <w:hideMark/>
                          </w:tcPr>
                          <w:p w14:paraId="3CED5E34"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Weighted Avg. Diluted Shares Out.</w:t>
                            </w:r>
                          </w:p>
                        </w:tc>
                        <w:tc>
                          <w:tcPr>
                            <w:tcW w:w="452" w:type="pct"/>
                            <w:tcBorders>
                              <w:top w:val="nil"/>
                              <w:left w:val="nil"/>
                              <w:bottom w:val="nil"/>
                              <w:right w:val="nil"/>
                            </w:tcBorders>
                            <w:hideMark/>
                          </w:tcPr>
                          <w:p w14:paraId="7943BB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677F41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32DCFD3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06" w:type="pct"/>
                            <w:tcBorders>
                              <w:top w:val="nil"/>
                              <w:left w:val="nil"/>
                              <w:bottom w:val="nil"/>
                              <w:right w:val="nil"/>
                            </w:tcBorders>
                            <w:hideMark/>
                          </w:tcPr>
                          <w:p w14:paraId="62E9EF8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4398019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452" w:type="pct"/>
                            <w:tcBorders>
                              <w:top w:val="nil"/>
                              <w:left w:val="nil"/>
                              <w:bottom w:val="nil"/>
                              <w:right w:val="nil"/>
                            </w:tcBorders>
                            <w:hideMark/>
                          </w:tcPr>
                          <w:p w14:paraId="3982B48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c>
                          <w:tcPr>
                            <w:tcW w:w="535" w:type="pct"/>
                            <w:tcBorders>
                              <w:top w:val="nil"/>
                              <w:left w:val="nil"/>
                              <w:bottom w:val="nil"/>
                              <w:right w:val="nil"/>
                            </w:tcBorders>
                            <w:hideMark/>
                          </w:tcPr>
                          <w:p w14:paraId="6653BC3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0.4 </w:t>
                            </w:r>
                          </w:p>
                        </w:tc>
                      </w:tr>
                      <w:tr w:rsidR="003C2F53" w:rsidRPr="00057F31" w14:paraId="3B537060" w14:textId="77777777" w:rsidTr="00057F31">
                        <w:trPr>
                          <w:trHeight w:val="204"/>
                        </w:trPr>
                        <w:tc>
                          <w:tcPr>
                            <w:tcW w:w="1588" w:type="pct"/>
                            <w:tcBorders>
                              <w:top w:val="nil"/>
                              <w:left w:val="nil"/>
                              <w:bottom w:val="nil"/>
                              <w:right w:val="nil"/>
                            </w:tcBorders>
                            <w:noWrap/>
                            <w:hideMark/>
                          </w:tcPr>
                          <w:p w14:paraId="7D6EC7A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Normalized Basic EPS</w:t>
                            </w:r>
                          </w:p>
                        </w:tc>
                        <w:tc>
                          <w:tcPr>
                            <w:tcW w:w="452" w:type="pct"/>
                            <w:tcBorders>
                              <w:top w:val="nil"/>
                              <w:left w:val="nil"/>
                              <w:bottom w:val="nil"/>
                              <w:right w:val="nil"/>
                            </w:tcBorders>
                            <w:hideMark/>
                          </w:tcPr>
                          <w:p w14:paraId="1DED497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$6.67 </w:t>
                            </w:r>
                          </w:p>
                        </w:tc>
                        <w:tc>
                          <w:tcPr>
                            <w:tcW w:w="506" w:type="pct"/>
                            <w:tcBorders>
                              <w:top w:val="nil"/>
                              <w:left w:val="nil"/>
                              <w:bottom w:val="nil"/>
                              <w:right w:val="nil"/>
                            </w:tcBorders>
                            <w:hideMark/>
                          </w:tcPr>
                          <w:p w14:paraId="3327923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$7.46 </w:t>
                            </w:r>
                          </w:p>
                        </w:tc>
                        <w:tc>
                          <w:tcPr>
                            <w:tcW w:w="506" w:type="pct"/>
                            <w:tcBorders>
                              <w:top w:val="nil"/>
                              <w:left w:val="nil"/>
                              <w:bottom w:val="nil"/>
                              <w:right w:val="nil"/>
                            </w:tcBorders>
                            <w:hideMark/>
                          </w:tcPr>
                          <w:p w14:paraId="10217F8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$9.38 </w:t>
                            </w:r>
                          </w:p>
                        </w:tc>
                        <w:tc>
                          <w:tcPr>
                            <w:tcW w:w="506" w:type="pct"/>
                            <w:tcBorders>
                              <w:top w:val="nil"/>
                              <w:left w:val="nil"/>
                              <w:bottom w:val="nil"/>
                              <w:right w:val="nil"/>
                            </w:tcBorders>
                            <w:hideMark/>
                          </w:tcPr>
                          <w:p w14:paraId="7027452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$11.05 </w:t>
                            </w:r>
                          </w:p>
                        </w:tc>
                        <w:tc>
                          <w:tcPr>
                            <w:tcW w:w="452" w:type="pct"/>
                            <w:tcBorders>
                              <w:top w:val="nil"/>
                              <w:left w:val="nil"/>
                              <w:bottom w:val="nil"/>
                              <w:right w:val="nil"/>
                            </w:tcBorders>
                            <w:hideMark/>
                          </w:tcPr>
                          <w:p w14:paraId="2D9599F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$12.5 </w:t>
                            </w:r>
                          </w:p>
                        </w:tc>
                        <w:tc>
                          <w:tcPr>
                            <w:tcW w:w="452" w:type="pct"/>
                            <w:tcBorders>
                              <w:top w:val="nil"/>
                              <w:left w:val="nil"/>
                              <w:bottom w:val="nil"/>
                              <w:right w:val="nil"/>
                            </w:tcBorders>
                            <w:hideMark/>
                          </w:tcPr>
                          <w:p w14:paraId="5F40E25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$13.71 </w:t>
                            </w:r>
                          </w:p>
                        </w:tc>
                        <w:tc>
                          <w:tcPr>
                            <w:tcW w:w="535" w:type="pct"/>
                            <w:tcBorders>
                              <w:top w:val="nil"/>
                              <w:left w:val="nil"/>
                              <w:bottom w:val="nil"/>
                              <w:right w:val="nil"/>
                            </w:tcBorders>
                            <w:hideMark/>
                          </w:tcPr>
                          <w:p w14:paraId="5738DB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$14.25 </w:t>
                            </w:r>
                          </w:p>
                        </w:tc>
                      </w:tr>
                      <w:tr w:rsidR="003C2F53" w:rsidRPr="00057F31" w14:paraId="15FA05D2" w14:textId="77777777" w:rsidTr="00057F31">
                        <w:trPr>
                          <w:trHeight w:val="204"/>
                        </w:trPr>
                        <w:tc>
                          <w:tcPr>
                            <w:tcW w:w="1588" w:type="pct"/>
                            <w:tcBorders>
                              <w:top w:val="nil"/>
                              <w:left w:val="nil"/>
                              <w:bottom w:val="nil"/>
                              <w:right w:val="nil"/>
                            </w:tcBorders>
                            <w:noWrap/>
                            <w:hideMark/>
                          </w:tcPr>
                          <w:p w14:paraId="0B0AF6FC"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Normalized Diluted EPS</w:t>
                            </w:r>
                          </w:p>
                        </w:tc>
                        <w:tc>
                          <w:tcPr>
                            <w:tcW w:w="452" w:type="pct"/>
                            <w:tcBorders>
                              <w:top w:val="nil"/>
                              <w:left w:val="nil"/>
                              <w:bottom w:val="nil"/>
                              <w:right w:val="nil"/>
                            </w:tcBorders>
                            <w:hideMark/>
                          </w:tcPr>
                          <w:p w14:paraId="3EB1C86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6.62 </w:t>
                            </w:r>
                          </w:p>
                        </w:tc>
                        <w:tc>
                          <w:tcPr>
                            <w:tcW w:w="506" w:type="pct"/>
                            <w:tcBorders>
                              <w:top w:val="nil"/>
                              <w:left w:val="nil"/>
                              <w:bottom w:val="nil"/>
                              <w:right w:val="nil"/>
                            </w:tcBorders>
                            <w:hideMark/>
                          </w:tcPr>
                          <w:p w14:paraId="45632E9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7.43 </w:t>
                            </w:r>
                          </w:p>
                        </w:tc>
                        <w:tc>
                          <w:tcPr>
                            <w:tcW w:w="506" w:type="pct"/>
                            <w:tcBorders>
                              <w:top w:val="nil"/>
                              <w:left w:val="nil"/>
                              <w:bottom w:val="nil"/>
                              <w:right w:val="nil"/>
                            </w:tcBorders>
                            <w:hideMark/>
                          </w:tcPr>
                          <w:p w14:paraId="08FEBEF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9.35 </w:t>
                            </w:r>
                          </w:p>
                        </w:tc>
                        <w:tc>
                          <w:tcPr>
                            <w:tcW w:w="506" w:type="pct"/>
                            <w:tcBorders>
                              <w:top w:val="nil"/>
                              <w:left w:val="nil"/>
                              <w:bottom w:val="nil"/>
                              <w:right w:val="nil"/>
                            </w:tcBorders>
                            <w:hideMark/>
                          </w:tcPr>
                          <w:p w14:paraId="2FF072A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11.02 </w:t>
                            </w:r>
                          </w:p>
                        </w:tc>
                        <w:tc>
                          <w:tcPr>
                            <w:tcW w:w="452" w:type="pct"/>
                            <w:tcBorders>
                              <w:top w:val="nil"/>
                              <w:left w:val="nil"/>
                              <w:bottom w:val="nil"/>
                              <w:right w:val="nil"/>
                            </w:tcBorders>
                            <w:hideMark/>
                          </w:tcPr>
                          <w:p w14:paraId="366B4C9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12.48 </w:t>
                            </w:r>
                          </w:p>
                        </w:tc>
                        <w:tc>
                          <w:tcPr>
                            <w:tcW w:w="452" w:type="pct"/>
                            <w:tcBorders>
                              <w:top w:val="nil"/>
                              <w:left w:val="nil"/>
                              <w:bottom w:val="nil"/>
                              <w:right w:val="nil"/>
                            </w:tcBorders>
                            <w:hideMark/>
                          </w:tcPr>
                          <w:p w14:paraId="4D66AB4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13.69 </w:t>
                            </w:r>
                          </w:p>
                        </w:tc>
                        <w:tc>
                          <w:tcPr>
                            <w:tcW w:w="535" w:type="pct"/>
                            <w:tcBorders>
                              <w:top w:val="nil"/>
                              <w:left w:val="nil"/>
                              <w:bottom w:val="nil"/>
                              <w:right w:val="nil"/>
                            </w:tcBorders>
                            <w:hideMark/>
                          </w:tcPr>
                          <w:p w14:paraId="76C59BE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14.22 </w:t>
                            </w:r>
                          </w:p>
                        </w:tc>
                      </w:tr>
                      <w:tr w:rsidR="003C2F53" w:rsidRPr="00057F31" w14:paraId="4A19A927" w14:textId="77777777" w:rsidTr="00057F31">
                        <w:trPr>
                          <w:trHeight w:val="204"/>
                        </w:trPr>
                        <w:tc>
                          <w:tcPr>
                            <w:tcW w:w="1588" w:type="pct"/>
                            <w:tcBorders>
                              <w:top w:val="nil"/>
                              <w:left w:val="nil"/>
                              <w:bottom w:val="nil"/>
                              <w:right w:val="nil"/>
                            </w:tcBorders>
                            <w:noWrap/>
                            <w:hideMark/>
                          </w:tcPr>
                          <w:p w14:paraId="33BDFF2A"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Dividends per Share</w:t>
                            </w:r>
                          </w:p>
                        </w:tc>
                        <w:tc>
                          <w:tcPr>
                            <w:tcW w:w="452" w:type="pct"/>
                            <w:tcBorders>
                              <w:top w:val="nil"/>
                              <w:left w:val="nil"/>
                              <w:bottom w:val="nil"/>
                              <w:right w:val="nil"/>
                            </w:tcBorders>
                            <w:hideMark/>
                          </w:tcPr>
                          <w:p w14:paraId="1AF2B8B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6CA5F34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357251E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06" w:type="pct"/>
                            <w:tcBorders>
                              <w:top w:val="nil"/>
                              <w:left w:val="nil"/>
                              <w:bottom w:val="nil"/>
                              <w:right w:val="nil"/>
                            </w:tcBorders>
                            <w:hideMark/>
                          </w:tcPr>
                          <w:p w14:paraId="7DBD728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452" w:type="pct"/>
                            <w:tcBorders>
                              <w:top w:val="nil"/>
                              <w:left w:val="nil"/>
                              <w:bottom w:val="nil"/>
                              <w:right w:val="nil"/>
                            </w:tcBorders>
                            <w:hideMark/>
                          </w:tcPr>
                          <w:p w14:paraId="67DF437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452" w:type="pct"/>
                            <w:tcBorders>
                              <w:top w:val="nil"/>
                              <w:left w:val="nil"/>
                              <w:bottom w:val="nil"/>
                              <w:right w:val="nil"/>
                            </w:tcBorders>
                            <w:hideMark/>
                          </w:tcPr>
                          <w:p w14:paraId="7B2BFC7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c>
                          <w:tcPr>
                            <w:tcW w:w="535" w:type="pct"/>
                            <w:tcBorders>
                              <w:top w:val="nil"/>
                              <w:left w:val="nil"/>
                              <w:bottom w:val="nil"/>
                              <w:right w:val="nil"/>
                            </w:tcBorders>
                            <w:hideMark/>
                          </w:tcPr>
                          <w:p w14:paraId="6181C2C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 -  </w:t>
                            </w:r>
                          </w:p>
                        </w:tc>
                      </w:tr>
                      <w:tr w:rsidR="003C2F53" w:rsidRPr="00057F31" w14:paraId="033BE4BE" w14:textId="77777777" w:rsidTr="00057F31">
                        <w:trPr>
                          <w:trHeight w:val="204"/>
                        </w:trPr>
                        <w:tc>
                          <w:tcPr>
                            <w:tcW w:w="1588" w:type="pct"/>
                            <w:tcBorders>
                              <w:top w:val="nil"/>
                              <w:left w:val="nil"/>
                              <w:bottom w:val="nil"/>
                              <w:right w:val="nil"/>
                            </w:tcBorders>
                            <w:noWrap/>
                            <w:hideMark/>
                          </w:tcPr>
                          <w:p w14:paraId="557B0FBD"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Payout Ratio %</w:t>
                            </w:r>
                          </w:p>
                        </w:tc>
                        <w:tc>
                          <w:tcPr>
                            <w:tcW w:w="452" w:type="pct"/>
                            <w:tcBorders>
                              <w:top w:val="nil"/>
                              <w:left w:val="nil"/>
                              <w:bottom w:val="nil"/>
                              <w:right w:val="nil"/>
                            </w:tcBorders>
                            <w:hideMark/>
                          </w:tcPr>
                          <w:p w14:paraId="6D17A5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28.4% </w:t>
                            </w:r>
                          </w:p>
                        </w:tc>
                        <w:tc>
                          <w:tcPr>
                            <w:tcW w:w="506" w:type="pct"/>
                            <w:tcBorders>
                              <w:top w:val="nil"/>
                              <w:left w:val="nil"/>
                              <w:bottom w:val="nil"/>
                              <w:right w:val="nil"/>
                            </w:tcBorders>
                            <w:hideMark/>
                          </w:tcPr>
                          <w:p w14:paraId="3F45F8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37.0% </w:t>
                            </w:r>
                          </w:p>
                        </w:tc>
                        <w:tc>
                          <w:tcPr>
                            <w:tcW w:w="506" w:type="pct"/>
                            <w:tcBorders>
                              <w:top w:val="nil"/>
                              <w:left w:val="nil"/>
                              <w:bottom w:val="nil"/>
                              <w:right w:val="nil"/>
                            </w:tcBorders>
                            <w:hideMark/>
                          </w:tcPr>
                          <w:p w14:paraId="7A49DAF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114.8% </w:t>
                            </w:r>
                          </w:p>
                        </w:tc>
                        <w:tc>
                          <w:tcPr>
                            <w:tcW w:w="506" w:type="pct"/>
                            <w:tcBorders>
                              <w:top w:val="nil"/>
                              <w:left w:val="nil"/>
                              <w:bottom w:val="nil"/>
                              <w:right w:val="nil"/>
                            </w:tcBorders>
                            <w:hideMark/>
                          </w:tcPr>
                          <w:p w14:paraId="7E624A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25.6% </w:t>
                            </w:r>
                          </w:p>
                        </w:tc>
                        <w:tc>
                          <w:tcPr>
                            <w:tcW w:w="452" w:type="pct"/>
                            <w:tcBorders>
                              <w:top w:val="nil"/>
                              <w:left w:val="nil"/>
                              <w:bottom w:val="nil"/>
                              <w:right w:val="nil"/>
                            </w:tcBorders>
                            <w:hideMark/>
                          </w:tcPr>
                          <w:p w14:paraId="1BD2601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19.9% </w:t>
                            </w:r>
                          </w:p>
                        </w:tc>
                        <w:tc>
                          <w:tcPr>
                            <w:tcW w:w="452" w:type="pct"/>
                            <w:tcBorders>
                              <w:top w:val="nil"/>
                              <w:left w:val="nil"/>
                              <w:bottom w:val="nil"/>
                              <w:right w:val="nil"/>
                            </w:tcBorders>
                            <w:hideMark/>
                          </w:tcPr>
                          <w:p w14:paraId="70BCD84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32.4% </w:t>
                            </w:r>
                          </w:p>
                        </w:tc>
                        <w:tc>
                          <w:tcPr>
                            <w:tcW w:w="535" w:type="pct"/>
                            <w:tcBorders>
                              <w:top w:val="nil"/>
                              <w:left w:val="nil"/>
                              <w:bottom w:val="nil"/>
                              <w:right w:val="nil"/>
                            </w:tcBorders>
                            <w:hideMark/>
                          </w:tcPr>
                          <w:p w14:paraId="17C1DCA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r>
                      <w:tr w:rsidR="003C2F53" w:rsidRPr="00057F31" w14:paraId="7805BE66" w14:textId="77777777" w:rsidTr="00057F31">
                        <w:trPr>
                          <w:trHeight w:val="204"/>
                        </w:trPr>
                        <w:tc>
                          <w:tcPr>
                            <w:tcW w:w="1588" w:type="pct"/>
                            <w:tcBorders>
                              <w:top w:val="nil"/>
                              <w:left w:val="nil"/>
                              <w:bottom w:val="nil"/>
                              <w:right w:val="nil"/>
                            </w:tcBorders>
                            <w:noWrap/>
                            <w:hideMark/>
                          </w:tcPr>
                          <w:p w14:paraId="2BC30539"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Shares per Depository Receipt</w:t>
                            </w:r>
                          </w:p>
                        </w:tc>
                        <w:tc>
                          <w:tcPr>
                            <w:tcW w:w="452" w:type="pct"/>
                            <w:tcBorders>
                              <w:top w:val="nil"/>
                              <w:left w:val="nil"/>
                              <w:bottom w:val="nil"/>
                              <w:right w:val="nil"/>
                            </w:tcBorders>
                            <w:hideMark/>
                          </w:tcPr>
                          <w:p w14:paraId="73AC180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2C22977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461A733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06" w:type="pct"/>
                            <w:tcBorders>
                              <w:top w:val="nil"/>
                              <w:left w:val="nil"/>
                              <w:bottom w:val="nil"/>
                              <w:right w:val="nil"/>
                            </w:tcBorders>
                            <w:hideMark/>
                          </w:tcPr>
                          <w:p w14:paraId="7FC413B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452" w:type="pct"/>
                            <w:tcBorders>
                              <w:top w:val="nil"/>
                              <w:left w:val="nil"/>
                              <w:bottom w:val="nil"/>
                              <w:right w:val="nil"/>
                            </w:tcBorders>
                            <w:hideMark/>
                          </w:tcPr>
                          <w:p w14:paraId="20367AC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452" w:type="pct"/>
                            <w:tcBorders>
                              <w:top w:val="nil"/>
                              <w:left w:val="nil"/>
                              <w:bottom w:val="nil"/>
                              <w:right w:val="nil"/>
                            </w:tcBorders>
                            <w:hideMark/>
                          </w:tcPr>
                          <w:p w14:paraId="650FF50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c>
                          <w:tcPr>
                            <w:tcW w:w="535" w:type="pct"/>
                            <w:tcBorders>
                              <w:top w:val="nil"/>
                              <w:left w:val="nil"/>
                              <w:bottom w:val="nil"/>
                              <w:right w:val="nil"/>
                            </w:tcBorders>
                            <w:hideMark/>
                          </w:tcPr>
                          <w:p w14:paraId="3038399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0.025 </w:t>
                            </w:r>
                          </w:p>
                        </w:tc>
                      </w:tr>
                      <w:tr w:rsidR="00057F31" w:rsidRPr="00057F31" w14:paraId="358AF99E" w14:textId="77777777" w:rsidTr="00057F31">
                        <w:trPr>
                          <w:trHeight w:val="204"/>
                        </w:trPr>
                        <w:tc>
                          <w:tcPr>
                            <w:tcW w:w="1588" w:type="pct"/>
                            <w:tcBorders>
                              <w:top w:val="nil"/>
                              <w:left w:val="nil"/>
                              <w:bottom w:val="nil"/>
                              <w:right w:val="nil"/>
                            </w:tcBorders>
                            <w:noWrap/>
                            <w:hideMark/>
                          </w:tcPr>
                          <w:p w14:paraId="0F6654E1"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r w:rsidRPr="00057F31">
                              <w:rPr>
                                <w:rFonts w:ascii="Cambria" w:eastAsia="Times New Roman" w:hAnsi="Cambria" w:cs="Arial"/>
                                <w:b/>
                                <w:bCs/>
                                <w:color w:val="000000"/>
                                <w:kern w:val="0"/>
                                <w:sz w:val="14"/>
                                <w:szCs w:val="14"/>
                                <w:lang w:eastAsia="en-IN"/>
                                <w14:ligatures w14:val="none"/>
                              </w:rPr>
                              <w:t>Supplemental Items</w:t>
                            </w:r>
                          </w:p>
                        </w:tc>
                        <w:tc>
                          <w:tcPr>
                            <w:tcW w:w="452" w:type="pct"/>
                            <w:tcBorders>
                              <w:top w:val="nil"/>
                              <w:left w:val="nil"/>
                              <w:bottom w:val="nil"/>
                              <w:right w:val="nil"/>
                            </w:tcBorders>
                            <w:noWrap/>
                            <w:hideMark/>
                          </w:tcPr>
                          <w:p w14:paraId="63D2FF19" w14:textId="77777777" w:rsidR="00057F31" w:rsidRPr="00057F31" w:rsidRDefault="00057F31" w:rsidP="00057F31">
                            <w:pPr>
                              <w:spacing w:after="0" w:line="240" w:lineRule="auto"/>
                              <w:rPr>
                                <w:rFonts w:ascii="Cambria" w:eastAsia="Times New Roman" w:hAnsi="Cambria" w:cs="Arial"/>
                                <w:b/>
                                <w:bCs/>
                                <w:color w:val="000000"/>
                                <w:kern w:val="0"/>
                                <w:sz w:val="14"/>
                                <w:szCs w:val="14"/>
                                <w:lang w:eastAsia="en-IN"/>
                                <w14:ligatures w14:val="none"/>
                              </w:rPr>
                            </w:pPr>
                          </w:p>
                        </w:tc>
                        <w:tc>
                          <w:tcPr>
                            <w:tcW w:w="506" w:type="pct"/>
                            <w:tcBorders>
                              <w:top w:val="nil"/>
                              <w:left w:val="nil"/>
                              <w:bottom w:val="nil"/>
                              <w:right w:val="nil"/>
                            </w:tcBorders>
                            <w:noWrap/>
                            <w:hideMark/>
                          </w:tcPr>
                          <w:p w14:paraId="3091473D"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5066AAE1"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06" w:type="pct"/>
                            <w:tcBorders>
                              <w:top w:val="nil"/>
                              <w:left w:val="nil"/>
                              <w:bottom w:val="nil"/>
                              <w:right w:val="nil"/>
                            </w:tcBorders>
                            <w:noWrap/>
                            <w:hideMark/>
                          </w:tcPr>
                          <w:p w14:paraId="0DB64AAA"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255B15D4"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452" w:type="pct"/>
                            <w:tcBorders>
                              <w:top w:val="nil"/>
                              <w:left w:val="nil"/>
                              <w:bottom w:val="nil"/>
                              <w:right w:val="nil"/>
                            </w:tcBorders>
                            <w:noWrap/>
                            <w:hideMark/>
                          </w:tcPr>
                          <w:p w14:paraId="32613717"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568B355C" w14:textId="77777777" w:rsidR="00057F31" w:rsidRPr="00057F31" w:rsidRDefault="00057F31" w:rsidP="00057F31">
                            <w:pPr>
                              <w:spacing w:after="0" w:line="240" w:lineRule="auto"/>
                              <w:rPr>
                                <w:rFonts w:ascii="Cambria" w:eastAsia="Times New Roman" w:hAnsi="Cambria" w:cs="Times New Roman"/>
                                <w:kern w:val="0"/>
                                <w:sz w:val="14"/>
                                <w:szCs w:val="14"/>
                                <w:lang w:eastAsia="en-IN"/>
                                <w14:ligatures w14:val="none"/>
                              </w:rPr>
                            </w:pPr>
                          </w:p>
                        </w:tc>
                      </w:tr>
                      <w:tr w:rsidR="003C2F53" w:rsidRPr="00057F31" w14:paraId="224B34E3" w14:textId="77777777" w:rsidTr="00057F31">
                        <w:trPr>
                          <w:trHeight w:val="204"/>
                        </w:trPr>
                        <w:tc>
                          <w:tcPr>
                            <w:tcW w:w="1588" w:type="pct"/>
                            <w:tcBorders>
                              <w:top w:val="nil"/>
                              <w:left w:val="nil"/>
                              <w:bottom w:val="nil"/>
                              <w:right w:val="nil"/>
                            </w:tcBorders>
                            <w:noWrap/>
                            <w:hideMark/>
                          </w:tcPr>
                          <w:p w14:paraId="2F96EB2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EBITDA</w:t>
                            </w:r>
                          </w:p>
                        </w:tc>
                        <w:tc>
                          <w:tcPr>
                            <w:tcW w:w="452" w:type="pct"/>
                            <w:tcBorders>
                              <w:top w:val="nil"/>
                              <w:left w:val="nil"/>
                              <w:bottom w:val="nil"/>
                              <w:right w:val="nil"/>
                            </w:tcBorders>
                            <w:hideMark/>
                          </w:tcPr>
                          <w:p w14:paraId="4BC81F5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6.2 </w:t>
                            </w:r>
                          </w:p>
                        </w:tc>
                        <w:tc>
                          <w:tcPr>
                            <w:tcW w:w="506" w:type="pct"/>
                            <w:tcBorders>
                              <w:top w:val="nil"/>
                              <w:left w:val="nil"/>
                              <w:bottom w:val="nil"/>
                              <w:right w:val="nil"/>
                            </w:tcBorders>
                            <w:hideMark/>
                          </w:tcPr>
                          <w:p w14:paraId="576652B2"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7.1 </w:t>
                            </w:r>
                          </w:p>
                        </w:tc>
                        <w:tc>
                          <w:tcPr>
                            <w:tcW w:w="506" w:type="pct"/>
                            <w:tcBorders>
                              <w:top w:val="nil"/>
                              <w:left w:val="nil"/>
                              <w:bottom w:val="nil"/>
                              <w:right w:val="nil"/>
                            </w:tcBorders>
                            <w:hideMark/>
                          </w:tcPr>
                          <w:p w14:paraId="0B7F629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8.6 </w:t>
                            </w:r>
                          </w:p>
                        </w:tc>
                        <w:tc>
                          <w:tcPr>
                            <w:tcW w:w="506" w:type="pct"/>
                            <w:tcBorders>
                              <w:top w:val="nil"/>
                              <w:left w:val="nil"/>
                              <w:bottom w:val="nil"/>
                              <w:right w:val="nil"/>
                            </w:tcBorders>
                            <w:hideMark/>
                          </w:tcPr>
                          <w:p w14:paraId="30F4F7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c>
                          <w:tcPr>
                            <w:tcW w:w="452" w:type="pct"/>
                            <w:tcBorders>
                              <w:top w:val="nil"/>
                              <w:left w:val="nil"/>
                              <w:bottom w:val="nil"/>
                              <w:right w:val="nil"/>
                            </w:tcBorders>
                            <w:hideMark/>
                          </w:tcPr>
                          <w:p w14:paraId="40C2AEC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10.6 </w:t>
                            </w:r>
                          </w:p>
                        </w:tc>
                        <w:tc>
                          <w:tcPr>
                            <w:tcW w:w="452" w:type="pct"/>
                            <w:tcBorders>
                              <w:top w:val="nil"/>
                              <w:left w:val="nil"/>
                              <w:bottom w:val="nil"/>
                              <w:right w:val="nil"/>
                            </w:tcBorders>
                            <w:hideMark/>
                          </w:tcPr>
                          <w:p w14:paraId="07B916F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11.5 </w:t>
                            </w:r>
                          </w:p>
                        </w:tc>
                        <w:tc>
                          <w:tcPr>
                            <w:tcW w:w="535" w:type="pct"/>
                            <w:tcBorders>
                              <w:top w:val="nil"/>
                              <w:left w:val="nil"/>
                              <w:bottom w:val="nil"/>
                              <w:right w:val="nil"/>
                            </w:tcBorders>
                            <w:hideMark/>
                          </w:tcPr>
                          <w:p w14:paraId="62B3AEF1"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12.1 </w:t>
                            </w:r>
                          </w:p>
                        </w:tc>
                      </w:tr>
                      <w:tr w:rsidR="003C2F53" w:rsidRPr="00057F31" w14:paraId="53EEBE0B" w14:textId="77777777" w:rsidTr="00057F31">
                        <w:trPr>
                          <w:trHeight w:val="204"/>
                        </w:trPr>
                        <w:tc>
                          <w:tcPr>
                            <w:tcW w:w="1588" w:type="pct"/>
                            <w:tcBorders>
                              <w:top w:val="nil"/>
                              <w:left w:val="nil"/>
                              <w:bottom w:val="nil"/>
                              <w:right w:val="nil"/>
                            </w:tcBorders>
                            <w:noWrap/>
                            <w:hideMark/>
                          </w:tcPr>
                          <w:p w14:paraId="3A389A11"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EBITA</w:t>
                            </w:r>
                          </w:p>
                        </w:tc>
                        <w:tc>
                          <w:tcPr>
                            <w:tcW w:w="452" w:type="pct"/>
                            <w:tcBorders>
                              <w:top w:val="nil"/>
                              <w:left w:val="nil"/>
                              <w:bottom w:val="nil"/>
                              <w:right w:val="nil"/>
                            </w:tcBorders>
                            <w:hideMark/>
                          </w:tcPr>
                          <w:p w14:paraId="287B617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4.7 </w:t>
                            </w:r>
                          </w:p>
                        </w:tc>
                        <w:tc>
                          <w:tcPr>
                            <w:tcW w:w="506" w:type="pct"/>
                            <w:tcBorders>
                              <w:top w:val="nil"/>
                              <w:left w:val="nil"/>
                              <w:bottom w:val="nil"/>
                              <w:right w:val="nil"/>
                            </w:tcBorders>
                            <w:hideMark/>
                          </w:tcPr>
                          <w:p w14:paraId="205692D5"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5.4 </w:t>
                            </w:r>
                          </w:p>
                        </w:tc>
                        <w:tc>
                          <w:tcPr>
                            <w:tcW w:w="506" w:type="pct"/>
                            <w:tcBorders>
                              <w:top w:val="nil"/>
                              <w:left w:val="nil"/>
                              <w:bottom w:val="nil"/>
                              <w:right w:val="nil"/>
                            </w:tcBorders>
                            <w:hideMark/>
                          </w:tcPr>
                          <w:p w14:paraId="344BBA3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6.8 </w:t>
                            </w:r>
                          </w:p>
                        </w:tc>
                        <w:tc>
                          <w:tcPr>
                            <w:tcW w:w="506" w:type="pct"/>
                            <w:tcBorders>
                              <w:top w:val="nil"/>
                              <w:left w:val="nil"/>
                              <w:bottom w:val="nil"/>
                              <w:right w:val="nil"/>
                            </w:tcBorders>
                            <w:hideMark/>
                          </w:tcPr>
                          <w:p w14:paraId="58348D3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7.9 </w:t>
                            </w:r>
                          </w:p>
                        </w:tc>
                        <w:tc>
                          <w:tcPr>
                            <w:tcW w:w="452" w:type="pct"/>
                            <w:tcBorders>
                              <w:top w:val="nil"/>
                              <w:left w:val="nil"/>
                              <w:bottom w:val="nil"/>
                              <w:right w:val="nil"/>
                            </w:tcBorders>
                            <w:hideMark/>
                          </w:tcPr>
                          <w:p w14:paraId="731AC67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8.5 </w:t>
                            </w:r>
                          </w:p>
                        </w:tc>
                        <w:tc>
                          <w:tcPr>
                            <w:tcW w:w="452" w:type="pct"/>
                            <w:tcBorders>
                              <w:top w:val="nil"/>
                              <w:left w:val="nil"/>
                              <w:bottom w:val="nil"/>
                              <w:right w:val="nil"/>
                            </w:tcBorders>
                            <w:hideMark/>
                          </w:tcPr>
                          <w:p w14:paraId="653C4EEB"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 </w:t>
                            </w:r>
                          </w:p>
                        </w:tc>
                        <w:tc>
                          <w:tcPr>
                            <w:tcW w:w="535" w:type="pct"/>
                            <w:tcBorders>
                              <w:top w:val="nil"/>
                              <w:left w:val="nil"/>
                              <w:bottom w:val="nil"/>
                              <w:right w:val="nil"/>
                            </w:tcBorders>
                            <w:hideMark/>
                          </w:tcPr>
                          <w:p w14:paraId="55AC741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r>
                      <w:tr w:rsidR="003C2F53" w:rsidRPr="00057F31" w14:paraId="48B031B6" w14:textId="77777777" w:rsidTr="00057F31">
                        <w:trPr>
                          <w:trHeight w:val="204"/>
                        </w:trPr>
                        <w:tc>
                          <w:tcPr>
                            <w:tcW w:w="1588" w:type="pct"/>
                            <w:tcBorders>
                              <w:top w:val="nil"/>
                              <w:left w:val="nil"/>
                              <w:bottom w:val="nil"/>
                              <w:right w:val="nil"/>
                            </w:tcBorders>
                            <w:noWrap/>
                            <w:hideMark/>
                          </w:tcPr>
                          <w:p w14:paraId="08FD9978"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w:t>
                            </w:r>
                          </w:p>
                        </w:tc>
                        <w:tc>
                          <w:tcPr>
                            <w:tcW w:w="452" w:type="pct"/>
                            <w:tcBorders>
                              <w:top w:val="nil"/>
                              <w:left w:val="nil"/>
                              <w:bottom w:val="nil"/>
                              <w:right w:val="nil"/>
                            </w:tcBorders>
                            <w:hideMark/>
                          </w:tcPr>
                          <w:p w14:paraId="03F55289"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4.7 </w:t>
                            </w:r>
                          </w:p>
                        </w:tc>
                        <w:tc>
                          <w:tcPr>
                            <w:tcW w:w="506" w:type="pct"/>
                            <w:tcBorders>
                              <w:top w:val="nil"/>
                              <w:left w:val="nil"/>
                              <w:bottom w:val="nil"/>
                              <w:right w:val="nil"/>
                            </w:tcBorders>
                            <w:hideMark/>
                          </w:tcPr>
                          <w:p w14:paraId="756BFF40"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5.4 </w:t>
                            </w:r>
                          </w:p>
                        </w:tc>
                        <w:tc>
                          <w:tcPr>
                            <w:tcW w:w="506" w:type="pct"/>
                            <w:tcBorders>
                              <w:top w:val="nil"/>
                              <w:left w:val="nil"/>
                              <w:bottom w:val="nil"/>
                              <w:right w:val="nil"/>
                            </w:tcBorders>
                            <w:hideMark/>
                          </w:tcPr>
                          <w:p w14:paraId="4B2C1DE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6.8 </w:t>
                            </w:r>
                          </w:p>
                        </w:tc>
                        <w:tc>
                          <w:tcPr>
                            <w:tcW w:w="506" w:type="pct"/>
                            <w:tcBorders>
                              <w:top w:val="nil"/>
                              <w:left w:val="nil"/>
                              <w:bottom w:val="nil"/>
                              <w:right w:val="nil"/>
                            </w:tcBorders>
                            <w:hideMark/>
                          </w:tcPr>
                          <w:p w14:paraId="7684173C"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7.9 </w:t>
                            </w:r>
                          </w:p>
                        </w:tc>
                        <w:tc>
                          <w:tcPr>
                            <w:tcW w:w="452" w:type="pct"/>
                            <w:tcBorders>
                              <w:top w:val="nil"/>
                              <w:left w:val="nil"/>
                              <w:bottom w:val="nil"/>
                              <w:right w:val="nil"/>
                            </w:tcBorders>
                            <w:hideMark/>
                          </w:tcPr>
                          <w:p w14:paraId="447C3D5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8.5 </w:t>
                            </w:r>
                          </w:p>
                        </w:tc>
                        <w:tc>
                          <w:tcPr>
                            <w:tcW w:w="452" w:type="pct"/>
                            <w:tcBorders>
                              <w:top w:val="nil"/>
                              <w:left w:val="nil"/>
                              <w:bottom w:val="nil"/>
                              <w:right w:val="nil"/>
                            </w:tcBorders>
                            <w:hideMark/>
                          </w:tcPr>
                          <w:p w14:paraId="6D4A768A"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9.3 </w:t>
                            </w:r>
                          </w:p>
                        </w:tc>
                        <w:tc>
                          <w:tcPr>
                            <w:tcW w:w="535" w:type="pct"/>
                            <w:tcBorders>
                              <w:top w:val="nil"/>
                              <w:left w:val="nil"/>
                              <w:bottom w:val="nil"/>
                              <w:right w:val="nil"/>
                            </w:tcBorders>
                            <w:hideMark/>
                          </w:tcPr>
                          <w:p w14:paraId="5CB28BF6"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9.8 </w:t>
                            </w:r>
                          </w:p>
                        </w:tc>
                      </w:tr>
                      <w:tr w:rsidR="003C2F53" w:rsidRPr="00057F31" w14:paraId="2DDB5808" w14:textId="77777777" w:rsidTr="00057F31">
                        <w:trPr>
                          <w:trHeight w:val="204"/>
                        </w:trPr>
                        <w:tc>
                          <w:tcPr>
                            <w:tcW w:w="1588" w:type="pct"/>
                            <w:tcBorders>
                              <w:top w:val="nil"/>
                              <w:left w:val="nil"/>
                              <w:bottom w:val="nil"/>
                              <w:right w:val="nil"/>
                            </w:tcBorders>
                            <w:noWrap/>
                            <w:hideMark/>
                          </w:tcPr>
                          <w:p w14:paraId="2A6FE8B0" w14:textId="77777777" w:rsidR="00057F31" w:rsidRPr="00057F31" w:rsidRDefault="00057F31" w:rsidP="00057F31">
                            <w:pPr>
                              <w:spacing w:after="0" w:line="240" w:lineRule="auto"/>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EBITDAR</w:t>
                            </w:r>
                          </w:p>
                        </w:tc>
                        <w:tc>
                          <w:tcPr>
                            <w:tcW w:w="452" w:type="pct"/>
                            <w:tcBorders>
                              <w:top w:val="nil"/>
                              <w:left w:val="nil"/>
                              <w:bottom w:val="nil"/>
                              <w:right w:val="nil"/>
                            </w:tcBorders>
                            <w:hideMark/>
                          </w:tcPr>
                          <w:p w14:paraId="223E6C0D"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c>
                          <w:tcPr>
                            <w:tcW w:w="506" w:type="pct"/>
                            <w:tcBorders>
                              <w:top w:val="nil"/>
                              <w:left w:val="nil"/>
                              <w:bottom w:val="nil"/>
                              <w:right w:val="nil"/>
                            </w:tcBorders>
                            <w:hideMark/>
                          </w:tcPr>
                          <w:p w14:paraId="4FC3E678"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7.4 </w:t>
                            </w:r>
                          </w:p>
                        </w:tc>
                        <w:tc>
                          <w:tcPr>
                            <w:tcW w:w="506" w:type="pct"/>
                            <w:tcBorders>
                              <w:top w:val="nil"/>
                              <w:left w:val="nil"/>
                              <w:bottom w:val="nil"/>
                              <w:right w:val="nil"/>
                            </w:tcBorders>
                            <w:hideMark/>
                          </w:tcPr>
                          <w:p w14:paraId="296D68D4"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9.0 </w:t>
                            </w:r>
                          </w:p>
                        </w:tc>
                        <w:tc>
                          <w:tcPr>
                            <w:tcW w:w="506" w:type="pct"/>
                            <w:tcBorders>
                              <w:top w:val="nil"/>
                              <w:left w:val="nil"/>
                              <w:bottom w:val="nil"/>
                              <w:right w:val="nil"/>
                            </w:tcBorders>
                            <w:hideMark/>
                          </w:tcPr>
                          <w:p w14:paraId="655B61AF"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10.3 </w:t>
                            </w:r>
                          </w:p>
                        </w:tc>
                        <w:tc>
                          <w:tcPr>
                            <w:tcW w:w="452" w:type="pct"/>
                            <w:tcBorders>
                              <w:top w:val="nil"/>
                              <w:left w:val="nil"/>
                              <w:bottom w:val="nil"/>
                              <w:right w:val="nil"/>
                            </w:tcBorders>
                            <w:hideMark/>
                          </w:tcPr>
                          <w:p w14:paraId="7DBF5A27"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11.1 </w:t>
                            </w:r>
                          </w:p>
                        </w:tc>
                        <w:tc>
                          <w:tcPr>
                            <w:tcW w:w="452" w:type="pct"/>
                            <w:tcBorders>
                              <w:top w:val="nil"/>
                              <w:left w:val="nil"/>
                              <w:bottom w:val="nil"/>
                              <w:right w:val="nil"/>
                            </w:tcBorders>
                            <w:hideMark/>
                          </w:tcPr>
                          <w:p w14:paraId="30F2735E"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 xml:space="preserve">                12.0 </w:t>
                            </w:r>
                          </w:p>
                        </w:tc>
                        <w:tc>
                          <w:tcPr>
                            <w:tcW w:w="535" w:type="pct"/>
                            <w:tcBorders>
                              <w:top w:val="nil"/>
                              <w:left w:val="nil"/>
                              <w:bottom w:val="nil"/>
                              <w:right w:val="nil"/>
                            </w:tcBorders>
                            <w:hideMark/>
                          </w:tcPr>
                          <w:p w14:paraId="6040B7E3" w14:textId="77777777" w:rsidR="00057F31" w:rsidRPr="00057F31" w:rsidRDefault="00057F31" w:rsidP="00057F31">
                            <w:pPr>
                              <w:spacing w:after="0" w:line="240" w:lineRule="auto"/>
                              <w:jc w:val="right"/>
                              <w:rPr>
                                <w:rFonts w:ascii="Cambria" w:eastAsia="Times New Roman" w:hAnsi="Cambria" w:cs="Arial"/>
                                <w:color w:val="000000"/>
                                <w:kern w:val="0"/>
                                <w:sz w:val="14"/>
                                <w:szCs w:val="14"/>
                                <w:lang w:eastAsia="en-IN"/>
                                <w14:ligatures w14:val="none"/>
                              </w:rPr>
                            </w:pPr>
                            <w:r w:rsidRPr="00057F31">
                              <w:rPr>
                                <w:rFonts w:ascii="Cambria" w:eastAsia="Times New Roman" w:hAnsi="Cambria" w:cs="Arial"/>
                                <w:color w:val="000000"/>
                                <w:kern w:val="0"/>
                                <w:sz w:val="14"/>
                                <w:szCs w:val="14"/>
                                <w:lang w:eastAsia="en-IN"/>
                                <w14:ligatures w14:val="none"/>
                              </w:rPr>
                              <w:t>NA</w:t>
                            </w:r>
                          </w:p>
                        </w:tc>
                      </w:tr>
                    </w:tbl>
                    <w:p w14:paraId="0A031735" w14:textId="3001D045" w:rsidR="00625BED" w:rsidRDefault="00625BED"/>
                  </w:txbxContent>
                </v:textbox>
                <w10:wrap type="square" anchorx="margin"/>
              </v:shape>
            </w:pict>
          </mc:Fallback>
        </mc:AlternateContent>
      </w:r>
      <w:r w:rsidR="00625BED" w:rsidRPr="00456405">
        <w:rPr>
          <w:rFonts w:ascii="Cambria" w:hAnsi="Cambria"/>
          <w:sz w:val="24"/>
          <w:szCs w:val="24"/>
        </w:rPr>
        <w:br/>
      </w:r>
      <w:r w:rsidR="008C1A62" w:rsidRPr="00456405">
        <w:rPr>
          <w:rFonts w:ascii="Cambria" w:hAnsi="Cambria"/>
          <w:noProof/>
          <w:sz w:val="24"/>
          <w:szCs w:val="24"/>
        </w:rPr>
        <w:lastRenderedPageBreak/>
        <mc:AlternateContent>
          <mc:Choice Requires="wps">
            <w:drawing>
              <wp:anchor distT="45720" distB="45720" distL="114300" distR="114300" simplePos="0" relativeHeight="251716608" behindDoc="0" locked="0" layoutInCell="1" allowOverlap="1" wp14:anchorId="7AD0B977" wp14:editId="758519DC">
                <wp:simplePos x="0" y="0"/>
                <wp:positionH relativeFrom="margin">
                  <wp:align>left</wp:align>
                </wp:positionH>
                <wp:positionV relativeFrom="paragraph">
                  <wp:posOffset>0</wp:posOffset>
                </wp:positionV>
                <wp:extent cx="6164580" cy="8732520"/>
                <wp:effectExtent l="0" t="0" r="7620" b="0"/>
                <wp:wrapSquare wrapText="bothSides"/>
                <wp:docPr id="1279919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873252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385"/>
                              <w:gridCol w:w="1005"/>
                              <w:gridCol w:w="1005"/>
                              <w:gridCol w:w="1005"/>
                              <w:gridCol w:w="1005"/>
                              <w:gridCol w:w="1005"/>
                              <w:gridCol w:w="1005"/>
                              <w:gridCol w:w="1006"/>
                            </w:tblGrid>
                            <w:tr w:rsidR="008C1A62" w:rsidRPr="008C1A62" w14:paraId="6E0EEAC5" w14:textId="77777777" w:rsidTr="008C1A62">
                              <w:trPr>
                                <w:trHeight w:val="324"/>
                              </w:trPr>
                              <w:tc>
                                <w:tcPr>
                                  <w:tcW w:w="4427" w:type="pct"/>
                                  <w:gridSpan w:val="7"/>
                                  <w:tcBorders>
                                    <w:top w:val="nil"/>
                                    <w:left w:val="nil"/>
                                    <w:bottom w:val="nil"/>
                                    <w:right w:val="nil"/>
                                  </w:tcBorders>
                                  <w:noWrap/>
                                  <w:vAlign w:val="bottom"/>
                                  <w:hideMark/>
                                </w:tcPr>
                                <w:p w14:paraId="2EE5975E"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Costco Wholesale Corporation (</w:t>
                                  </w:r>
                                  <w:r w:rsidRPr="008C1A62">
                                    <w:rPr>
                                      <w:rFonts w:ascii="Cambria" w:eastAsia="Times New Roman" w:hAnsi="Cambria" w:cs="Arial"/>
                                      <w:b/>
                                      <w:bCs/>
                                      <w:color w:val="000000"/>
                                      <w:kern w:val="0"/>
                                      <w:sz w:val="14"/>
                                      <w:szCs w:val="14"/>
                                      <w:lang w:eastAsia="en-IN"/>
                                      <w14:ligatures w14:val="none"/>
                                    </w:rPr>
                                    <w:t>NasdaqGS:COST) &gt; Financials &gt; Balance Sheet</w:t>
                                  </w:r>
                                </w:p>
                              </w:tc>
                              <w:tc>
                                <w:tcPr>
                                  <w:tcW w:w="573" w:type="pct"/>
                                  <w:tcBorders>
                                    <w:top w:val="nil"/>
                                    <w:left w:val="nil"/>
                                    <w:bottom w:val="nil"/>
                                    <w:right w:val="nil"/>
                                  </w:tcBorders>
                                  <w:noWrap/>
                                  <w:vAlign w:val="bottom"/>
                                  <w:hideMark/>
                                </w:tcPr>
                                <w:p w14:paraId="38ECC35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r>
                            <w:tr w:rsidR="008C1A62" w:rsidRPr="008C1A62" w14:paraId="0842E9E8" w14:textId="77777777" w:rsidTr="008C1A62">
                              <w:trPr>
                                <w:trHeight w:val="204"/>
                              </w:trPr>
                              <w:tc>
                                <w:tcPr>
                                  <w:tcW w:w="989" w:type="pct"/>
                                  <w:tcBorders>
                                    <w:top w:val="nil"/>
                                    <w:left w:val="nil"/>
                                    <w:bottom w:val="nil"/>
                                    <w:right w:val="nil"/>
                                  </w:tcBorders>
                                  <w:shd w:val="clear" w:color="000000" w:fill="003366"/>
                                  <w:noWrap/>
                                  <w:vAlign w:val="bottom"/>
                                  <w:hideMark/>
                                </w:tcPr>
                                <w:p w14:paraId="4D5185AC"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Balance Sheet</w:t>
                                  </w:r>
                                </w:p>
                              </w:tc>
                              <w:tc>
                                <w:tcPr>
                                  <w:tcW w:w="573" w:type="pct"/>
                                  <w:tcBorders>
                                    <w:top w:val="nil"/>
                                    <w:left w:val="nil"/>
                                    <w:bottom w:val="nil"/>
                                    <w:right w:val="nil"/>
                                  </w:tcBorders>
                                  <w:shd w:val="clear" w:color="000000" w:fill="003366"/>
                                  <w:noWrap/>
                                  <w:vAlign w:val="bottom"/>
                                  <w:hideMark/>
                                </w:tcPr>
                                <w:p w14:paraId="4B81E5E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515EE27B"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40236EA9"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2A592B67"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39E2D85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4E939911"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0F63F1E0"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r>
                            <w:tr w:rsidR="008C1A62" w:rsidRPr="008C1A62" w14:paraId="4BD1A0BA" w14:textId="77777777" w:rsidTr="008C1A62">
                              <w:trPr>
                                <w:trHeight w:val="408"/>
                              </w:trPr>
                              <w:tc>
                                <w:tcPr>
                                  <w:tcW w:w="989" w:type="pct"/>
                                  <w:tcBorders>
                                    <w:top w:val="nil"/>
                                    <w:left w:val="nil"/>
                                    <w:bottom w:val="nil"/>
                                    <w:right w:val="nil"/>
                                  </w:tcBorders>
                                  <w:shd w:val="clear" w:color="000000" w:fill="F0F0DC"/>
                                  <w:vAlign w:val="bottom"/>
                                  <w:hideMark/>
                                </w:tcPr>
                                <w:p w14:paraId="0A14205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Balance Sheet as of:</w:t>
                                  </w:r>
                                </w:p>
                              </w:tc>
                              <w:tc>
                                <w:tcPr>
                                  <w:tcW w:w="573" w:type="pct"/>
                                  <w:tcBorders>
                                    <w:top w:val="nil"/>
                                    <w:left w:val="nil"/>
                                    <w:bottom w:val="nil"/>
                                    <w:right w:val="nil"/>
                                  </w:tcBorders>
                                  <w:shd w:val="clear" w:color="000000" w:fill="F0F0DC"/>
                                  <w:vAlign w:val="bottom"/>
                                  <w:hideMark/>
                                </w:tcPr>
                                <w:p w14:paraId="412A09F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Sep-01-2019</w:t>
                                  </w:r>
                                </w:p>
                              </w:tc>
                              <w:tc>
                                <w:tcPr>
                                  <w:tcW w:w="573" w:type="pct"/>
                                  <w:tcBorders>
                                    <w:top w:val="nil"/>
                                    <w:left w:val="nil"/>
                                    <w:bottom w:val="nil"/>
                                    <w:right w:val="nil"/>
                                  </w:tcBorders>
                                  <w:shd w:val="clear" w:color="000000" w:fill="F0F0DC"/>
                                  <w:vAlign w:val="bottom"/>
                                  <w:hideMark/>
                                </w:tcPr>
                                <w:p w14:paraId="04CC35F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Aug-30-2020</w:t>
                                  </w:r>
                                </w:p>
                              </w:tc>
                              <w:tc>
                                <w:tcPr>
                                  <w:tcW w:w="573" w:type="pct"/>
                                  <w:tcBorders>
                                    <w:top w:val="nil"/>
                                    <w:left w:val="nil"/>
                                    <w:bottom w:val="nil"/>
                                    <w:right w:val="nil"/>
                                  </w:tcBorders>
                                  <w:shd w:val="clear" w:color="000000" w:fill="F0F0DC"/>
                                  <w:vAlign w:val="bottom"/>
                                  <w:hideMark/>
                                </w:tcPr>
                                <w:p w14:paraId="293E652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Aug-29-2021</w:t>
                                  </w:r>
                                </w:p>
                              </w:tc>
                              <w:tc>
                                <w:tcPr>
                                  <w:tcW w:w="573" w:type="pct"/>
                                  <w:tcBorders>
                                    <w:top w:val="nil"/>
                                    <w:left w:val="nil"/>
                                    <w:bottom w:val="nil"/>
                                    <w:right w:val="nil"/>
                                  </w:tcBorders>
                                  <w:shd w:val="clear" w:color="000000" w:fill="F0F0DC"/>
                                  <w:vAlign w:val="bottom"/>
                                  <w:hideMark/>
                                </w:tcPr>
                                <w:p w14:paraId="59BA38C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Aug-28-2022</w:t>
                                  </w:r>
                                </w:p>
                              </w:tc>
                              <w:tc>
                                <w:tcPr>
                                  <w:tcW w:w="573" w:type="pct"/>
                                  <w:tcBorders>
                                    <w:top w:val="nil"/>
                                    <w:left w:val="nil"/>
                                    <w:bottom w:val="nil"/>
                                    <w:right w:val="nil"/>
                                  </w:tcBorders>
                                  <w:shd w:val="clear" w:color="000000" w:fill="F0F0DC"/>
                                  <w:vAlign w:val="bottom"/>
                                  <w:hideMark/>
                                </w:tcPr>
                                <w:p w14:paraId="5821981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Sep-03-2023</w:t>
                                  </w:r>
                                </w:p>
                              </w:tc>
                              <w:tc>
                                <w:tcPr>
                                  <w:tcW w:w="573" w:type="pct"/>
                                  <w:tcBorders>
                                    <w:top w:val="nil"/>
                                    <w:left w:val="nil"/>
                                    <w:bottom w:val="nil"/>
                                    <w:right w:val="nil"/>
                                  </w:tcBorders>
                                  <w:shd w:val="clear" w:color="000000" w:fill="F0F0DC"/>
                                  <w:vAlign w:val="bottom"/>
                                  <w:hideMark/>
                                </w:tcPr>
                                <w:p w14:paraId="1BD57E9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Sep-01-2024</w:t>
                                  </w:r>
                                </w:p>
                              </w:tc>
                              <w:tc>
                                <w:tcPr>
                                  <w:tcW w:w="573" w:type="pct"/>
                                  <w:tcBorders>
                                    <w:top w:val="nil"/>
                                    <w:left w:val="nil"/>
                                    <w:bottom w:val="nil"/>
                                    <w:right w:val="nil"/>
                                  </w:tcBorders>
                                  <w:shd w:val="clear" w:color="000000" w:fill="F0F0DC"/>
                                  <w:vAlign w:val="bottom"/>
                                  <w:hideMark/>
                                </w:tcPr>
                                <w:p w14:paraId="6866D3A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Press Release</w:t>
                                  </w:r>
                                  <w:r w:rsidRPr="008C1A62">
                                    <w:rPr>
                                      <w:rFonts w:ascii="Cambria" w:eastAsia="Times New Roman" w:hAnsi="Cambria" w:cs="Arial"/>
                                      <w:b/>
                                      <w:bCs/>
                                      <w:color w:val="000000"/>
                                      <w:kern w:val="0"/>
                                      <w:sz w:val="14"/>
                                      <w:szCs w:val="14"/>
                                      <w:lang w:eastAsia="en-IN"/>
                                      <w14:ligatures w14:val="none"/>
                                    </w:rPr>
                                    <w:br/>
                                    <w:t>Feb-16-2025</w:t>
                                  </w:r>
                                </w:p>
                              </w:tc>
                            </w:tr>
                            <w:tr w:rsidR="008C1A62" w:rsidRPr="008C1A62" w14:paraId="2E0196E4" w14:textId="77777777" w:rsidTr="008C1A62">
                              <w:trPr>
                                <w:trHeight w:val="204"/>
                              </w:trPr>
                              <w:tc>
                                <w:tcPr>
                                  <w:tcW w:w="989" w:type="pct"/>
                                  <w:tcBorders>
                                    <w:top w:val="nil"/>
                                    <w:left w:val="nil"/>
                                    <w:bottom w:val="nil"/>
                                    <w:right w:val="nil"/>
                                  </w:tcBorders>
                                  <w:shd w:val="clear" w:color="000000" w:fill="F0F0DC"/>
                                  <w:vAlign w:val="bottom"/>
                                  <w:hideMark/>
                                </w:tcPr>
                                <w:p w14:paraId="440FE639" w14:textId="77777777" w:rsidR="008C1A62" w:rsidRPr="008C1A62" w:rsidRDefault="008C1A62" w:rsidP="008C1A62">
                                  <w:pPr>
                                    <w:spacing w:after="0" w:line="240" w:lineRule="auto"/>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Currency</w:t>
                                  </w:r>
                                </w:p>
                              </w:tc>
                              <w:tc>
                                <w:tcPr>
                                  <w:tcW w:w="573" w:type="pct"/>
                                  <w:tcBorders>
                                    <w:top w:val="nil"/>
                                    <w:left w:val="nil"/>
                                    <w:bottom w:val="nil"/>
                                    <w:right w:val="nil"/>
                                  </w:tcBorders>
                                  <w:shd w:val="clear" w:color="000000" w:fill="F0F0DC"/>
                                  <w:vAlign w:val="bottom"/>
                                  <w:hideMark/>
                                </w:tcPr>
                                <w:p w14:paraId="30FFECB4"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6528809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5DDB1553"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38CDE885"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4E5E0836"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086DEDEA"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7C4CEBD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r>
                            <w:tr w:rsidR="008C1A62" w:rsidRPr="008C1A62" w14:paraId="0CFB2FB0" w14:textId="77777777" w:rsidTr="008C1A62">
                              <w:trPr>
                                <w:trHeight w:val="204"/>
                              </w:trPr>
                              <w:tc>
                                <w:tcPr>
                                  <w:tcW w:w="989" w:type="pct"/>
                                  <w:tcBorders>
                                    <w:top w:val="nil"/>
                                    <w:left w:val="nil"/>
                                    <w:bottom w:val="nil"/>
                                    <w:right w:val="nil"/>
                                  </w:tcBorders>
                                  <w:noWrap/>
                                  <w:hideMark/>
                                </w:tcPr>
                                <w:p w14:paraId="0E066A65"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ASSETS</w:t>
                                  </w:r>
                                </w:p>
                              </w:tc>
                              <w:tc>
                                <w:tcPr>
                                  <w:tcW w:w="573" w:type="pct"/>
                                  <w:tcBorders>
                                    <w:top w:val="nil"/>
                                    <w:left w:val="nil"/>
                                    <w:bottom w:val="nil"/>
                                    <w:right w:val="nil"/>
                                  </w:tcBorders>
                                  <w:noWrap/>
                                  <w:hideMark/>
                                </w:tcPr>
                                <w:p w14:paraId="272C55B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c>
                                <w:tcPr>
                                  <w:tcW w:w="573" w:type="pct"/>
                                  <w:tcBorders>
                                    <w:top w:val="nil"/>
                                    <w:left w:val="nil"/>
                                    <w:bottom w:val="nil"/>
                                    <w:right w:val="nil"/>
                                  </w:tcBorders>
                                  <w:noWrap/>
                                  <w:hideMark/>
                                </w:tcPr>
                                <w:p w14:paraId="6AE05F8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CBEDF3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018735C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B25D3A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53488E7"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B74DAD0"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r>
                            <w:tr w:rsidR="008C1A62" w:rsidRPr="008C1A62" w14:paraId="665187FB" w14:textId="77777777" w:rsidTr="008C1A62">
                              <w:trPr>
                                <w:trHeight w:val="204"/>
                              </w:trPr>
                              <w:tc>
                                <w:tcPr>
                                  <w:tcW w:w="989" w:type="pct"/>
                                  <w:tcBorders>
                                    <w:top w:val="nil"/>
                                    <w:left w:val="nil"/>
                                    <w:bottom w:val="nil"/>
                                    <w:right w:val="nil"/>
                                  </w:tcBorders>
                                  <w:noWrap/>
                                  <w:hideMark/>
                                </w:tcPr>
                                <w:p w14:paraId="1B61296A"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Cash And Equivalents</w:t>
                                  </w:r>
                                </w:p>
                              </w:tc>
                              <w:tc>
                                <w:tcPr>
                                  <w:tcW w:w="573" w:type="pct"/>
                                  <w:tcBorders>
                                    <w:top w:val="nil"/>
                                    <w:left w:val="nil"/>
                                    <w:bottom w:val="nil"/>
                                    <w:right w:val="nil"/>
                                  </w:tcBorders>
                                  <w:hideMark/>
                                </w:tcPr>
                                <w:p w14:paraId="797E7D0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8.4 </w:t>
                                  </w:r>
                                </w:p>
                              </w:tc>
                              <w:tc>
                                <w:tcPr>
                                  <w:tcW w:w="573" w:type="pct"/>
                                  <w:tcBorders>
                                    <w:top w:val="nil"/>
                                    <w:left w:val="nil"/>
                                    <w:bottom w:val="nil"/>
                                    <w:right w:val="nil"/>
                                  </w:tcBorders>
                                  <w:hideMark/>
                                </w:tcPr>
                                <w:p w14:paraId="048E83B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12.3 </w:t>
                                  </w:r>
                                </w:p>
                              </w:tc>
                              <w:tc>
                                <w:tcPr>
                                  <w:tcW w:w="573" w:type="pct"/>
                                  <w:tcBorders>
                                    <w:top w:val="nil"/>
                                    <w:left w:val="nil"/>
                                    <w:bottom w:val="nil"/>
                                    <w:right w:val="nil"/>
                                  </w:tcBorders>
                                  <w:hideMark/>
                                </w:tcPr>
                                <w:p w14:paraId="6A6053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11.3 </w:t>
                                  </w:r>
                                </w:p>
                              </w:tc>
                              <w:tc>
                                <w:tcPr>
                                  <w:tcW w:w="573" w:type="pct"/>
                                  <w:tcBorders>
                                    <w:top w:val="nil"/>
                                    <w:left w:val="nil"/>
                                    <w:bottom w:val="nil"/>
                                    <w:right w:val="nil"/>
                                  </w:tcBorders>
                                  <w:hideMark/>
                                </w:tcPr>
                                <w:p w14:paraId="0C7DD7D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10.2 </w:t>
                                  </w:r>
                                </w:p>
                              </w:tc>
                              <w:tc>
                                <w:tcPr>
                                  <w:tcW w:w="573" w:type="pct"/>
                                  <w:tcBorders>
                                    <w:top w:val="nil"/>
                                    <w:left w:val="nil"/>
                                    <w:bottom w:val="nil"/>
                                    <w:right w:val="nil"/>
                                  </w:tcBorders>
                                  <w:hideMark/>
                                </w:tcPr>
                                <w:p w14:paraId="52CF3B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13.7 </w:t>
                                  </w:r>
                                </w:p>
                              </w:tc>
                              <w:tc>
                                <w:tcPr>
                                  <w:tcW w:w="573" w:type="pct"/>
                                  <w:tcBorders>
                                    <w:top w:val="nil"/>
                                    <w:left w:val="nil"/>
                                    <w:bottom w:val="nil"/>
                                    <w:right w:val="nil"/>
                                  </w:tcBorders>
                                  <w:hideMark/>
                                </w:tcPr>
                                <w:p w14:paraId="73223E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9.9 </w:t>
                                  </w:r>
                                </w:p>
                              </w:tc>
                              <w:tc>
                                <w:tcPr>
                                  <w:tcW w:w="573" w:type="pct"/>
                                  <w:tcBorders>
                                    <w:top w:val="nil"/>
                                    <w:left w:val="nil"/>
                                    <w:bottom w:val="nil"/>
                                    <w:right w:val="nil"/>
                                  </w:tcBorders>
                                  <w:hideMark/>
                                </w:tcPr>
                                <w:p w14:paraId="03D6E6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12.4 </w:t>
                                  </w:r>
                                </w:p>
                              </w:tc>
                            </w:tr>
                            <w:tr w:rsidR="008C1A62" w:rsidRPr="008C1A62" w14:paraId="6CD690FE" w14:textId="77777777" w:rsidTr="008C1A62">
                              <w:trPr>
                                <w:trHeight w:val="204"/>
                              </w:trPr>
                              <w:tc>
                                <w:tcPr>
                                  <w:tcW w:w="989" w:type="pct"/>
                                  <w:tcBorders>
                                    <w:top w:val="nil"/>
                                    <w:left w:val="nil"/>
                                    <w:bottom w:val="nil"/>
                                    <w:right w:val="nil"/>
                                  </w:tcBorders>
                                  <w:noWrap/>
                                  <w:hideMark/>
                                </w:tcPr>
                                <w:p w14:paraId="60DA9979"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Investments</w:t>
                                  </w:r>
                                </w:p>
                              </w:tc>
                              <w:tc>
                                <w:tcPr>
                                  <w:tcW w:w="573" w:type="pct"/>
                                  <w:tcBorders>
                                    <w:top w:val="nil"/>
                                    <w:left w:val="nil"/>
                                    <w:bottom w:val="nil"/>
                                    <w:right w:val="nil"/>
                                  </w:tcBorders>
                                  <w:hideMark/>
                                </w:tcPr>
                                <w:p w14:paraId="3D3EA9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27F489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B46852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0B70321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6A3E8A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7C4B8B2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73" w:type="pct"/>
                                  <w:tcBorders>
                                    <w:top w:val="nil"/>
                                    <w:left w:val="nil"/>
                                    <w:bottom w:val="nil"/>
                                    <w:right w:val="nil"/>
                                  </w:tcBorders>
                                  <w:hideMark/>
                                </w:tcPr>
                                <w:p w14:paraId="79271ED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r>
                            <w:tr w:rsidR="008C1A62" w:rsidRPr="008C1A62" w14:paraId="614D43B4" w14:textId="77777777" w:rsidTr="008C1A62">
                              <w:trPr>
                                <w:trHeight w:val="204"/>
                              </w:trPr>
                              <w:tc>
                                <w:tcPr>
                                  <w:tcW w:w="989" w:type="pct"/>
                                  <w:tcBorders>
                                    <w:top w:val="nil"/>
                                    <w:left w:val="nil"/>
                                    <w:bottom w:val="nil"/>
                                    <w:right w:val="nil"/>
                                  </w:tcBorders>
                                  <w:noWrap/>
                                  <w:hideMark/>
                                </w:tcPr>
                                <w:p w14:paraId="7E85425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Cash &amp; ST Investments</w:t>
                                  </w:r>
                                </w:p>
                              </w:tc>
                              <w:tc>
                                <w:tcPr>
                                  <w:tcW w:w="573" w:type="pct"/>
                                  <w:tcBorders>
                                    <w:top w:val="single" w:sz="4" w:space="0" w:color="000000"/>
                                    <w:left w:val="nil"/>
                                    <w:bottom w:val="nil"/>
                                    <w:right w:val="nil"/>
                                  </w:tcBorders>
                                  <w:hideMark/>
                                </w:tcPr>
                                <w:p w14:paraId="594F6E0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9.4 </w:t>
                                  </w:r>
                                </w:p>
                              </w:tc>
                              <w:tc>
                                <w:tcPr>
                                  <w:tcW w:w="573" w:type="pct"/>
                                  <w:tcBorders>
                                    <w:top w:val="single" w:sz="4" w:space="0" w:color="000000"/>
                                    <w:left w:val="nil"/>
                                    <w:bottom w:val="nil"/>
                                    <w:right w:val="nil"/>
                                  </w:tcBorders>
                                  <w:hideMark/>
                                </w:tcPr>
                                <w:p w14:paraId="573DF69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13.3 </w:t>
                                  </w:r>
                                </w:p>
                              </w:tc>
                              <w:tc>
                                <w:tcPr>
                                  <w:tcW w:w="573" w:type="pct"/>
                                  <w:tcBorders>
                                    <w:top w:val="single" w:sz="4" w:space="0" w:color="000000"/>
                                    <w:left w:val="nil"/>
                                    <w:bottom w:val="nil"/>
                                    <w:right w:val="nil"/>
                                  </w:tcBorders>
                                  <w:hideMark/>
                                </w:tcPr>
                                <w:p w14:paraId="7F28C63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12.2 </w:t>
                                  </w:r>
                                </w:p>
                              </w:tc>
                              <w:tc>
                                <w:tcPr>
                                  <w:tcW w:w="573" w:type="pct"/>
                                  <w:tcBorders>
                                    <w:top w:val="single" w:sz="4" w:space="0" w:color="000000"/>
                                    <w:left w:val="nil"/>
                                    <w:bottom w:val="nil"/>
                                    <w:right w:val="nil"/>
                                  </w:tcBorders>
                                  <w:hideMark/>
                                </w:tcPr>
                                <w:p w14:paraId="5A49B00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11.0 </w:t>
                                  </w:r>
                                </w:p>
                              </w:tc>
                              <w:tc>
                                <w:tcPr>
                                  <w:tcW w:w="573" w:type="pct"/>
                                  <w:tcBorders>
                                    <w:top w:val="single" w:sz="4" w:space="0" w:color="000000"/>
                                    <w:left w:val="nil"/>
                                    <w:bottom w:val="nil"/>
                                    <w:right w:val="nil"/>
                                  </w:tcBorders>
                                  <w:hideMark/>
                                </w:tcPr>
                                <w:p w14:paraId="57F3F53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15.2 </w:t>
                                  </w:r>
                                </w:p>
                              </w:tc>
                              <w:tc>
                                <w:tcPr>
                                  <w:tcW w:w="573" w:type="pct"/>
                                  <w:tcBorders>
                                    <w:top w:val="single" w:sz="4" w:space="0" w:color="000000"/>
                                    <w:left w:val="nil"/>
                                    <w:bottom w:val="nil"/>
                                    <w:right w:val="nil"/>
                                  </w:tcBorders>
                                  <w:hideMark/>
                                </w:tcPr>
                                <w:p w14:paraId="4512D03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11.1 </w:t>
                                  </w:r>
                                </w:p>
                              </w:tc>
                              <w:tc>
                                <w:tcPr>
                                  <w:tcW w:w="573" w:type="pct"/>
                                  <w:tcBorders>
                                    <w:top w:val="single" w:sz="4" w:space="0" w:color="000000"/>
                                    <w:left w:val="nil"/>
                                    <w:bottom w:val="nil"/>
                                    <w:right w:val="nil"/>
                                  </w:tcBorders>
                                  <w:hideMark/>
                                </w:tcPr>
                                <w:p w14:paraId="7DCA9F4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13.2 </w:t>
                                  </w:r>
                                </w:p>
                              </w:tc>
                            </w:tr>
                            <w:tr w:rsidR="008C1A62" w:rsidRPr="008C1A62" w14:paraId="234C0251" w14:textId="77777777" w:rsidTr="008C1A62">
                              <w:trPr>
                                <w:trHeight w:val="204"/>
                              </w:trPr>
                              <w:tc>
                                <w:tcPr>
                                  <w:tcW w:w="989" w:type="pct"/>
                                  <w:tcBorders>
                                    <w:top w:val="nil"/>
                                    <w:left w:val="nil"/>
                                    <w:bottom w:val="nil"/>
                                    <w:right w:val="nil"/>
                                  </w:tcBorders>
                                  <w:noWrap/>
                                  <w:hideMark/>
                                </w:tcPr>
                                <w:p w14:paraId="6C2B333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Accounts Receivable</w:t>
                                  </w:r>
                                </w:p>
                              </w:tc>
                              <w:tc>
                                <w:tcPr>
                                  <w:tcW w:w="573" w:type="pct"/>
                                  <w:tcBorders>
                                    <w:top w:val="nil"/>
                                    <w:left w:val="nil"/>
                                    <w:bottom w:val="nil"/>
                                    <w:right w:val="nil"/>
                                  </w:tcBorders>
                                  <w:hideMark/>
                                </w:tcPr>
                                <w:p w14:paraId="5058DB9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7BECE7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 </w:t>
                                  </w:r>
                                </w:p>
                              </w:tc>
                              <w:tc>
                                <w:tcPr>
                                  <w:tcW w:w="573" w:type="pct"/>
                                  <w:tcBorders>
                                    <w:top w:val="nil"/>
                                    <w:left w:val="nil"/>
                                    <w:bottom w:val="nil"/>
                                    <w:right w:val="nil"/>
                                  </w:tcBorders>
                                  <w:hideMark/>
                                </w:tcPr>
                                <w:p w14:paraId="4A6F7ED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32614E1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73" w:type="pct"/>
                                  <w:tcBorders>
                                    <w:top w:val="nil"/>
                                    <w:left w:val="nil"/>
                                    <w:bottom w:val="nil"/>
                                    <w:right w:val="nil"/>
                                  </w:tcBorders>
                                  <w:hideMark/>
                                </w:tcPr>
                                <w:p w14:paraId="59FD1E8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73" w:type="pct"/>
                                  <w:tcBorders>
                                    <w:top w:val="nil"/>
                                    <w:left w:val="nil"/>
                                    <w:bottom w:val="nil"/>
                                    <w:right w:val="nil"/>
                                  </w:tcBorders>
                                  <w:hideMark/>
                                </w:tcPr>
                                <w:p w14:paraId="5E89AD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2.7 </w:t>
                                  </w:r>
                                </w:p>
                              </w:tc>
                              <w:tc>
                                <w:tcPr>
                                  <w:tcW w:w="573" w:type="pct"/>
                                  <w:tcBorders>
                                    <w:top w:val="nil"/>
                                    <w:left w:val="nil"/>
                                    <w:bottom w:val="nil"/>
                                    <w:right w:val="nil"/>
                                  </w:tcBorders>
                                  <w:hideMark/>
                                </w:tcPr>
                                <w:p w14:paraId="62C10E3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3.1 </w:t>
                                  </w:r>
                                </w:p>
                              </w:tc>
                            </w:tr>
                            <w:tr w:rsidR="008C1A62" w:rsidRPr="008C1A62" w14:paraId="6A1C38E2" w14:textId="77777777" w:rsidTr="008C1A62">
                              <w:trPr>
                                <w:trHeight w:val="204"/>
                              </w:trPr>
                              <w:tc>
                                <w:tcPr>
                                  <w:tcW w:w="989" w:type="pct"/>
                                  <w:tcBorders>
                                    <w:top w:val="nil"/>
                                    <w:left w:val="nil"/>
                                    <w:bottom w:val="nil"/>
                                    <w:right w:val="nil"/>
                                  </w:tcBorders>
                                  <w:noWrap/>
                                  <w:hideMark/>
                                </w:tcPr>
                                <w:p w14:paraId="3601B43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Receivables</w:t>
                                  </w:r>
                                </w:p>
                              </w:tc>
                              <w:tc>
                                <w:tcPr>
                                  <w:tcW w:w="573" w:type="pct"/>
                                  <w:tcBorders>
                                    <w:top w:val="single" w:sz="4" w:space="0" w:color="000000"/>
                                    <w:left w:val="nil"/>
                                    <w:bottom w:val="nil"/>
                                    <w:right w:val="nil"/>
                                  </w:tcBorders>
                                  <w:hideMark/>
                                </w:tcPr>
                                <w:p w14:paraId="7A6AA2A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73" w:type="pct"/>
                                  <w:tcBorders>
                                    <w:top w:val="single" w:sz="4" w:space="0" w:color="000000"/>
                                    <w:left w:val="nil"/>
                                    <w:bottom w:val="nil"/>
                                    <w:right w:val="nil"/>
                                  </w:tcBorders>
                                  <w:hideMark/>
                                </w:tcPr>
                                <w:p w14:paraId="67EFAFB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1.6 </w:t>
                                  </w:r>
                                </w:p>
                              </w:tc>
                              <w:tc>
                                <w:tcPr>
                                  <w:tcW w:w="573" w:type="pct"/>
                                  <w:tcBorders>
                                    <w:top w:val="single" w:sz="4" w:space="0" w:color="000000"/>
                                    <w:left w:val="nil"/>
                                    <w:bottom w:val="nil"/>
                                    <w:right w:val="nil"/>
                                  </w:tcBorders>
                                  <w:hideMark/>
                                </w:tcPr>
                                <w:p w14:paraId="7136179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 </w:t>
                                  </w:r>
                                </w:p>
                              </w:tc>
                              <w:tc>
                                <w:tcPr>
                                  <w:tcW w:w="573" w:type="pct"/>
                                  <w:tcBorders>
                                    <w:top w:val="single" w:sz="4" w:space="0" w:color="000000"/>
                                    <w:left w:val="nil"/>
                                    <w:bottom w:val="nil"/>
                                    <w:right w:val="nil"/>
                                  </w:tcBorders>
                                  <w:hideMark/>
                                </w:tcPr>
                                <w:p w14:paraId="4334CB1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2.2 </w:t>
                                  </w:r>
                                </w:p>
                              </w:tc>
                              <w:tc>
                                <w:tcPr>
                                  <w:tcW w:w="573" w:type="pct"/>
                                  <w:tcBorders>
                                    <w:top w:val="single" w:sz="4" w:space="0" w:color="000000"/>
                                    <w:left w:val="nil"/>
                                    <w:bottom w:val="nil"/>
                                    <w:right w:val="nil"/>
                                  </w:tcBorders>
                                  <w:hideMark/>
                                </w:tcPr>
                                <w:p w14:paraId="5B5FD7F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 </w:t>
                                  </w:r>
                                </w:p>
                              </w:tc>
                              <w:tc>
                                <w:tcPr>
                                  <w:tcW w:w="573" w:type="pct"/>
                                  <w:tcBorders>
                                    <w:top w:val="single" w:sz="4" w:space="0" w:color="000000"/>
                                    <w:left w:val="nil"/>
                                    <w:bottom w:val="nil"/>
                                    <w:right w:val="nil"/>
                                  </w:tcBorders>
                                  <w:hideMark/>
                                </w:tcPr>
                                <w:p w14:paraId="06EC274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2.7 </w:t>
                                  </w:r>
                                </w:p>
                              </w:tc>
                              <w:tc>
                                <w:tcPr>
                                  <w:tcW w:w="573" w:type="pct"/>
                                  <w:tcBorders>
                                    <w:top w:val="single" w:sz="4" w:space="0" w:color="000000"/>
                                    <w:left w:val="nil"/>
                                    <w:bottom w:val="nil"/>
                                    <w:right w:val="nil"/>
                                  </w:tcBorders>
                                  <w:hideMark/>
                                </w:tcPr>
                                <w:p w14:paraId="2CAC53E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3.1 </w:t>
                                  </w:r>
                                </w:p>
                              </w:tc>
                            </w:tr>
                            <w:tr w:rsidR="008C1A62" w:rsidRPr="008C1A62" w14:paraId="1AD20753" w14:textId="77777777" w:rsidTr="008C1A62">
                              <w:trPr>
                                <w:trHeight w:val="204"/>
                              </w:trPr>
                              <w:tc>
                                <w:tcPr>
                                  <w:tcW w:w="989" w:type="pct"/>
                                  <w:tcBorders>
                                    <w:top w:val="nil"/>
                                    <w:left w:val="nil"/>
                                    <w:bottom w:val="nil"/>
                                    <w:right w:val="nil"/>
                                  </w:tcBorders>
                                  <w:noWrap/>
                                  <w:hideMark/>
                                </w:tcPr>
                                <w:p w14:paraId="57BF2020"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Inventory</w:t>
                                  </w:r>
                                </w:p>
                              </w:tc>
                              <w:tc>
                                <w:tcPr>
                                  <w:tcW w:w="573" w:type="pct"/>
                                  <w:tcBorders>
                                    <w:top w:val="nil"/>
                                    <w:left w:val="nil"/>
                                    <w:bottom w:val="nil"/>
                                    <w:right w:val="nil"/>
                                  </w:tcBorders>
                                  <w:hideMark/>
                                </w:tcPr>
                                <w:p w14:paraId="5A4046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11.4 </w:t>
                                  </w:r>
                                </w:p>
                              </w:tc>
                              <w:tc>
                                <w:tcPr>
                                  <w:tcW w:w="573" w:type="pct"/>
                                  <w:tcBorders>
                                    <w:top w:val="nil"/>
                                    <w:left w:val="nil"/>
                                    <w:bottom w:val="nil"/>
                                    <w:right w:val="nil"/>
                                  </w:tcBorders>
                                  <w:hideMark/>
                                </w:tcPr>
                                <w:p w14:paraId="6ED5567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12.2 </w:t>
                                  </w:r>
                                </w:p>
                              </w:tc>
                              <w:tc>
                                <w:tcPr>
                                  <w:tcW w:w="573" w:type="pct"/>
                                  <w:tcBorders>
                                    <w:top w:val="nil"/>
                                    <w:left w:val="nil"/>
                                    <w:bottom w:val="nil"/>
                                    <w:right w:val="nil"/>
                                  </w:tcBorders>
                                  <w:hideMark/>
                                </w:tcPr>
                                <w:p w14:paraId="09637F1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4910012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17.9 </w:t>
                                  </w:r>
                                </w:p>
                              </w:tc>
                              <w:tc>
                                <w:tcPr>
                                  <w:tcW w:w="573" w:type="pct"/>
                                  <w:tcBorders>
                                    <w:top w:val="nil"/>
                                    <w:left w:val="nil"/>
                                    <w:bottom w:val="nil"/>
                                    <w:right w:val="nil"/>
                                  </w:tcBorders>
                                  <w:hideMark/>
                                </w:tcPr>
                                <w:p w14:paraId="060926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16.7 </w:t>
                                  </w:r>
                                </w:p>
                              </w:tc>
                              <w:tc>
                                <w:tcPr>
                                  <w:tcW w:w="573" w:type="pct"/>
                                  <w:tcBorders>
                                    <w:top w:val="nil"/>
                                    <w:left w:val="nil"/>
                                    <w:bottom w:val="nil"/>
                                    <w:right w:val="nil"/>
                                  </w:tcBorders>
                                  <w:hideMark/>
                                </w:tcPr>
                                <w:p w14:paraId="2826882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18.6 </w:t>
                                  </w:r>
                                </w:p>
                              </w:tc>
                              <w:tc>
                                <w:tcPr>
                                  <w:tcW w:w="573" w:type="pct"/>
                                  <w:tcBorders>
                                    <w:top w:val="nil"/>
                                    <w:left w:val="nil"/>
                                    <w:bottom w:val="nil"/>
                                    <w:right w:val="nil"/>
                                  </w:tcBorders>
                                  <w:hideMark/>
                                </w:tcPr>
                                <w:p w14:paraId="6941C29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18.8 </w:t>
                                  </w:r>
                                </w:p>
                              </w:tc>
                            </w:tr>
                            <w:tr w:rsidR="008C1A62" w:rsidRPr="008C1A62" w14:paraId="7A25BDE4" w14:textId="77777777" w:rsidTr="008C1A62">
                              <w:trPr>
                                <w:trHeight w:val="204"/>
                              </w:trPr>
                              <w:tc>
                                <w:tcPr>
                                  <w:tcW w:w="989" w:type="pct"/>
                                  <w:tcBorders>
                                    <w:top w:val="nil"/>
                                    <w:left w:val="nil"/>
                                    <w:bottom w:val="nil"/>
                                    <w:right w:val="nil"/>
                                  </w:tcBorders>
                                  <w:noWrap/>
                                  <w:hideMark/>
                                </w:tcPr>
                                <w:p w14:paraId="066FBC0B"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Current Assets</w:t>
                                  </w:r>
                                </w:p>
                              </w:tc>
                              <w:tc>
                                <w:tcPr>
                                  <w:tcW w:w="573" w:type="pct"/>
                                  <w:tcBorders>
                                    <w:top w:val="nil"/>
                                    <w:left w:val="nil"/>
                                    <w:bottom w:val="nil"/>
                                    <w:right w:val="nil"/>
                                  </w:tcBorders>
                                  <w:hideMark/>
                                </w:tcPr>
                                <w:p w14:paraId="078DB1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61CC90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7FD8810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73" w:type="pct"/>
                                  <w:tcBorders>
                                    <w:top w:val="nil"/>
                                    <w:left w:val="nil"/>
                                    <w:bottom w:val="nil"/>
                                    <w:right w:val="nil"/>
                                  </w:tcBorders>
                                  <w:hideMark/>
                                </w:tcPr>
                                <w:p w14:paraId="2FDB3E3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08EDA4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1FCB01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49FFECA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r>
                            <w:tr w:rsidR="008C1A62" w:rsidRPr="008C1A62" w14:paraId="5E76DE64" w14:textId="77777777" w:rsidTr="008C1A62">
                              <w:trPr>
                                <w:trHeight w:val="204"/>
                              </w:trPr>
                              <w:tc>
                                <w:tcPr>
                                  <w:tcW w:w="989" w:type="pct"/>
                                  <w:tcBorders>
                                    <w:top w:val="nil"/>
                                    <w:left w:val="nil"/>
                                    <w:bottom w:val="nil"/>
                                    <w:right w:val="nil"/>
                                  </w:tcBorders>
                                  <w:noWrap/>
                                  <w:hideMark/>
                                </w:tcPr>
                                <w:p w14:paraId="14F2D92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Current Assets</w:t>
                                  </w:r>
                                </w:p>
                              </w:tc>
                              <w:tc>
                                <w:tcPr>
                                  <w:tcW w:w="573" w:type="pct"/>
                                  <w:tcBorders>
                                    <w:top w:val="single" w:sz="4" w:space="0" w:color="000000"/>
                                    <w:left w:val="nil"/>
                                    <w:bottom w:val="nil"/>
                                    <w:right w:val="nil"/>
                                  </w:tcBorders>
                                  <w:hideMark/>
                                </w:tcPr>
                                <w:p w14:paraId="43807FD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23.5 </w:t>
                                  </w:r>
                                </w:p>
                              </w:tc>
                              <w:tc>
                                <w:tcPr>
                                  <w:tcW w:w="573" w:type="pct"/>
                                  <w:tcBorders>
                                    <w:top w:val="single" w:sz="4" w:space="0" w:color="000000"/>
                                    <w:left w:val="nil"/>
                                    <w:bottom w:val="nil"/>
                                    <w:right w:val="nil"/>
                                  </w:tcBorders>
                                  <w:hideMark/>
                                </w:tcPr>
                                <w:p w14:paraId="33B5EF9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28.1 </w:t>
                                  </w:r>
                                </w:p>
                              </w:tc>
                              <w:tc>
                                <w:tcPr>
                                  <w:tcW w:w="573" w:type="pct"/>
                                  <w:tcBorders>
                                    <w:top w:val="single" w:sz="4" w:space="0" w:color="000000"/>
                                    <w:left w:val="nil"/>
                                    <w:bottom w:val="nil"/>
                                    <w:right w:val="nil"/>
                                  </w:tcBorders>
                                  <w:hideMark/>
                                </w:tcPr>
                                <w:p w14:paraId="65B5576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29.5 </w:t>
                                  </w:r>
                                </w:p>
                              </w:tc>
                              <w:tc>
                                <w:tcPr>
                                  <w:tcW w:w="573" w:type="pct"/>
                                  <w:tcBorders>
                                    <w:top w:val="single" w:sz="4" w:space="0" w:color="000000"/>
                                    <w:left w:val="nil"/>
                                    <w:bottom w:val="nil"/>
                                    <w:right w:val="nil"/>
                                  </w:tcBorders>
                                  <w:hideMark/>
                                </w:tcPr>
                                <w:p w14:paraId="78E8268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32.7 </w:t>
                                  </w:r>
                                </w:p>
                              </w:tc>
                              <w:tc>
                                <w:tcPr>
                                  <w:tcW w:w="573" w:type="pct"/>
                                  <w:tcBorders>
                                    <w:top w:val="single" w:sz="4" w:space="0" w:color="000000"/>
                                    <w:left w:val="nil"/>
                                    <w:bottom w:val="nil"/>
                                    <w:right w:val="nil"/>
                                  </w:tcBorders>
                                  <w:hideMark/>
                                </w:tcPr>
                                <w:p w14:paraId="7D1ABD6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35.9 </w:t>
                                  </w:r>
                                </w:p>
                              </w:tc>
                              <w:tc>
                                <w:tcPr>
                                  <w:tcW w:w="573" w:type="pct"/>
                                  <w:tcBorders>
                                    <w:top w:val="single" w:sz="4" w:space="0" w:color="000000"/>
                                    <w:left w:val="nil"/>
                                    <w:bottom w:val="nil"/>
                                    <w:right w:val="nil"/>
                                  </w:tcBorders>
                                  <w:hideMark/>
                                </w:tcPr>
                                <w:p w14:paraId="05E18A8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34.2 </w:t>
                                  </w:r>
                                </w:p>
                              </w:tc>
                              <w:tc>
                                <w:tcPr>
                                  <w:tcW w:w="573" w:type="pct"/>
                                  <w:tcBorders>
                                    <w:top w:val="single" w:sz="4" w:space="0" w:color="000000"/>
                                    <w:left w:val="nil"/>
                                    <w:bottom w:val="nil"/>
                                    <w:right w:val="nil"/>
                                  </w:tcBorders>
                                  <w:hideMark/>
                                </w:tcPr>
                                <w:p w14:paraId="388B98E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36.9 </w:t>
                                  </w:r>
                                </w:p>
                              </w:tc>
                            </w:tr>
                            <w:tr w:rsidR="008C1A62" w:rsidRPr="008C1A62" w14:paraId="7F9D6A95" w14:textId="77777777" w:rsidTr="008C1A62">
                              <w:trPr>
                                <w:trHeight w:val="204"/>
                              </w:trPr>
                              <w:tc>
                                <w:tcPr>
                                  <w:tcW w:w="989" w:type="pct"/>
                                  <w:tcBorders>
                                    <w:top w:val="nil"/>
                                    <w:left w:val="nil"/>
                                    <w:bottom w:val="nil"/>
                                    <w:right w:val="nil"/>
                                  </w:tcBorders>
                                  <w:noWrap/>
                                  <w:hideMark/>
                                </w:tcPr>
                                <w:p w14:paraId="113E8CC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Gross Property, Plant &amp; Equipment</w:t>
                                  </w:r>
                                </w:p>
                              </w:tc>
                              <w:tc>
                                <w:tcPr>
                                  <w:tcW w:w="573" w:type="pct"/>
                                  <w:tcBorders>
                                    <w:top w:val="nil"/>
                                    <w:left w:val="nil"/>
                                    <w:bottom w:val="nil"/>
                                    <w:right w:val="nil"/>
                                  </w:tcBorders>
                                  <w:hideMark/>
                                </w:tcPr>
                                <w:p w14:paraId="27AC729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32.6 </w:t>
                                  </w:r>
                                </w:p>
                              </w:tc>
                              <w:tc>
                                <w:tcPr>
                                  <w:tcW w:w="573" w:type="pct"/>
                                  <w:tcBorders>
                                    <w:top w:val="nil"/>
                                    <w:left w:val="nil"/>
                                    <w:bottom w:val="nil"/>
                                    <w:right w:val="nil"/>
                                  </w:tcBorders>
                                  <w:hideMark/>
                                </w:tcPr>
                                <w:p w14:paraId="1DB49D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38.1 </w:t>
                                  </w:r>
                                </w:p>
                              </w:tc>
                              <w:tc>
                                <w:tcPr>
                                  <w:tcW w:w="573" w:type="pct"/>
                                  <w:tcBorders>
                                    <w:top w:val="nil"/>
                                    <w:left w:val="nil"/>
                                    <w:bottom w:val="nil"/>
                                    <w:right w:val="nil"/>
                                  </w:tcBorders>
                                  <w:hideMark/>
                                </w:tcPr>
                                <w:p w14:paraId="3505CD7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41.5 </w:t>
                                  </w:r>
                                </w:p>
                              </w:tc>
                              <w:tc>
                                <w:tcPr>
                                  <w:tcW w:w="573" w:type="pct"/>
                                  <w:tcBorders>
                                    <w:top w:val="nil"/>
                                    <w:left w:val="nil"/>
                                    <w:bottom w:val="nil"/>
                                    <w:right w:val="nil"/>
                                  </w:tcBorders>
                                  <w:hideMark/>
                                </w:tcPr>
                                <w:p w14:paraId="3AA7BEB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44.3 </w:t>
                                  </w:r>
                                </w:p>
                              </w:tc>
                              <w:tc>
                                <w:tcPr>
                                  <w:tcW w:w="573" w:type="pct"/>
                                  <w:tcBorders>
                                    <w:top w:val="nil"/>
                                    <w:left w:val="nil"/>
                                    <w:bottom w:val="nil"/>
                                    <w:right w:val="nil"/>
                                  </w:tcBorders>
                                  <w:hideMark/>
                                </w:tcPr>
                                <w:p w14:paraId="504C820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47.4 </w:t>
                                  </w:r>
                                </w:p>
                              </w:tc>
                              <w:tc>
                                <w:tcPr>
                                  <w:tcW w:w="573" w:type="pct"/>
                                  <w:tcBorders>
                                    <w:top w:val="nil"/>
                                    <w:left w:val="nil"/>
                                    <w:bottom w:val="nil"/>
                                    <w:right w:val="nil"/>
                                  </w:tcBorders>
                                  <w:hideMark/>
                                </w:tcPr>
                                <w:p w14:paraId="2225BA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51.0 </w:t>
                                  </w:r>
                                </w:p>
                              </w:tc>
                              <w:tc>
                                <w:tcPr>
                                  <w:tcW w:w="573" w:type="pct"/>
                                  <w:tcBorders>
                                    <w:top w:val="nil"/>
                                    <w:left w:val="nil"/>
                                    <w:bottom w:val="nil"/>
                                    <w:right w:val="nil"/>
                                  </w:tcBorders>
                                  <w:hideMark/>
                                </w:tcPr>
                                <w:p w14:paraId="1C7996D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51127718" w14:textId="77777777" w:rsidTr="008C1A62">
                              <w:trPr>
                                <w:trHeight w:val="204"/>
                              </w:trPr>
                              <w:tc>
                                <w:tcPr>
                                  <w:tcW w:w="989" w:type="pct"/>
                                  <w:tcBorders>
                                    <w:top w:val="nil"/>
                                    <w:left w:val="nil"/>
                                    <w:bottom w:val="nil"/>
                                    <w:right w:val="nil"/>
                                  </w:tcBorders>
                                  <w:noWrap/>
                                  <w:hideMark/>
                                </w:tcPr>
                                <w:p w14:paraId="550ECF3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Accumulated Depreciation</w:t>
                                  </w:r>
                                </w:p>
                              </w:tc>
                              <w:tc>
                                <w:tcPr>
                                  <w:tcW w:w="573" w:type="pct"/>
                                  <w:tcBorders>
                                    <w:top w:val="nil"/>
                                    <w:left w:val="nil"/>
                                    <w:bottom w:val="nil"/>
                                    <w:right w:val="nil"/>
                                  </w:tcBorders>
                                  <w:hideMark/>
                                </w:tcPr>
                                <w:p w14:paraId="343038D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39014B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(12.9)  </w:t>
                                  </w:r>
                                </w:p>
                              </w:tc>
                              <w:tc>
                                <w:tcPr>
                                  <w:tcW w:w="573" w:type="pct"/>
                                  <w:tcBorders>
                                    <w:top w:val="nil"/>
                                    <w:left w:val="nil"/>
                                    <w:bottom w:val="nil"/>
                                    <w:right w:val="nil"/>
                                  </w:tcBorders>
                                  <w:hideMark/>
                                </w:tcPr>
                                <w:p w14:paraId="01A710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011D910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(15.3)  </w:t>
                                  </w:r>
                                </w:p>
                              </w:tc>
                              <w:tc>
                                <w:tcPr>
                                  <w:tcW w:w="573" w:type="pct"/>
                                  <w:tcBorders>
                                    <w:top w:val="nil"/>
                                    <w:left w:val="nil"/>
                                    <w:bottom w:val="nil"/>
                                    <w:right w:val="nil"/>
                                  </w:tcBorders>
                                  <w:hideMark/>
                                </w:tcPr>
                                <w:p w14:paraId="6651F9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(16.7)  </w:t>
                                  </w:r>
                                </w:p>
                              </w:tc>
                              <w:tc>
                                <w:tcPr>
                                  <w:tcW w:w="573" w:type="pct"/>
                                  <w:tcBorders>
                                    <w:top w:val="nil"/>
                                    <w:left w:val="nil"/>
                                    <w:bottom w:val="nil"/>
                                    <w:right w:val="nil"/>
                                  </w:tcBorders>
                                  <w:hideMark/>
                                </w:tcPr>
                                <w:p w14:paraId="71E0C3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(17.9)  </w:t>
                                  </w:r>
                                </w:p>
                              </w:tc>
                              <w:tc>
                                <w:tcPr>
                                  <w:tcW w:w="573" w:type="pct"/>
                                  <w:tcBorders>
                                    <w:top w:val="nil"/>
                                    <w:left w:val="nil"/>
                                    <w:bottom w:val="nil"/>
                                    <w:right w:val="nil"/>
                                  </w:tcBorders>
                                  <w:hideMark/>
                                </w:tcPr>
                                <w:p w14:paraId="56B3F6D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22A33D60" w14:textId="77777777" w:rsidTr="008C1A62">
                              <w:trPr>
                                <w:trHeight w:val="204"/>
                              </w:trPr>
                              <w:tc>
                                <w:tcPr>
                                  <w:tcW w:w="989" w:type="pct"/>
                                  <w:tcBorders>
                                    <w:top w:val="nil"/>
                                    <w:left w:val="nil"/>
                                    <w:bottom w:val="nil"/>
                                    <w:right w:val="nil"/>
                                  </w:tcBorders>
                                  <w:noWrap/>
                                  <w:hideMark/>
                                </w:tcPr>
                                <w:p w14:paraId="4C6FA265"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Net Property, Plant &amp; Equipment</w:t>
                                  </w:r>
                                </w:p>
                              </w:tc>
                              <w:tc>
                                <w:tcPr>
                                  <w:tcW w:w="573" w:type="pct"/>
                                  <w:tcBorders>
                                    <w:top w:val="single" w:sz="4" w:space="0" w:color="000000"/>
                                    <w:left w:val="nil"/>
                                    <w:bottom w:val="nil"/>
                                    <w:right w:val="nil"/>
                                  </w:tcBorders>
                                  <w:hideMark/>
                                </w:tcPr>
                                <w:p w14:paraId="71B5CBE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20.9 </w:t>
                                  </w:r>
                                </w:p>
                              </w:tc>
                              <w:tc>
                                <w:tcPr>
                                  <w:tcW w:w="573" w:type="pct"/>
                                  <w:tcBorders>
                                    <w:top w:val="single" w:sz="4" w:space="0" w:color="000000"/>
                                    <w:left w:val="nil"/>
                                    <w:bottom w:val="nil"/>
                                    <w:right w:val="nil"/>
                                  </w:tcBorders>
                                  <w:hideMark/>
                                </w:tcPr>
                                <w:p w14:paraId="665BC37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25.2 </w:t>
                                  </w:r>
                                </w:p>
                              </w:tc>
                              <w:tc>
                                <w:tcPr>
                                  <w:tcW w:w="573" w:type="pct"/>
                                  <w:tcBorders>
                                    <w:top w:val="single" w:sz="4" w:space="0" w:color="000000"/>
                                    <w:left w:val="nil"/>
                                    <w:bottom w:val="nil"/>
                                    <w:right w:val="nil"/>
                                  </w:tcBorders>
                                  <w:hideMark/>
                                </w:tcPr>
                                <w:p w14:paraId="6965A92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27.4 </w:t>
                                  </w:r>
                                </w:p>
                              </w:tc>
                              <w:tc>
                                <w:tcPr>
                                  <w:tcW w:w="573" w:type="pct"/>
                                  <w:tcBorders>
                                    <w:top w:val="single" w:sz="4" w:space="0" w:color="000000"/>
                                    <w:left w:val="nil"/>
                                    <w:bottom w:val="nil"/>
                                    <w:right w:val="nil"/>
                                  </w:tcBorders>
                                  <w:hideMark/>
                                </w:tcPr>
                                <w:p w14:paraId="7C182F7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29.0 </w:t>
                                  </w:r>
                                </w:p>
                              </w:tc>
                              <w:tc>
                                <w:tcPr>
                                  <w:tcW w:w="573" w:type="pct"/>
                                  <w:tcBorders>
                                    <w:top w:val="single" w:sz="4" w:space="0" w:color="000000"/>
                                    <w:left w:val="nil"/>
                                    <w:bottom w:val="nil"/>
                                    <w:right w:val="nil"/>
                                  </w:tcBorders>
                                  <w:hideMark/>
                                </w:tcPr>
                                <w:p w14:paraId="46E1B55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30.7 </w:t>
                                  </w:r>
                                </w:p>
                              </w:tc>
                              <w:tc>
                                <w:tcPr>
                                  <w:tcW w:w="573" w:type="pct"/>
                                  <w:tcBorders>
                                    <w:top w:val="single" w:sz="4" w:space="0" w:color="000000"/>
                                    <w:left w:val="nil"/>
                                    <w:bottom w:val="nil"/>
                                    <w:right w:val="nil"/>
                                  </w:tcBorders>
                                  <w:hideMark/>
                                </w:tcPr>
                                <w:p w14:paraId="5BF6544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33.1 </w:t>
                                  </w:r>
                                </w:p>
                              </w:tc>
                              <w:tc>
                                <w:tcPr>
                                  <w:tcW w:w="573" w:type="pct"/>
                                  <w:tcBorders>
                                    <w:top w:val="single" w:sz="4" w:space="0" w:color="000000"/>
                                    <w:left w:val="nil"/>
                                    <w:bottom w:val="nil"/>
                                    <w:right w:val="nil"/>
                                  </w:tcBorders>
                                  <w:hideMark/>
                                </w:tcPr>
                                <w:p w14:paraId="140BC57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32.3 </w:t>
                                  </w:r>
                                </w:p>
                              </w:tc>
                            </w:tr>
                            <w:tr w:rsidR="008C1A62" w:rsidRPr="008C1A62" w14:paraId="46514C81" w14:textId="77777777" w:rsidTr="008C1A62">
                              <w:trPr>
                                <w:trHeight w:val="204"/>
                              </w:trPr>
                              <w:tc>
                                <w:tcPr>
                                  <w:tcW w:w="989" w:type="pct"/>
                                  <w:tcBorders>
                                    <w:top w:val="nil"/>
                                    <w:left w:val="nil"/>
                                    <w:bottom w:val="nil"/>
                                    <w:right w:val="nil"/>
                                  </w:tcBorders>
                                  <w:noWrap/>
                                  <w:hideMark/>
                                </w:tcPr>
                                <w:p w14:paraId="6B7648D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Goodwill</w:t>
                                  </w:r>
                                </w:p>
                              </w:tc>
                              <w:tc>
                                <w:tcPr>
                                  <w:tcW w:w="573" w:type="pct"/>
                                  <w:tcBorders>
                                    <w:top w:val="nil"/>
                                    <w:left w:val="nil"/>
                                    <w:bottom w:val="nil"/>
                                    <w:right w:val="nil"/>
                                  </w:tcBorders>
                                  <w:hideMark/>
                                </w:tcPr>
                                <w:p w14:paraId="33D640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3D8644B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30771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2FAC7E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078E34A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758683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445D31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7234A0EB" w14:textId="77777777" w:rsidTr="008C1A62">
                              <w:trPr>
                                <w:trHeight w:val="204"/>
                              </w:trPr>
                              <w:tc>
                                <w:tcPr>
                                  <w:tcW w:w="989" w:type="pct"/>
                                  <w:tcBorders>
                                    <w:top w:val="nil"/>
                                    <w:left w:val="nil"/>
                                    <w:bottom w:val="nil"/>
                                    <w:right w:val="nil"/>
                                  </w:tcBorders>
                                  <w:noWrap/>
                                  <w:hideMark/>
                                </w:tcPr>
                                <w:p w14:paraId="37F0D0EC"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Deferred Tax Assets, LT</w:t>
                                  </w:r>
                                </w:p>
                              </w:tc>
                              <w:tc>
                                <w:tcPr>
                                  <w:tcW w:w="573" w:type="pct"/>
                                  <w:tcBorders>
                                    <w:top w:val="nil"/>
                                    <w:left w:val="nil"/>
                                    <w:bottom w:val="nil"/>
                                    <w:right w:val="nil"/>
                                  </w:tcBorders>
                                  <w:hideMark/>
                                </w:tcPr>
                                <w:p w14:paraId="2C8BC25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08AAED2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2057D1F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641E0B4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6FA37EE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E4760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43536AC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416E0D74" w14:textId="77777777" w:rsidTr="008C1A62">
                              <w:trPr>
                                <w:trHeight w:val="204"/>
                              </w:trPr>
                              <w:tc>
                                <w:tcPr>
                                  <w:tcW w:w="989" w:type="pct"/>
                                  <w:tcBorders>
                                    <w:top w:val="nil"/>
                                    <w:left w:val="nil"/>
                                    <w:bottom w:val="nil"/>
                                    <w:right w:val="nil"/>
                                  </w:tcBorders>
                                  <w:noWrap/>
                                  <w:hideMark/>
                                </w:tcPr>
                                <w:p w14:paraId="680E59E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Long-Term Assets</w:t>
                                  </w:r>
                                </w:p>
                              </w:tc>
                              <w:tc>
                                <w:tcPr>
                                  <w:tcW w:w="573" w:type="pct"/>
                                  <w:tcBorders>
                                    <w:top w:val="nil"/>
                                    <w:left w:val="nil"/>
                                    <w:bottom w:val="nil"/>
                                    <w:right w:val="nil"/>
                                  </w:tcBorders>
                                  <w:hideMark/>
                                </w:tcPr>
                                <w:p w14:paraId="099B903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73" w:type="pct"/>
                                  <w:tcBorders>
                                    <w:top w:val="nil"/>
                                    <w:left w:val="nil"/>
                                    <w:bottom w:val="nil"/>
                                    <w:right w:val="nil"/>
                                  </w:tcBorders>
                                  <w:hideMark/>
                                </w:tcPr>
                                <w:p w14:paraId="2FF868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67D3538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3138A78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580C4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180FD03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31B32A6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r>
                            <w:tr w:rsidR="008C1A62" w:rsidRPr="008C1A62" w14:paraId="348B71B0" w14:textId="77777777" w:rsidTr="008C1A62">
                              <w:trPr>
                                <w:trHeight w:val="204"/>
                              </w:trPr>
                              <w:tc>
                                <w:tcPr>
                                  <w:tcW w:w="989" w:type="pct"/>
                                  <w:tcBorders>
                                    <w:top w:val="nil"/>
                                    <w:left w:val="nil"/>
                                    <w:bottom w:val="nil"/>
                                    <w:right w:val="nil"/>
                                  </w:tcBorders>
                                  <w:noWrap/>
                                  <w:hideMark/>
                                </w:tcPr>
                                <w:p w14:paraId="3606EDC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Assets</w:t>
                                  </w:r>
                                </w:p>
                              </w:tc>
                              <w:tc>
                                <w:tcPr>
                                  <w:tcW w:w="573" w:type="pct"/>
                                  <w:tcBorders>
                                    <w:top w:val="single" w:sz="4" w:space="0" w:color="000000"/>
                                    <w:left w:val="nil"/>
                                    <w:bottom w:val="nil"/>
                                    <w:right w:val="nil"/>
                                  </w:tcBorders>
                                  <w:hideMark/>
                                </w:tcPr>
                                <w:p w14:paraId="42DD1F4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45.4 </w:t>
                                  </w:r>
                                </w:p>
                              </w:tc>
                              <w:tc>
                                <w:tcPr>
                                  <w:tcW w:w="573" w:type="pct"/>
                                  <w:tcBorders>
                                    <w:top w:val="single" w:sz="4" w:space="0" w:color="000000"/>
                                    <w:left w:val="nil"/>
                                    <w:bottom w:val="nil"/>
                                    <w:right w:val="nil"/>
                                  </w:tcBorders>
                                  <w:hideMark/>
                                </w:tcPr>
                                <w:p w14:paraId="38057F7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55.6 </w:t>
                                  </w:r>
                                </w:p>
                              </w:tc>
                              <w:tc>
                                <w:tcPr>
                                  <w:tcW w:w="573" w:type="pct"/>
                                  <w:tcBorders>
                                    <w:top w:val="single" w:sz="4" w:space="0" w:color="000000"/>
                                    <w:left w:val="nil"/>
                                    <w:bottom w:val="nil"/>
                                    <w:right w:val="nil"/>
                                  </w:tcBorders>
                                  <w:hideMark/>
                                </w:tcPr>
                                <w:p w14:paraId="45F7090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59.3 </w:t>
                                  </w:r>
                                </w:p>
                              </w:tc>
                              <w:tc>
                                <w:tcPr>
                                  <w:tcW w:w="573" w:type="pct"/>
                                  <w:tcBorders>
                                    <w:top w:val="single" w:sz="4" w:space="0" w:color="000000"/>
                                    <w:left w:val="nil"/>
                                    <w:bottom w:val="nil"/>
                                    <w:right w:val="nil"/>
                                  </w:tcBorders>
                                  <w:hideMark/>
                                </w:tcPr>
                                <w:p w14:paraId="3122893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64.2 </w:t>
                                  </w:r>
                                </w:p>
                              </w:tc>
                              <w:tc>
                                <w:tcPr>
                                  <w:tcW w:w="573" w:type="pct"/>
                                  <w:tcBorders>
                                    <w:top w:val="single" w:sz="4" w:space="0" w:color="000000"/>
                                    <w:left w:val="nil"/>
                                    <w:bottom w:val="nil"/>
                                    <w:right w:val="nil"/>
                                  </w:tcBorders>
                                  <w:hideMark/>
                                </w:tcPr>
                                <w:p w14:paraId="14F5FE5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69.0 </w:t>
                                  </w:r>
                                </w:p>
                              </w:tc>
                              <w:tc>
                                <w:tcPr>
                                  <w:tcW w:w="573" w:type="pct"/>
                                  <w:tcBorders>
                                    <w:top w:val="single" w:sz="4" w:space="0" w:color="000000"/>
                                    <w:left w:val="nil"/>
                                    <w:bottom w:val="nil"/>
                                    <w:right w:val="nil"/>
                                  </w:tcBorders>
                                  <w:hideMark/>
                                </w:tcPr>
                                <w:p w14:paraId="3C2BD5E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69.8 </w:t>
                                  </w:r>
                                </w:p>
                              </w:tc>
                              <w:tc>
                                <w:tcPr>
                                  <w:tcW w:w="573" w:type="pct"/>
                                  <w:tcBorders>
                                    <w:top w:val="single" w:sz="4" w:space="0" w:color="000000"/>
                                    <w:left w:val="nil"/>
                                    <w:bottom w:val="nil"/>
                                    <w:right w:val="nil"/>
                                  </w:tcBorders>
                                  <w:hideMark/>
                                </w:tcPr>
                                <w:p w14:paraId="78BAE26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73.2 </w:t>
                                  </w:r>
                                </w:p>
                              </w:tc>
                            </w:tr>
                            <w:tr w:rsidR="008C1A62" w:rsidRPr="008C1A62" w14:paraId="1935C4FB" w14:textId="77777777" w:rsidTr="008C1A62">
                              <w:trPr>
                                <w:trHeight w:val="204"/>
                              </w:trPr>
                              <w:tc>
                                <w:tcPr>
                                  <w:tcW w:w="989" w:type="pct"/>
                                  <w:tcBorders>
                                    <w:top w:val="nil"/>
                                    <w:left w:val="nil"/>
                                    <w:bottom w:val="nil"/>
                                    <w:right w:val="nil"/>
                                  </w:tcBorders>
                                  <w:noWrap/>
                                  <w:hideMark/>
                                </w:tcPr>
                                <w:p w14:paraId="64954DA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LIABILITIES</w:t>
                                  </w:r>
                                </w:p>
                              </w:tc>
                              <w:tc>
                                <w:tcPr>
                                  <w:tcW w:w="573" w:type="pct"/>
                                  <w:tcBorders>
                                    <w:top w:val="nil"/>
                                    <w:left w:val="nil"/>
                                    <w:bottom w:val="nil"/>
                                    <w:right w:val="nil"/>
                                  </w:tcBorders>
                                  <w:noWrap/>
                                  <w:hideMark/>
                                </w:tcPr>
                                <w:p w14:paraId="4ED1861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c>
                                <w:tcPr>
                                  <w:tcW w:w="573" w:type="pct"/>
                                  <w:tcBorders>
                                    <w:top w:val="nil"/>
                                    <w:left w:val="nil"/>
                                    <w:bottom w:val="nil"/>
                                    <w:right w:val="nil"/>
                                  </w:tcBorders>
                                  <w:noWrap/>
                                  <w:hideMark/>
                                </w:tcPr>
                                <w:p w14:paraId="5711180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45D4E824"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13DA8E1D"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428AAAA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5CC0AFE3"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672889A7"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r>
                            <w:tr w:rsidR="008C1A62" w:rsidRPr="008C1A62" w14:paraId="5C46CCD3" w14:textId="77777777" w:rsidTr="008C1A62">
                              <w:trPr>
                                <w:trHeight w:val="204"/>
                              </w:trPr>
                              <w:tc>
                                <w:tcPr>
                                  <w:tcW w:w="989" w:type="pct"/>
                                  <w:tcBorders>
                                    <w:top w:val="nil"/>
                                    <w:left w:val="nil"/>
                                    <w:bottom w:val="nil"/>
                                    <w:right w:val="nil"/>
                                  </w:tcBorders>
                                  <w:noWrap/>
                                  <w:hideMark/>
                                </w:tcPr>
                                <w:p w14:paraId="3ED2879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Accounts Payable</w:t>
                                  </w:r>
                                </w:p>
                              </w:tc>
                              <w:tc>
                                <w:tcPr>
                                  <w:tcW w:w="573" w:type="pct"/>
                                  <w:tcBorders>
                                    <w:top w:val="nil"/>
                                    <w:left w:val="nil"/>
                                    <w:bottom w:val="nil"/>
                                    <w:right w:val="nil"/>
                                  </w:tcBorders>
                                  <w:hideMark/>
                                </w:tcPr>
                                <w:p w14:paraId="2DA834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28E09C4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4BD912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16.3 </w:t>
                                  </w:r>
                                </w:p>
                              </w:tc>
                              <w:tc>
                                <w:tcPr>
                                  <w:tcW w:w="573" w:type="pct"/>
                                  <w:tcBorders>
                                    <w:top w:val="nil"/>
                                    <w:left w:val="nil"/>
                                    <w:bottom w:val="nil"/>
                                    <w:right w:val="nil"/>
                                  </w:tcBorders>
                                  <w:hideMark/>
                                </w:tcPr>
                                <w:p w14:paraId="61B36B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17.8 </w:t>
                                  </w:r>
                                </w:p>
                              </w:tc>
                              <w:tc>
                                <w:tcPr>
                                  <w:tcW w:w="573" w:type="pct"/>
                                  <w:tcBorders>
                                    <w:top w:val="nil"/>
                                    <w:left w:val="nil"/>
                                    <w:bottom w:val="nil"/>
                                    <w:right w:val="nil"/>
                                  </w:tcBorders>
                                  <w:hideMark/>
                                </w:tcPr>
                                <w:p w14:paraId="3B1F12D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17.5 </w:t>
                                  </w:r>
                                </w:p>
                              </w:tc>
                              <w:tc>
                                <w:tcPr>
                                  <w:tcW w:w="573" w:type="pct"/>
                                  <w:tcBorders>
                                    <w:top w:val="nil"/>
                                    <w:left w:val="nil"/>
                                    <w:bottom w:val="nil"/>
                                    <w:right w:val="nil"/>
                                  </w:tcBorders>
                                  <w:hideMark/>
                                </w:tcPr>
                                <w:p w14:paraId="322192C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19.4 </w:t>
                                  </w:r>
                                </w:p>
                              </w:tc>
                              <w:tc>
                                <w:tcPr>
                                  <w:tcW w:w="573" w:type="pct"/>
                                  <w:tcBorders>
                                    <w:top w:val="nil"/>
                                    <w:left w:val="nil"/>
                                    <w:bottom w:val="nil"/>
                                    <w:right w:val="nil"/>
                                  </w:tcBorders>
                                  <w:hideMark/>
                                </w:tcPr>
                                <w:p w14:paraId="4D088E4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18.6 </w:t>
                                  </w:r>
                                </w:p>
                              </w:tc>
                            </w:tr>
                            <w:tr w:rsidR="008C1A62" w:rsidRPr="008C1A62" w14:paraId="2BB4050C" w14:textId="77777777" w:rsidTr="008C1A62">
                              <w:trPr>
                                <w:trHeight w:val="204"/>
                              </w:trPr>
                              <w:tc>
                                <w:tcPr>
                                  <w:tcW w:w="989" w:type="pct"/>
                                  <w:tcBorders>
                                    <w:top w:val="nil"/>
                                    <w:left w:val="nil"/>
                                    <w:bottom w:val="nil"/>
                                    <w:right w:val="nil"/>
                                  </w:tcBorders>
                                  <w:noWrap/>
                                  <w:hideMark/>
                                </w:tcPr>
                                <w:p w14:paraId="232C99B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Accrued Exp.</w:t>
                                  </w:r>
                                </w:p>
                              </w:tc>
                              <w:tc>
                                <w:tcPr>
                                  <w:tcW w:w="573" w:type="pct"/>
                                  <w:tcBorders>
                                    <w:top w:val="nil"/>
                                    <w:left w:val="nil"/>
                                    <w:bottom w:val="nil"/>
                                    <w:right w:val="nil"/>
                                  </w:tcBorders>
                                  <w:hideMark/>
                                </w:tcPr>
                                <w:p w14:paraId="0112AE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4.4 </w:t>
                                  </w:r>
                                </w:p>
                              </w:tc>
                              <w:tc>
                                <w:tcPr>
                                  <w:tcW w:w="573" w:type="pct"/>
                                  <w:tcBorders>
                                    <w:top w:val="nil"/>
                                    <w:left w:val="nil"/>
                                    <w:bottom w:val="nil"/>
                                    <w:right w:val="nil"/>
                                  </w:tcBorders>
                                  <w:hideMark/>
                                </w:tcPr>
                                <w:p w14:paraId="44B91E2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5.0 </w:t>
                                  </w:r>
                                </w:p>
                              </w:tc>
                              <w:tc>
                                <w:tcPr>
                                  <w:tcW w:w="573" w:type="pct"/>
                                  <w:tcBorders>
                                    <w:top w:val="nil"/>
                                    <w:left w:val="nil"/>
                                    <w:bottom w:val="nil"/>
                                    <w:right w:val="nil"/>
                                  </w:tcBorders>
                                  <w:hideMark/>
                                </w:tcPr>
                                <w:p w14:paraId="0CC680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c>
                                <w:tcPr>
                                  <w:tcW w:w="573" w:type="pct"/>
                                  <w:tcBorders>
                                    <w:top w:val="nil"/>
                                    <w:left w:val="nil"/>
                                    <w:bottom w:val="nil"/>
                                    <w:right w:val="nil"/>
                                  </w:tcBorders>
                                  <w:hideMark/>
                                </w:tcPr>
                                <w:p w14:paraId="36332AD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6.3 </w:t>
                                  </w:r>
                                </w:p>
                              </w:tc>
                              <w:tc>
                                <w:tcPr>
                                  <w:tcW w:w="573" w:type="pct"/>
                                  <w:tcBorders>
                                    <w:top w:val="nil"/>
                                    <w:left w:val="nil"/>
                                    <w:bottom w:val="nil"/>
                                    <w:right w:val="nil"/>
                                  </w:tcBorders>
                                  <w:hideMark/>
                                </w:tcPr>
                                <w:p w14:paraId="64000D5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6.4 </w:t>
                                  </w:r>
                                </w:p>
                              </w:tc>
                              <w:tc>
                                <w:tcPr>
                                  <w:tcW w:w="573" w:type="pct"/>
                                  <w:tcBorders>
                                    <w:top w:val="nil"/>
                                    <w:left w:val="nil"/>
                                    <w:bottom w:val="nil"/>
                                    <w:right w:val="nil"/>
                                  </w:tcBorders>
                                  <w:hideMark/>
                                </w:tcPr>
                                <w:p w14:paraId="710BBCA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7.2 </w:t>
                                  </w:r>
                                </w:p>
                              </w:tc>
                              <w:tc>
                                <w:tcPr>
                                  <w:tcW w:w="573" w:type="pct"/>
                                  <w:tcBorders>
                                    <w:top w:val="nil"/>
                                    <w:left w:val="nil"/>
                                    <w:bottom w:val="nil"/>
                                    <w:right w:val="nil"/>
                                  </w:tcBorders>
                                  <w:hideMark/>
                                </w:tcPr>
                                <w:p w14:paraId="6A5075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7.6 </w:t>
                                  </w:r>
                                </w:p>
                              </w:tc>
                            </w:tr>
                            <w:tr w:rsidR="008C1A62" w:rsidRPr="008C1A62" w14:paraId="3AE30DEB" w14:textId="77777777" w:rsidTr="008C1A62">
                              <w:trPr>
                                <w:trHeight w:val="204"/>
                              </w:trPr>
                              <w:tc>
                                <w:tcPr>
                                  <w:tcW w:w="989" w:type="pct"/>
                                  <w:tcBorders>
                                    <w:top w:val="nil"/>
                                    <w:left w:val="nil"/>
                                    <w:bottom w:val="nil"/>
                                    <w:right w:val="nil"/>
                                  </w:tcBorders>
                                  <w:noWrap/>
                                  <w:hideMark/>
                                </w:tcPr>
                                <w:p w14:paraId="34326C09"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Curr. Port. of LT Debt</w:t>
                                  </w:r>
                                </w:p>
                              </w:tc>
                              <w:tc>
                                <w:tcPr>
                                  <w:tcW w:w="573" w:type="pct"/>
                                  <w:tcBorders>
                                    <w:top w:val="nil"/>
                                    <w:left w:val="nil"/>
                                    <w:bottom w:val="nil"/>
                                    <w:right w:val="nil"/>
                                  </w:tcBorders>
                                  <w:hideMark/>
                                </w:tcPr>
                                <w:p w14:paraId="0D67647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528629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7FE7B9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77BFCA5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13C2D2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340B05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25CCBFB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0D66899C" w14:textId="77777777" w:rsidTr="008C1A62">
                              <w:trPr>
                                <w:trHeight w:val="204"/>
                              </w:trPr>
                              <w:tc>
                                <w:tcPr>
                                  <w:tcW w:w="989" w:type="pct"/>
                                  <w:tcBorders>
                                    <w:top w:val="nil"/>
                                    <w:left w:val="nil"/>
                                    <w:bottom w:val="nil"/>
                                    <w:right w:val="nil"/>
                                  </w:tcBorders>
                                  <w:noWrap/>
                                  <w:hideMark/>
                                </w:tcPr>
                                <w:p w14:paraId="3399CCA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Curr. Port. of Leases</w:t>
                                  </w:r>
                                </w:p>
                              </w:tc>
                              <w:tc>
                                <w:tcPr>
                                  <w:tcW w:w="573" w:type="pct"/>
                                  <w:tcBorders>
                                    <w:top w:val="nil"/>
                                    <w:left w:val="nil"/>
                                    <w:bottom w:val="nil"/>
                                    <w:right w:val="nil"/>
                                  </w:tcBorders>
                                  <w:hideMark/>
                                </w:tcPr>
                                <w:p w14:paraId="2E4E27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073BD5A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1D80B55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6DB9E1F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0F1E70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1DDE6CB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78FC982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3090FA13" w14:textId="77777777" w:rsidTr="008C1A62">
                              <w:trPr>
                                <w:trHeight w:val="204"/>
                              </w:trPr>
                              <w:tc>
                                <w:tcPr>
                                  <w:tcW w:w="989" w:type="pct"/>
                                  <w:tcBorders>
                                    <w:top w:val="nil"/>
                                    <w:left w:val="nil"/>
                                    <w:bottom w:val="nil"/>
                                    <w:right w:val="nil"/>
                                  </w:tcBorders>
                                  <w:noWrap/>
                                  <w:hideMark/>
                                </w:tcPr>
                                <w:p w14:paraId="31B9CD0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Unearned Revenue, Current</w:t>
                                  </w:r>
                                </w:p>
                              </w:tc>
                              <w:tc>
                                <w:tcPr>
                                  <w:tcW w:w="573" w:type="pct"/>
                                  <w:tcBorders>
                                    <w:top w:val="nil"/>
                                    <w:left w:val="nil"/>
                                    <w:bottom w:val="nil"/>
                                    <w:right w:val="nil"/>
                                  </w:tcBorders>
                                  <w:hideMark/>
                                </w:tcPr>
                                <w:p w14:paraId="3FFAAD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0EDC17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73" w:type="pct"/>
                                  <w:tcBorders>
                                    <w:top w:val="nil"/>
                                    <w:left w:val="nil"/>
                                    <w:bottom w:val="nil"/>
                                    <w:right w:val="nil"/>
                                  </w:tcBorders>
                                  <w:hideMark/>
                                </w:tcPr>
                                <w:p w14:paraId="2C7B68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2.0 </w:t>
                                  </w:r>
                                </w:p>
                              </w:tc>
                              <w:tc>
                                <w:tcPr>
                                  <w:tcW w:w="573" w:type="pct"/>
                                  <w:tcBorders>
                                    <w:top w:val="nil"/>
                                    <w:left w:val="nil"/>
                                    <w:bottom w:val="nil"/>
                                    <w:right w:val="nil"/>
                                  </w:tcBorders>
                                  <w:hideMark/>
                                </w:tcPr>
                                <w:p w14:paraId="156496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73" w:type="pct"/>
                                  <w:tcBorders>
                                    <w:top w:val="nil"/>
                                    <w:left w:val="nil"/>
                                    <w:bottom w:val="nil"/>
                                    <w:right w:val="nil"/>
                                  </w:tcBorders>
                                  <w:hideMark/>
                                </w:tcPr>
                                <w:p w14:paraId="4EFF8E5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73" w:type="pct"/>
                                  <w:tcBorders>
                                    <w:top w:val="nil"/>
                                    <w:left w:val="nil"/>
                                    <w:bottom w:val="nil"/>
                                    <w:right w:val="nil"/>
                                  </w:tcBorders>
                                  <w:hideMark/>
                                </w:tcPr>
                                <w:p w14:paraId="3D0483E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2.5 </w:t>
                                  </w:r>
                                </w:p>
                              </w:tc>
                              <w:tc>
                                <w:tcPr>
                                  <w:tcW w:w="573" w:type="pct"/>
                                  <w:tcBorders>
                                    <w:top w:val="nil"/>
                                    <w:left w:val="nil"/>
                                    <w:bottom w:val="nil"/>
                                    <w:right w:val="nil"/>
                                  </w:tcBorders>
                                  <w:hideMark/>
                                </w:tcPr>
                                <w:p w14:paraId="714649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2.8 </w:t>
                                  </w:r>
                                </w:p>
                              </w:tc>
                            </w:tr>
                            <w:tr w:rsidR="008C1A62" w:rsidRPr="008C1A62" w14:paraId="65BF5806" w14:textId="77777777" w:rsidTr="008C1A62">
                              <w:trPr>
                                <w:trHeight w:val="204"/>
                              </w:trPr>
                              <w:tc>
                                <w:tcPr>
                                  <w:tcW w:w="989" w:type="pct"/>
                                  <w:tcBorders>
                                    <w:top w:val="nil"/>
                                    <w:left w:val="nil"/>
                                    <w:bottom w:val="nil"/>
                                    <w:right w:val="nil"/>
                                  </w:tcBorders>
                                  <w:noWrap/>
                                  <w:hideMark/>
                                </w:tcPr>
                                <w:p w14:paraId="44D6874A"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Current Liabilities</w:t>
                                  </w:r>
                                </w:p>
                              </w:tc>
                              <w:tc>
                                <w:tcPr>
                                  <w:tcW w:w="573" w:type="pct"/>
                                  <w:tcBorders>
                                    <w:top w:val="nil"/>
                                    <w:left w:val="nil"/>
                                    <w:bottom w:val="nil"/>
                                    <w:right w:val="nil"/>
                                  </w:tcBorders>
                                  <w:hideMark/>
                                </w:tcPr>
                                <w:p w14:paraId="7510FA4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275F1C5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3.5 </w:t>
                                  </w:r>
                                </w:p>
                              </w:tc>
                              <w:tc>
                                <w:tcPr>
                                  <w:tcW w:w="573" w:type="pct"/>
                                  <w:tcBorders>
                                    <w:top w:val="nil"/>
                                    <w:left w:val="nil"/>
                                    <w:bottom w:val="nil"/>
                                    <w:right w:val="nil"/>
                                  </w:tcBorders>
                                  <w:hideMark/>
                                </w:tcPr>
                                <w:p w14:paraId="06CEEA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4.3 </w:t>
                                  </w:r>
                                </w:p>
                              </w:tc>
                              <w:tc>
                                <w:tcPr>
                                  <w:tcW w:w="573" w:type="pct"/>
                                  <w:tcBorders>
                                    <w:top w:val="nil"/>
                                    <w:left w:val="nil"/>
                                    <w:bottom w:val="nil"/>
                                    <w:right w:val="nil"/>
                                  </w:tcBorders>
                                  <w:hideMark/>
                                </w:tcPr>
                                <w:p w14:paraId="4AFE9A3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c>
                                <w:tcPr>
                                  <w:tcW w:w="573" w:type="pct"/>
                                  <w:tcBorders>
                                    <w:top w:val="nil"/>
                                    <w:left w:val="nil"/>
                                    <w:bottom w:val="nil"/>
                                    <w:right w:val="nil"/>
                                  </w:tcBorders>
                                  <w:hideMark/>
                                </w:tcPr>
                                <w:p w14:paraId="246FAD9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5.9 </w:t>
                                  </w:r>
                                </w:p>
                              </w:tc>
                              <w:tc>
                                <w:tcPr>
                                  <w:tcW w:w="573" w:type="pct"/>
                                  <w:tcBorders>
                                    <w:top w:val="nil"/>
                                    <w:left w:val="nil"/>
                                    <w:bottom w:val="nil"/>
                                    <w:right w:val="nil"/>
                                  </w:tcBorders>
                                  <w:hideMark/>
                                </w:tcPr>
                                <w:p w14:paraId="6B64344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5.9 </w:t>
                                  </w:r>
                                </w:p>
                              </w:tc>
                              <w:tc>
                                <w:tcPr>
                                  <w:tcW w:w="573" w:type="pct"/>
                                  <w:tcBorders>
                                    <w:top w:val="nil"/>
                                    <w:left w:val="nil"/>
                                    <w:bottom w:val="nil"/>
                                    <w:right w:val="nil"/>
                                  </w:tcBorders>
                                  <w:hideMark/>
                                </w:tcPr>
                                <w:p w14:paraId="7E3581B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7.9 </w:t>
                                  </w:r>
                                </w:p>
                              </w:tc>
                            </w:tr>
                            <w:tr w:rsidR="008C1A62" w:rsidRPr="008C1A62" w14:paraId="2CE05063" w14:textId="77777777" w:rsidTr="008C1A62">
                              <w:trPr>
                                <w:trHeight w:val="204"/>
                              </w:trPr>
                              <w:tc>
                                <w:tcPr>
                                  <w:tcW w:w="989" w:type="pct"/>
                                  <w:tcBorders>
                                    <w:top w:val="nil"/>
                                    <w:left w:val="nil"/>
                                    <w:bottom w:val="nil"/>
                                    <w:right w:val="nil"/>
                                  </w:tcBorders>
                                  <w:noWrap/>
                                  <w:hideMark/>
                                </w:tcPr>
                                <w:p w14:paraId="78A0BDB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Current Liabilities</w:t>
                                  </w:r>
                                </w:p>
                              </w:tc>
                              <w:tc>
                                <w:tcPr>
                                  <w:tcW w:w="573" w:type="pct"/>
                                  <w:tcBorders>
                                    <w:top w:val="single" w:sz="4" w:space="0" w:color="000000"/>
                                    <w:left w:val="nil"/>
                                    <w:bottom w:val="nil"/>
                                    <w:right w:val="nil"/>
                                  </w:tcBorders>
                                  <w:hideMark/>
                                </w:tcPr>
                                <w:p w14:paraId="499ADFA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23.2 </w:t>
                                  </w:r>
                                </w:p>
                              </w:tc>
                              <w:tc>
                                <w:tcPr>
                                  <w:tcW w:w="573" w:type="pct"/>
                                  <w:tcBorders>
                                    <w:top w:val="single" w:sz="4" w:space="0" w:color="000000"/>
                                    <w:left w:val="nil"/>
                                    <w:bottom w:val="nil"/>
                                    <w:right w:val="nil"/>
                                  </w:tcBorders>
                                  <w:hideMark/>
                                </w:tcPr>
                                <w:p w14:paraId="558329A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24.8 </w:t>
                                  </w:r>
                                </w:p>
                              </w:tc>
                              <w:tc>
                                <w:tcPr>
                                  <w:tcW w:w="573" w:type="pct"/>
                                  <w:tcBorders>
                                    <w:top w:val="single" w:sz="4" w:space="0" w:color="000000"/>
                                    <w:left w:val="nil"/>
                                    <w:bottom w:val="nil"/>
                                    <w:right w:val="nil"/>
                                  </w:tcBorders>
                                  <w:hideMark/>
                                </w:tcPr>
                                <w:p w14:paraId="23E14AD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29.4 </w:t>
                                  </w:r>
                                </w:p>
                              </w:tc>
                              <w:tc>
                                <w:tcPr>
                                  <w:tcW w:w="573" w:type="pct"/>
                                  <w:tcBorders>
                                    <w:top w:val="single" w:sz="4" w:space="0" w:color="000000"/>
                                    <w:left w:val="nil"/>
                                    <w:bottom w:val="nil"/>
                                    <w:right w:val="nil"/>
                                  </w:tcBorders>
                                  <w:hideMark/>
                                </w:tcPr>
                                <w:p w14:paraId="1501519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32.0 </w:t>
                                  </w:r>
                                </w:p>
                              </w:tc>
                              <w:tc>
                                <w:tcPr>
                                  <w:tcW w:w="573" w:type="pct"/>
                                  <w:tcBorders>
                                    <w:top w:val="single" w:sz="4" w:space="0" w:color="000000"/>
                                    <w:left w:val="nil"/>
                                    <w:bottom w:val="nil"/>
                                    <w:right w:val="nil"/>
                                  </w:tcBorders>
                                  <w:hideMark/>
                                </w:tcPr>
                                <w:p w14:paraId="6EA47AE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33.6 </w:t>
                                  </w:r>
                                </w:p>
                              </w:tc>
                              <w:tc>
                                <w:tcPr>
                                  <w:tcW w:w="573" w:type="pct"/>
                                  <w:tcBorders>
                                    <w:top w:val="single" w:sz="4" w:space="0" w:color="000000"/>
                                    <w:left w:val="nil"/>
                                    <w:bottom w:val="nil"/>
                                    <w:right w:val="nil"/>
                                  </w:tcBorders>
                                  <w:hideMark/>
                                </w:tcPr>
                                <w:p w14:paraId="370CCB3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35.5 </w:t>
                                  </w:r>
                                </w:p>
                              </w:tc>
                              <w:tc>
                                <w:tcPr>
                                  <w:tcW w:w="573" w:type="pct"/>
                                  <w:tcBorders>
                                    <w:top w:val="single" w:sz="4" w:space="0" w:color="000000"/>
                                    <w:left w:val="nil"/>
                                    <w:bottom w:val="nil"/>
                                    <w:right w:val="nil"/>
                                  </w:tcBorders>
                                  <w:hideMark/>
                                </w:tcPr>
                                <w:p w14:paraId="00DCAC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37.0 </w:t>
                                  </w:r>
                                </w:p>
                              </w:tc>
                            </w:tr>
                            <w:tr w:rsidR="008C1A62" w:rsidRPr="008C1A62" w14:paraId="4856B188" w14:textId="77777777" w:rsidTr="008C1A62">
                              <w:trPr>
                                <w:trHeight w:val="204"/>
                              </w:trPr>
                              <w:tc>
                                <w:tcPr>
                                  <w:tcW w:w="989" w:type="pct"/>
                                  <w:tcBorders>
                                    <w:top w:val="nil"/>
                                    <w:left w:val="nil"/>
                                    <w:bottom w:val="nil"/>
                                    <w:right w:val="nil"/>
                                  </w:tcBorders>
                                  <w:noWrap/>
                                  <w:hideMark/>
                                </w:tcPr>
                                <w:p w14:paraId="34789EF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w:t>
                                  </w:r>
                                </w:p>
                              </w:tc>
                              <w:tc>
                                <w:tcPr>
                                  <w:tcW w:w="573" w:type="pct"/>
                                  <w:tcBorders>
                                    <w:top w:val="nil"/>
                                    <w:left w:val="nil"/>
                                    <w:bottom w:val="nil"/>
                                    <w:right w:val="nil"/>
                                  </w:tcBorders>
                                  <w:hideMark/>
                                </w:tcPr>
                                <w:p w14:paraId="127817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c>
                                <w:tcPr>
                                  <w:tcW w:w="573" w:type="pct"/>
                                  <w:tcBorders>
                                    <w:top w:val="nil"/>
                                    <w:left w:val="nil"/>
                                    <w:bottom w:val="nil"/>
                                    <w:right w:val="nil"/>
                                  </w:tcBorders>
                                  <w:hideMark/>
                                </w:tcPr>
                                <w:p w14:paraId="24304B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7.5 </w:t>
                                  </w:r>
                                </w:p>
                              </w:tc>
                              <w:tc>
                                <w:tcPr>
                                  <w:tcW w:w="573" w:type="pct"/>
                                  <w:tcBorders>
                                    <w:top w:val="nil"/>
                                    <w:left w:val="nil"/>
                                    <w:bottom w:val="nil"/>
                                    <w:right w:val="nil"/>
                                  </w:tcBorders>
                                  <w:hideMark/>
                                </w:tcPr>
                                <w:p w14:paraId="6BD330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73" w:type="pct"/>
                                  <w:tcBorders>
                                    <w:top w:val="nil"/>
                                    <w:left w:val="nil"/>
                                    <w:bottom w:val="nil"/>
                                    <w:right w:val="nil"/>
                                  </w:tcBorders>
                                  <w:hideMark/>
                                </w:tcPr>
                                <w:p w14:paraId="1FE663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6.5 </w:t>
                                  </w:r>
                                </w:p>
                              </w:tc>
                              <w:tc>
                                <w:tcPr>
                                  <w:tcW w:w="573" w:type="pct"/>
                                  <w:tcBorders>
                                    <w:top w:val="nil"/>
                                    <w:left w:val="nil"/>
                                    <w:bottom w:val="nil"/>
                                    <w:right w:val="nil"/>
                                  </w:tcBorders>
                                  <w:hideMark/>
                                </w:tcPr>
                                <w:p w14:paraId="647F78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5.4 </w:t>
                                  </w:r>
                                </w:p>
                              </w:tc>
                              <w:tc>
                                <w:tcPr>
                                  <w:tcW w:w="573" w:type="pct"/>
                                  <w:tcBorders>
                                    <w:top w:val="nil"/>
                                    <w:left w:val="nil"/>
                                    <w:bottom w:val="nil"/>
                                    <w:right w:val="nil"/>
                                  </w:tcBorders>
                                  <w:hideMark/>
                                </w:tcPr>
                                <w:p w14:paraId="094FCDA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c>
                                <w:tcPr>
                                  <w:tcW w:w="573" w:type="pct"/>
                                  <w:tcBorders>
                                    <w:top w:val="nil"/>
                                    <w:left w:val="nil"/>
                                    <w:bottom w:val="nil"/>
                                    <w:right w:val="nil"/>
                                  </w:tcBorders>
                                  <w:hideMark/>
                                </w:tcPr>
                                <w:p w14:paraId="559175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r>
                            <w:tr w:rsidR="008C1A62" w:rsidRPr="008C1A62" w14:paraId="48BD7F66" w14:textId="77777777" w:rsidTr="008C1A62">
                              <w:trPr>
                                <w:trHeight w:val="204"/>
                              </w:trPr>
                              <w:tc>
                                <w:tcPr>
                                  <w:tcW w:w="989" w:type="pct"/>
                                  <w:tcBorders>
                                    <w:top w:val="nil"/>
                                    <w:left w:val="nil"/>
                                    <w:bottom w:val="nil"/>
                                    <w:right w:val="nil"/>
                                  </w:tcBorders>
                                  <w:noWrap/>
                                  <w:hideMark/>
                                </w:tcPr>
                                <w:p w14:paraId="40E5810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Leases</w:t>
                                  </w:r>
                                </w:p>
                              </w:tc>
                              <w:tc>
                                <w:tcPr>
                                  <w:tcW w:w="573" w:type="pct"/>
                                  <w:tcBorders>
                                    <w:top w:val="nil"/>
                                    <w:left w:val="nil"/>
                                    <w:bottom w:val="nil"/>
                                    <w:right w:val="nil"/>
                                  </w:tcBorders>
                                  <w:hideMark/>
                                </w:tcPr>
                                <w:p w14:paraId="3F94B6F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473C53D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 </w:t>
                                  </w:r>
                                </w:p>
                              </w:tc>
                              <w:tc>
                                <w:tcPr>
                                  <w:tcW w:w="573" w:type="pct"/>
                                  <w:tcBorders>
                                    <w:top w:val="nil"/>
                                    <w:left w:val="nil"/>
                                    <w:bottom w:val="nil"/>
                                    <w:right w:val="nil"/>
                                  </w:tcBorders>
                                  <w:hideMark/>
                                </w:tcPr>
                                <w:p w14:paraId="706909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3.6 </w:t>
                                  </w:r>
                                </w:p>
                              </w:tc>
                              <w:tc>
                                <w:tcPr>
                                  <w:tcW w:w="573" w:type="pct"/>
                                  <w:tcBorders>
                                    <w:top w:val="nil"/>
                                    <w:left w:val="nil"/>
                                    <w:bottom w:val="nil"/>
                                    <w:right w:val="nil"/>
                                  </w:tcBorders>
                                  <w:hideMark/>
                                </w:tcPr>
                                <w:p w14:paraId="08991F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3.9 </w:t>
                                  </w:r>
                                </w:p>
                              </w:tc>
                              <w:tc>
                                <w:tcPr>
                                  <w:tcW w:w="573" w:type="pct"/>
                                  <w:tcBorders>
                                    <w:top w:val="nil"/>
                                    <w:left w:val="nil"/>
                                    <w:bottom w:val="nil"/>
                                    <w:right w:val="nil"/>
                                  </w:tcBorders>
                                  <w:hideMark/>
                                </w:tcPr>
                                <w:p w14:paraId="756244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55E657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00B55D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r>
                            <w:tr w:rsidR="008C1A62" w:rsidRPr="008C1A62" w14:paraId="546B75E9" w14:textId="77777777" w:rsidTr="008C1A62">
                              <w:trPr>
                                <w:trHeight w:val="204"/>
                              </w:trPr>
                              <w:tc>
                                <w:tcPr>
                                  <w:tcW w:w="989" w:type="pct"/>
                                  <w:tcBorders>
                                    <w:top w:val="nil"/>
                                    <w:left w:val="nil"/>
                                    <w:bottom w:val="nil"/>
                                    <w:right w:val="nil"/>
                                  </w:tcBorders>
                                  <w:noWrap/>
                                  <w:hideMark/>
                                </w:tcPr>
                                <w:p w14:paraId="28CD40F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Def. Tax Liability, Non-Curr.</w:t>
                                  </w:r>
                                </w:p>
                              </w:tc>
                              <w:tc>
                                <w:tcPr>
                                  <w:tcW w:w="573" w:type="pct"/>
                                  <w:tcBorders>
                                    <w:top w:val="nil"/>
                                    <w:left w:val="nil"/>
                                    <w:bottom w:val="nil"/>
                                    <w:right w:val="nil"/>
                                  </w:tcBorders>
                                  <w:hideMark/>
                                </w:tcPr>
                                <w:p w14:paraId="654187D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1E05FE1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66F21CF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714DEA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55234D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46665E2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6037B6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50AC70FE" w14:textId="77777777" w:rsidTr="008C1A62">
                              <w:trPr>
                                <w:trHeight w:val="204"/>
                              </w:trPr>
                              <w:tc>
                                <w:tcPr>
                                  <w:tcW w:w="989" w:type="pct"/>
                                  <w:tcBorders>
                                    <w:top w:val="nil"/>
                                    <w:left w:val="nil"/>
                                    <w:bottom w:val="nil"/>
                                    <w:right w:val="nil"/>
                                  </w:tcBorders>
                                  <w:noWrap/>
                                  <w:hideMark/>
                                </w:tcPr>
                                <w:p w14:paraId="39975D6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Non-Current Liabilities</w:t>
                                  </w:r>
                                </w:p>
                              </w:tc>
                              <w:tc>
                                <w:tcPr>
                                  <w:tcW w:w="573" w:type="pct"/>
                                  <w:tcBorders>
                                    <w:top w:val="nil"/>
                                    <w:left w:val="nil"/>
                                    <w:bottom w:val="nil"/>
                                    <w:right w:val="nil"/>
                                  </w:tcBorders>
                                  <w:hideMark/>
                                </w:tcPr>
                                <w:p w14:paraId="7EE66E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9289A5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73" w:type="pct"/>
                                  <w:tcBorders>
                                    <w:top w:val="nil"/>
                                    <w:left w:val="nil"/>
                                    <w:bottom w:val="nil"/>
                                    <w:right w:val="nil"/>
                                  </w:tcBorders>
                                  <w:hideMark/>
                                </w:tcPr>
                                <w:p w14:paraId="55B667B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51B54B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3323B7F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7C5502A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4529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2.6 </w:t>
                                  </w:r>
                                </w:p>
                              </w:tc>
                            </w:tr>
                            <w:tr w:rsidR="008C1A62" w:rsidRPr="008C1A62" w14:paraId="1B22484D" w14:textId="77777777" w:rsidTr="008C1A62">
                              <w:trPr>
                                <w:trHeight w:val="204"/>
                              </w:trPr>
                              <w:tc>
                                <w:tcPr>
                                  <w:tcW w:w="989" w:type="pct"/>
                                  <w:tcBorders>
                                    <w:top w:val="nil"/>
                                    <w:left w:val="nil"/>
                                    <w:bottom w:val="nil"/>
                                    <w:right w:val="nil"/>
                                  </w:tcBorders>
                                  <w:noWrap/>
                                  <w:hideMark/>
                                </w:tcPr>
                                <w:p w14:paraId="02778DC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Liabilities</w:t>
                                  </w:r>
                                </w:p>
                              </w:tc>
                              <w:tc>
                                <w:tcPr>
                                  <w:tcW w:w="573" w:type="pct"/>
                                  <w:tcBorders>
                                    <w:top w:val="single" w:sz="4" w:space="0" w:color="000000"/>
                                    <w:left w:val="nil"/>
                                    <w:bottom w:val="nil"/>
                                    <w:right w:val="nil"/>
                                  </w:tcBorders>
                                  <w:hideMark/>
                                </w:tcPr>
                                <w:p w14:paraId="3F85D18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29.8 </w:t>
                                  </w:r>
                                </w:p>
                              </w:tc>
                              <w:tc>
                                <w:tcPr>
                                  <w:tcW w:w="573" w:type="pct"/>
                                  <w:tcBorders>
                                    <w:top w:val="single" w:sz="4" w:space="0" w:color="000000"/>
                                    <w:left w:val="nil"/>
                                    <w:bottom w:val="nil"/>
                                    <w:right w:val="nil"/>
                                  </w:tcBorders>
                                  <w:hideMark/>
                                </w:tcPr>
                                <w:p w14:paraId="0BC4B6B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36.9 </w:t>
                                  </w:r>
                                </w:p>
                              </w:tc>
                              <w:tc>
                                <w:tcPr>
                                  <w:tcW w:w="573" w:type="pct"/>
                                  <w:tcBorders>
                                    <w:top w:val="single" w:sz="4" w:space="0" w:color="000000"/>
                                    <w:left w:val="nil"/>
                                    <w:bottom w:val="nil"/>
                                    <w:right w:val="nil"/>
                                  </w:tcBorders>
                                  <w:hideMark/>
                                </w:tcPr>
                                <w:p w14:paraId="14A14BB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41.2 </w:t>
                                  </w:r>
                                </w:p>
                              </w:tc>
                              <w:tc>
                                <w:tcPr>
                                  <w:tcW w:w="573" w:type="pct"/>
                                  <w:tcBorders>
                                    <w:top w:val="single" w:sz="4" w:space="0" w:color="000000"/>
                                    <w:left w:val="nil"/>
                                    <w:bottom w:val="nil"/>
                                    <w:right w:val="nil"/>
                                  </w:tcBorders>
                                  <w:hideMark/>
                                </w:tcPr>
                                <w:p w14:paraId="0AE273C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43.5 </w:t>
                                  </w:r>
                                </w:p>
                              </w:tc>
                              <w:tc>
                                <w:tcPr>
                                  <w:tcW w:w="573" w:type="pct"/>
                                  <w:tcBorders>
                                    <w:top w:val="single" w:sz="4" w:space="0" w:color="000000"/>
                                    <w:left w:val="nil"/>
                                    <w:bottom w:val="nil"/>
                                    <w:right w:val="nil"/>
                                  </w:tcBorders>
                                  <w:hideMark/>
                                </w:tcPr>
                                <w:p w14:paraId="2C80CAB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43.9 </w:t>
                                  </w:r>
                                </w:p>
                              </w:tc>
                              <w:tc>
                                <w:tcPr>
                                  <w:tcW w:w="573" w:type="pct"/>
                                  <w:tcBorders>
                                    <w:top w:val="single" w:sz="4" w:space="0" w:color="000000"/>
                                    <w:left w:val="nil"/>
                                    <w:bottom w:val="nil"/>
                                    <w:right w:val="nil"/>
                                  </w:tcBorders>
                                  <w:hideMark/>
                                </w:tcPr>
                                <w:p w14:paraId="63EDF9D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46.2 </w:t>
                                  </w:r>
                                </w:p>
                              </w:tc>
                              <w:tc>
                                <w:tcPr>
                                  <w:tcW w:w="573" w:type="pct"/>
                                  <w:tcBorders>
                                    <w:top w:val="single" w:sz="4" w:space="0" w:color="000000"/>
                                    <w:left w:val="nil"/>
                                    <w:bottom w:val="nil"/>
                                    <w:right w:val="nil"/>
                                  </w:tcBorders>
                                  <w:hideMark/>
                                </w:tcPr>
                                <w:p w14:paraId="3B9696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47.6 </w:t>
                                  </w:r>
                                </w:p>
                              </w:tc>
                            </w:tr>
                            <w:tr w:rsidR="008C1A62" w:rsidRPr="008C1A62" w14:paraId="1C7AB665" w14:textId="77777777" w:rsidTr="008C1A62">
                              <w:trPr>
                                <w:trHeight w:val="204"/>
                              </w:trPr>
                              <w:tc>
                                <w:tcPr>
                                  <w:tcW w:w="989" w:type="pct"/>
                                  <w:tcBorders>
                                    <w:top w:val="nil"/>
                                    <w:left w:val="nil"/>
                                    <w:bottom w:val="nil"/>
                                    <w:right w:val="nil"/>
                                  </w:tcBorders>
                                  <w:noWrap/>
                                  <w:hideMark/>
                                </w:tcPr>
                                <w:p w14:paraId="0D3C71D1"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Common Stock</w:t>
                                  </w:r>
                                </w:p>
                              </w:tc>
                              <w:tc>
                                <w:tcPr>
                                  <w:tcW w:w="573" w:type="pct"/>
                                  <w:tcBorders>
                                    <w:top w:val="nil"/>
                                    <w:left w:val="nil"/>
                                    <w:bottom w:val="nil"/>
                                    <w:right w:val="nil"/>
                                  </w:tcBorders>
                                  <w:hideMark/>
                                </w:tcPr>
                                <w:p w14:paraId="62E7091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54555B2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6995C04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30FF367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49D9740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364539F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18CD712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r>
                            <w:tr w:rsidR="008C1A62" w:rsidRPr="008C1A62" w14:paraId="444FEDFB" w14:textId="77777777" w:rsidTr="008C1A62">
                              <w:trPr>
                                <w:trHeight w:val="204"/>
                              </w:trPr>
                              <w:tc>
                                <w:tcPr>
                                  <w:tcW w:w="989" w:type="pct"/>
                                  <w:tcBorders>
                                    <w:top w:val="nil"/>
                                    <w:left w:val="nil"/>
                                    <w:bottom w:val="nil"/>
                                    <w:right w:val="nil"/>
                                  </w:tcBorders>
                                  <w:noWrap/>
                                  <w:hideMark/>
                                </w:tcPr>
                                <w:p w14:paraId="2AB3F04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Additional Paid In Capital</w:t>
                                  </w:r>
                                </w:p>
                              </w:tc>
                              <w:tc>
                                <w:tcPr>
                                  <w:tcW w:w="573" w:type="pct"/>
                                  <w:tcBorders>
                                    <w:top w:val="nil"/>
                                    <w:left w:val="nil"/>
                                    <w:bottom w:val="nil"/>
                                    <w:right w:val="nil"/>
                                  </w:tcBorders>
                                  <w:hideMark/>
                                </w:tcPr>
                                <w:p w14:paraId="54156E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6.4 </w:t>
                                  </w:r>
                                </w:p>
                              </w:tc>
                              <w:tc>
                                <w:tcPr>
                                  <w:tcW w:w="573" w:type="pct"/>
                                  <w:tcBorders>
                                    <w:top w:val="nil"/>
                                    <w:left w:val="nil"/>
                                    <w:bottom w:val="nil"/>
                                    <w:right w:val="nil"/>
                                  </w:tcBorders>
                                  <w:hideMark/>
                                </w:tcPr>
                                <w:p w14:paraId="552A7F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73" w:type="pct"/>
                                  <w:tcBorders>
                                    <w:top w:val="nil"/>
                                    <w:left w:val="nil"/>
                                    <w:bottom w:val="nil"/>
                                    <w:right w:val="nil"/>
                                  </w:tcBorders>
                                  <w:hideMark/>
                                </w:tcPr>
                                <w:p w14:paraId="5A634DE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7.0 </w:t>
                                  </w:r>
                                </w:p>
                              </w:tc>
                              <w:tc>
                                <w:tcPr>
                                  <w:tcW w:w="573" w:type="pct"/>
                                  <w:tcBorders>
                                    <w:top w:val="nil"/>
                                    <w:left w:val="nil"/>
                                    <w:bottom w:val="nil"/>
                                    <w:right w:val="nil"/>
                                  </w:tcBorders>
                                  <w:hideMark/>
                                </w:tcPr>
                                <w:p w14:paraId="2EB0339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6.9 </w:t>
                                  </w:r>
                                </w:p>
                              </w:tc>
                              <w:tc>
                                <w:tcPr>
                                  <w:tcW w:w="573" w:type="pct"/>
                                  <w:tcBorders>
                                    <w:top w:val="nil"/>
                                    <w:left w:val="nil"/>
                                    <w:bottom w:val="nil"/>
                                    <w:right w:val="nil"/>
                                  </w:tcBorders>
                                  <w:hideMark/>
                                </w:tcPr>
                                <w:p w14:paraId="38B8FDA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7.3 </w:t>
                                  </w:r>
                                </w:p>
                              </w:tc>
                              <w:tc>
                                <w:tcPr>
                                  <w:tcW w:w="573" w:type="pct"/>
                                  <w:tcBorders>
                                    <w:top w:val="nil"/>
                                    <w:left w:val="nil"/>
                                    <w:bottom w:val="nil"/>
                                    <w:right w:val="nil"/>
                                  </w:tcBorders>
                                  <w:hideMark/>
                                </w:tcPr>
                                <w:p w14:paraId="2BE8C86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7.8 </w:t>
                                  </w:r>
                                </w:p>
                              </w:tc>
                              <w:tc>
                                <w:tcPr>
                                  <w:tcW w:w="573" w:type="pct"/>
                                  <w:tcBorders>
                                    <w:top w:val="nil"/>
                                    <w:left w:val="nil"/>
                                    <w:bottom w:val="nil"/>
                                    <w:right w:val="nil"/>
                                  </w:tcBorders>
                                  <w:hideMark/>
                                </w:tcPr>
                                <w:p w14:paraId="1C5D59E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8.0 </w:t>
                                  </w:r>
                                </w:p>
                              </w:tc>
                            </w:tr>
                            <w:tr w:rsidR="008C1A62" w:rsidRPr="008C1A62" w14:paraId="10289A7E" w14:textId="77777777" w:rsidTr="008C1A62">
                              <w:trPr>
                                <w:trHeight w:val="204"/>
                              </w:trPr>
                              <w:tc>
                                <w:tcPr>
                                  <w:tcW w:w="989" w:type="pct"/>
                                  <w:tcBorders>
                                    <w:top w:val="nil"/>
                                    <w:left w:val="nil"/>
                                    <w:bottom w:val="nil"/>
                                    <w:right w:val="nil"/>
                                  </w:tcBorders>
                                  <w:noWrap/>
                                  <w:hideMark/>
                                </w:tcPr>
                                <w:p w14:paraId="49698CF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Retained Earnings</w:t>
                                  </w:r>
                                </w:p>
                              </w:tc>
                              <w:tc>
                                <w:tcPr>
                                  <w:tcW w:w="573" w:type="pct"/>
                                  <w:tcBorders>
                                    <w:top w:val="nil"/>
                                    <w:left w:val="nil"/>
                                    <w:bottom w:val="nil"/>
                                    <w:right w:val="nil"/>
                                  </w:tcBorders>
                                  <w:hideMark/>
                                </w:tcPr>
                                <w:p w14:paraId="71512D2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10.3 </w:t>
                                  </w:r>
                                </w:p>
                              </w:tc>
                              <w:tc>
                                <w:tcPr>
                                  <w:tcW w:w="573" w:type="pct"/>
                                  <w:tcBorders>
                                    <w:top w:val="nil"/>
                                    <w:left w:val="nil"/>
                                    <w:bottom w:val="nil"/>
                                    <w:right w:val="nil"/>
                                  </w:tcBorders>
                                  <w:hideMark/>
                                </w:tcPr>
                                <w:p w14:paraId="523E1A1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12.9 </w:t>
                                  </w:r>
                                </w:p>
                              </w:tc>
                              <w:tc>
                                <w:tcPr>
                                  <w:tcW w:w="573" w:type="pct"/>
                                  <w:tcBorders>
                                    <w:top w:val="nil"/>
                                    <w:left w:val="nil"/>
                                    <w:bottom w:val="nil"/>
                                    <w:right w:val="nil"/>
                                  </w:tcBorders>
                                  <w:hideMark/>
                                </w:tcPr>
                                <w:p w14:paraId="337AE36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0C72CF7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15.6 </w:t>
                                  </w:r>
                                </w:p>
                              </w:tc>
                              <w:tc>
                                <w:tcPr>
                                  <w:tcW w:w="573" w:type="pct"/>
                                  <w:tcBorders>
                                    <w:top w:val="nil"/>
                                    <w:left w:val="nil"/>
                                    <w:bottom w:val="nil"/>
                                    <w:right w:val="nil"/>
                                  </w:tcBorders>
                                  <w:hideMark/>
                                </w:tcPr>
                                <w:p w14:paraId="2B8DFB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19.5 </w:t>
                                  </w:r>
                                </w:p>
                              </w:tc>
                              <w:tc>
                                <w:tcPr>
                                  <w:tcW w:w="573" w:type="pct"/>
                                  <w:tcBorders>
                                    <w:top w:val="nil"/>
                                    <w:left w:val="nil"/>
                                    <w:bottom w:val="nil"/>
                                    <w:right w:val="nil"/>
                                  </w:tcBorders>
                                  <w:hideMark/>
                                </w:tcPr>
                                <w:p w14:paraId="00F2328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17.6 </w:t>
                                  </w:r>
                                </w:p>
                              </w:tc>
                              <w:tc>
                                <w:tcPr>
                                  <w:tcW w:w="573" w:type="pct"/>
                                  <w:tcBorders>
                                    <w:top w:val="nil"/>
                                    <w:left w:val="nil"/>
                                    <w:bottom w:val="nil"/>
                                    <w:right w:val="nil"/>
                                  </w:tcBorders>
                                  <w:hideMark/>
                                </w:tcPr>
                                <w:p w14:paraId="668826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19.8 </w:t>
                                  </w:r>
                                </w:p>
                              </w:tc>
                            </w:tr>
                            <w:tr w:rsidR="008C1A62" w:rsidRPr="008C1A62" w14:paraId="1478CB4C" w14:textId="77777777" w:rsidTr="008C1A62">
                              <w:trPr>
                                <w:trHeight w:val="204"/>
                              </w:trPr>
                              <w:tc>
                                <w:tcPr>
                                  <w:tcW w:w="989" w:type="pct"/>
                                  <w:tcBorders>
                                    <w:top w:val="nil"/>
                                    <w:left w:val="nil"/>
                                    <w:bottom w:val="nil"/>
                                    <w:right w:val="nil"/>
                                  </w:tcBorders>
                                  <w:noWrap/>
                                  <w:hideMark/>
                                </w:tcPr>
                                <w:p w14:paraId="00BB839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Treasury Stock</w:t>
                                  </w:r>
                                </w:p>
                              </w:tc>
                              <w:tc>
                                <w:tcPr>
                                  <w:tcW w:w="573" w:type="pct"/>
                                  <w:tcBorders>
                                    <w:top w:val="nil"/>
                                    <w:left w:val="nil"/>
                                    <w:bottom w:val="nil"/>
                                    <w:right w:val="nil"/>
                                  </w:tcBorders>
                                  <w:hideMark/>
                                </w:tcPr>
                                <w:p w14:paraId="34B39A4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6931B97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33A5916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71C87D0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33724A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2B3C21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0529178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1B6CAA63" w14:textId="77777777" w:rsidTr="008C1A62">
                              <w:trPr>
                                <w:trHeight w:val="204"/>
                              </w:trPr>
                              <w:tc>
                                <w:tcPr>
                                  <w:tcW w:w="989" w:type="pct"/>
                                  <w:tcBorders>
                                    <w:top w:val="nil"/>
                                    <w:left w:val="nil"/>
                                    <w:bottom w:val="nil"/>
                                    <w:right w:val="nil"/>
                                  </w:tcBorders>
                                  <w:noWrap/>
                                  <w:hideMark/>
                                </w:tcPr>
                                <w:p w14:paraId="791BE4F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Comprehensive Inc. and Other</w:t>
                                  </w:r>
                                </w:p>
                              </w:tc>
                              <w:tc>
                                <w:tcPr>
                                  <w:tcW w:w="573" w:type="pct"/>
                                  <w:tcBorders>
                                    <w:top w:val="nil"/>
                                    <w:left w:val="nil"/>
                                    <w:bottom w:val="nil"/>
                                    <w:right w:val="nil"/>
                                  </w:tcBorders>
                                  <w:hideMark/>
                                </w:tcPr>
                                <w:p w14:paraId="3E2CE1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  </w:t>
                                  </w:r>
                                </w:p>
                              </w:tc>
                              <w:tc>
                                <w:tcPr>
                                  <w:tcW w:w="573" w:type="pct"/>
                                  <w:tcBorders>
                                    <w:top w:val="nil"/>
                                    <w:left w:val="nil"/>
                                    <w:bottom w:val="nil"/>
                                    <w:right w:val="nil"/>
                                  </w:tcBorders>
                                  <w:hideMark/>
                                </w:tcPr>
                                <w:p w14:paraId="5AE432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73" w:type="pct"/>
                                  <w:tcBorders>
                                    <w:top w:val="nil"/>
                                    <w:left w:val="nil"/>
                                    <w:bottom w:val="nil"/>
                                    <w:right w:val="nil"/>
                                  </w:tcBorders>
                                  <w:hideMark/>
                                </w:tcPr>
                                <w:p w14:paraId="7F70D23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263EC4F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5117A20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12AFE66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01259F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r>
                            <w:tr w:rsidR="008C1A62" w:rsidRPr="008C1A62" w14:paraId="3BAB5762" w14:textId="77777777" w:rsidTr="008C1A62">
                              <w:trPr>
                                <w:trHeight w:val="204"/>
                              </w:trPr>
                              <w:tc>
                                <w:tcPr>
                                  <w:tcW w:w="989" w:type="pct"/>
                                  <w:tcBorders>
                                    <w:top w:val="nil"/>
                                    <w:left w:val="nil"/>
                                    <w:bottom w:val="nil"/>
                                    <w:right w:val="nil"/>
                                  </w:tcBorders>
                                  <w:noWrap/>
                                  <w:hideMark/>
                                </w:tcPr>
                                <w:p w14:paraId="32D1645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Common Equity</w:t>
                                  </w:r>
                                </w:p>
                              </w:tc>
                              <w:tc>
                                <w:tcPr>
                                  <w:tcW w:w="573" w:type="pct"/>
                                  <w:tcBorders>
                                    <w:top w:val="single" w:sz="4" w:space="0" w:color="000000"/>
                                    <w:left w:val="nil"/>
                                    <w:bottom w:val="nil"/>
                                    <w:right w:val="nil"/>
                                  </w:tcBorders>
                                  <w:hideMark/>
                                </w:tcPr>
                                <w:p w14:paraId="2602604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15.2 </w:t>
                                  </w:r>
                                </w:p>
                              </w:tc>
                              <w:tc>
                                <w:tcPr>
                                  <w:tcW w:w="573" w:type="pct"/>
                                  <w:tcBorders>
                                    <w:top w:val="single" w:sz="4" w:space="0" w:color="000000"/>
                                    <w:left w:val="nil"/>
                                    <w:bottom w:val="nil"/>
                                    <w:right w:val="nil"/>
                                  </w:tcBorders>
                                  <w:hideMark/>
                                </w:tcPr>
                                <w:p w14:paraId="4434C57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18.3 </w:t>
                                  </w:r>
                                </w:p>
                              </w:tc>
                              <w:tc>
                                <w:tcPr>
                                  <w:tcW w:w="573" w:type="pct"/>
                                  <w:tcBorders>
                                    <w:top w:val="single" w:sz="4" w:space="0" w:color="000000"/>
                                    <w:left w:val="nil"/>
                                    <w:bottom w:val="nil"/>
                                    <w:right w:val="nil"/>
                                  </w:tcBorders>
                                  <w:hideMark/>
                                </w:tcPr>
                                <w:p w14:paraId="37877E5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17.6 </w:t>
                                  </w:r>
                                </w:p>
                              </w:tc>
                              <w:tc>
                                <w:tcPr>
                                  <w:tcW w:w="573" w:type="pct"/>
                                  <w:tcBorders>
                                    <w:top w:val="single" w:sz="4" w:space="0" w:color="000000"/>
                                    <w:left w:val="nil"/>
                                    <w:bottom w:val="nil"/>
                                    <w:right w:val="nil"/>
                                  </w:tcBorders>
                                  <w:hideMark/>
                                </w:tcPr>
                                <w:p w14:paraId="6406C28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20.6 </w:t>
                                  </w:r>
                                </w:p>
                              </w:tc>
                              <w:tc>
                                <w:tcPr>
                                  <w:tcW w:w="573" w:type="pct"/>
                                  <w:tcBorders>
                                    <w:top w:val="single" w:sz="4" w:space="0" w:color="000000"/>
                                    <w:left w:val="nil"/>
                                    <w:bottom w:val="nil"/>
                                    <w:right w:val="nil"/>
                                  </w:tcBorders>
                                  <w:hideMark/>
                                </w:tcPr>
                                <w:p w14:paraId="726240C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25.1 </w:t>
                                  </w:r>
                                </w:p>
                              </w:tc>
                              <w:tc>
                                <w:tcPr>
                                  <w:tcW w:w="573" w:type="pct"/>
                                  <w:tcBorders>
                                    <w:top w:val="single" w:sz="4" w:space="0" w:color="000000"/>
                                    <w:left w:val="nil"/>
                                    <w:bottom w:val="nil"/>
                                    <w:right w:val="nil"/>
                                  </w:tcBorders>
                                  <w:hideMark/>
                                </w:tcPr>
                                <w:p w14:paraId="3E5B52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23.6 </w:t>
                                  </w:r>
                                </w:p>
                              </w:tc>
                              <w:tc>
                                <w:tcPr>
                                  <w:tcW w:w="573" w:type="pct"/>
                                  <w:tcBorders>
                                    <w:top w:val="single" w:sz="4" w:space="0" w:color="000000"/>
                                    <w:left w:val="nil"/>
                                    <w:bottom w:val="nil"/>
                                    <w:right w:val="nil"/>
                                  </w:tcBorders>
                                  <w:hideMark/>
                                </w:tcPr>
                                <w:p w14:paraId="50828E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25.6 </w:t>
                                  </w:r>
                                </w:p>
                              </w:tc>
                            </w:tr>
                            <w:tr w:rsidR="008C1A62" w:rsidRPr="008C1A62" w14:paraId="427F61D1" w14:textId="77777777" w:rsidTr="008C1A62">
                              <w:trPr>
                                <w:trHeight w:val="204"/>
                              </w:trPr>
                              <w:tc>
                                <w:tcPr>
                                  <w:tcW w:w="989" w:type="pct"/>
                                  <w:tcBorders>
                                    <w:top w:val="nil"/>
                                    <w:left w:val="nil"/>
                                    <w:bottom w:val="nil"/>
                                    <w:right w:val="nil"/>
                                  </w:tcBorders>
                                  <w:noWrap/>
                                  <w:hideMark/>
                                </w:tcPr>
                                <w:p w14:paraId="3744193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Minority Interest</w:t>
                                  </w:r>
                                </w:p>
                              </w:tc>
                              <w:tc>
                                <w:tcPr>
                                  <w:tcW w:w="573" w:type="pct"/>
                                  <w:tcBorders>
                                    <w:top w:val="nil"/>
                                    <w:left w:val="nil"/>
                                    <w:bottom w:val="nil"/>
                                    <w:right w:val="nil"/>
                                  </w:tcBorders>
                                  <w:hideMark/>
                                </w:tcPr>
                                <w:p w14:paraId="4A87A81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51498AF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0D663B6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2601549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1C1779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BA2D01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016B7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789761E8" w14:textId="77777777" w:rsidTr="008C1A62">
                              <w:trPr>
                                <w:trHeight w:val="204"/>
                              </w:trPr>
                              <w:tc>
                                <w:tcPr>
                                  <w:tcW w:w="989" w:type="pct"/>
                                  <w:tcBorders>
                                    <w:top w:val="nil"/>
                                    <w:left w:val="nil"/>
                                    <w:bottom w:val="nil"/>
                                    <w:right w:val="nil"/>
                                  </w:tcBorders>
                                  <w:noWrap/>
                                  <w:hideMark/>
                                </w:tcPr>
                                <w:p w14:paraId="2BD8688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Equity</w:t>
                                  </w:r>
                                </w:p>
                              </w:tc>
                              <w:tc>
                                <w:tcPr>
                                  <w:tcW w:w="573" w:type="pct"/>
                                  <w:tcBorders>
                                    <w:top w:val="nil"/>
                                    <w:left w:val="nil"/>
                                    <w:bottom w:val="nil"/>
                                    <w:right w:val="nil"/>
                                  </w:tcBorders>
                                  <w:hideMark/>
                                </w:tcPr>
                                <w:p w14:paraId="282F594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15.6 </w:t>
                                  </w:r>
                                </w:p>
                              </w:tc>
                              <w:tc>
                                <w:tcPr>
                                  <w:tcW w:w="573" w:type="pct"/>
                                  <w:tcBorders>
                                    <w:top w:val="nil"/>
                                    <w:left w:val="nil"/>
                                    <w:bottom w:val="nil"/>
                                    <w:right w:val="nil"/>
                                  </w:tcBorders>
                                  <w:hideMark/>
                                </w:tcPr>
                                <w:p w14:paraId="3B80451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18.7 </w:t>
                                  </w:r>
                                </w:p>
                              </w:tc>
                              <w:tc>
                                <w:tcPr>
                                  <w:tcW w:w="573" w:type="pct"/>
                                  <w:tcBorders>
                                    <w:top w:val="nil"/>
                                    <w:left w:val="nil"/>
                                    <w:bottom w:val="nil"/>
                                    <w:right w:val="nil"/>
                                  </w:tcBorders>
                                  <w:hideMark/>
                                </w:tcPr>
                                <w:p w14:paraId="42E776D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18.1 </w:t>
                                  </w:r>
                                </w:p>
                              </w:tc>
                              <w:tc>
                                <w:tcPr>
                                  <w:tcW w:w="573" w:type="pct"/>
                                  <w:tcBorders>
                                    <w:top w:val="nil"/>
                                    <w:left w:val="nil"/>
                                    <w:bottom w:val="nil"/>
                                    <w:right w:val="nil"/>
                                  </w:tcBorders>
                                  <w:hideMark/>
                                </w:tcPr>
                                <w:p w14:paraId="44C62C9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20.6 </w:t>
                                  </w:r>
                                </w:p>
                              </w:tc>
                              <w:tc>
                                <w:tcPr>
                                  <w:tcW w:w="573" w:type="pct"/>
                                  <w:tcBorders>
                                    <w:top w:val="nil"/>
                                    <w:left w:val="nil"/>
                                    <w:bottom w:val="nil"/>
                                    <w:right w:val="nil"/>
                                  </w:tcBorders>
                                  <w:hideMark/>
                                </w:tcPr>
                                <w:p w14:paraId="01AA19B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25.1 </w:t>
                                  </w:r>
                                </w:p>
                              </w:tc>
                              <w:tc>
                                <w:tcPr>
                                  <w:tcW w:w="573" w:type="pct"/>
                                  <w:tcBorders>
                                    <w:top w:val="nil"/>
                                    <w:left w:val="nil"/>
                                    <w:bottom w:val="nil"/>
                                    <w:right w:val="nil"/>
                                  </w:tcBorders>
                                  <w:hideMark/>
                                </w:tcPr>
                                <w:p w14:paraId="75AA42E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23.6 </w:t>
                                  </w:r>
                                </w:p>
                              </w:tc>
                              <w:tc>
                                <w:tcPr>
                                  <w:tcW w:w="573" w:type="pct"/>
                                  <w:tcBorders>
                                    <w:top w:val="nil"/>
                                    <w:left w:val="nil"/>
                                    <w:bottom w:val="nil"/>
                                    <w:right w:val="nil"/>
                                  </w:tcBorders>
                                  <w:hideMark/>
                                </w:tcPr>
                                <w:p w14:paraId="1FD63AB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25.6 </w:t>
                                  </w:r>
                                </w:p>
                              </w:tc>
                            </w:tr>
                            <w:tr w:rsidR="008C1A62" w:rsidRPr="008C1A62" w14:paraId="3B80BB6A" w14:textId="77777777" w:rsidTr="008C1A62">
                              <w:trPr>
                                <w:trHeight w:val="204"/>
                              </w:trPr>
                              <w:tc>
                                <w:tcPr>
                                  <w:tcW w:w="989" w:type="pct"/>
                                  <w:tcBorders>
                                    <w:top w:val="nil"/>
                                    <w:left w:val="nil"/>
                                    <w:bottom w:val="nil"/>
                                    <w:right w:val="nil"/>
                                  </w:tcBorders>
                                  <w:noWrap/>
                                  <w:hideMark/>
                                </w:tcPr>
                                <w:p w14:paraId="629402E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Liabilities And Equity</w:t>
                                  </w:r>
                                </w:p>
                              </w:tc>
                              <w:tc>
                                <w:tcPr>
                                  <w:tcW w:w="573" w:type="pct"/>
                                  <w:tcBorders>
                                    <w:top w:val="nil"/>
                                    <w:left w:val="nil"/>
                                    <w:bottom w:val="nil"/>
                                    <w:right w:val="nil"/>
                                  </w:tcBorders>
                                  <w:hideMark/>
                                </w:tcPr>
                                <w:p w14:paraId="6340616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45.4 </w:t>
                                  </w:r>
                                </w:p>
                              </w:tc>
                              <w:tc>
                                <w:tcPr>
                                  <w:tcW w:w="573" w:type="pct"/>
                                  <w:tcBorders>
                                    <w:top w:val="nil"/>
                                    <w:left w:val="nil"/>
                                    <w:bottom w:val="nil"/>
                                    <w:right w:val="nil"/>
                                  </w:tcBorders>
                                  <w:hideMark/>
                                </w:tcPr>
                                <w:p w14:paraId="37E5DEE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55.6 </w:t>
                                  </w:r>
                                </w:p>
                              </w:tc>
                              <w:tc>
                                <w:tcPr>
                                  <w:tcW w:w="573" w:type="pct"/>
                                  <w:tcBorders>
                                    <w:top w:val="nil"/>
                                    <w:left w:val="nil"/>
                                    <w:bottom w:val="nil"/>
                                    <w:right w:val="nil"/>
                                  </w:tcBorders>
                                  <w:hideMark/>
                                </w:tcPr>
                                <w:p w14:paraId="08A4EAA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59.3 </w:t>
                                  </w:r>
                                </w:p>
                              </w:tc>
                              <w:tc>
                                <w:tcPr>
                                  <w:tcW w:w="573" w:type="pct"/>
                                  <w:tcBorders>
                                    <w:top w:val="nil"/>
                                    <w:left w:val="nil"/>
                                    <w:bottom w:val="nil"/>
                                    <w:right w:val="nil"/>
                                  </w:tcBorders>
                                  <w:hideMark/>
                                </w:tcPr>
                                <w:p w14:paraId="39CB055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64.2 </w:t>
                                  </w:r>
                                </w:p>
                              </w:tc>
                              <w:tc>
                                <w:tcPr>
                                  <w:tcW w:w="573" w:type="pct"/>
                                  <w:tcBorders>
                                    <w:top w:val="nil"/>
                                    <w:left w:val="nil"/>
                                    <w:bottom w:val="nil"/>
                                    <w:right w:val="nil"/>
                                  </w:tcBorders>
                                  <w:hideMark/>
                                </w:tcPr>
                                <w:p w14:paraId="3C990AC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69.0 </w:t>
                                  </w:r>
                                </w:p>
                              </w:tc>
                              <w:tc>
                                <w:tcPr>
                                  <w:tcW w:w="573" w:type="pct"/>
                                  <w:tcBorders>
                                    <w:top w:val="nil"/>
                                    <w:left w:val="nil"/>
                                    <w:bottom w:val="nil"/>
                                    <w:right w:val="nil"/>
                                  </w:tcBorders>
                                  <w:hideMark/>
                                </w:tcPr>
                                <w:p w14:paraId="563EB61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69.8 </w:t>
                                  </w:r>
                                </w:p>
                              </w:tc>
                              <w:tc>
                                <w:tcPr>
                                  <w:tcW w:w="573" w:type="pct"/>
                                  <w:tcBorders>
                                    <w:top w:val="nil"/>
                                    <w:left w:val="nil"/>
                                    <w:bottom w:val="nil"/>
                                    <w:right w:val="nil"/>
                                  </w:tcBorders>
                                  <w:hideMark/>
                                </w:tcPr>
                                <w:p w14:paraId="3EDCE6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73.2 </w:t>
                                  </w:r>
                                </w:p>
                              </w:tc>
                            </w:tr>
                          </w:tbl>
                          <w:p w14:paraId="3B1A37C4" w14:textId="399C0E6A" w:rsidR="008C1A62" w:rsidRDefault="008C1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B977" id="_x0000_s1054" type="#_x0000_t202" style="position:absolute;left:0;text-align:left;margin-left:0;margin-top:0;width:485.4pt;height:687.6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pFAIAAP8DAAAOAAAAZHJzL2Uyb0RvYy54bWysk99u2yAUxu8n7R0Q94sTL0lT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" stroked="f">
                <v:textbox>
                  <w:txbxContent>
                    <w:tbl>
                      <w:tblPr>
                        <w:tblW w:w="5000" w:type="pct"/>
                        <w:tblLook w:val="04A0" w:firstRow="1" w:lastRow="0" w:firstColumn="1" w:lastColumn="0" w:noHBand="0" w:noVBand="1"/>
                      </w:tblPr>
                      <w:tblGrid>
                        <w:gridCol w:w="2385"/>
                        <w:gridCol w:w="1005"/>
                        <w:gridCol w:w="1005"/>
                        <w:gridCol w:w="1005"/>
                        <w:gridCol w:w="1005"/>
                        <w:gridCol w:w="1005"/>
                        <w:gridCol w:w="1005"/>
                        <w:gridCol w:w="1006"/>
                      </w:tblGrid>
                      <w:tr w:rsidR="008C1A62" w:rsidRPr="008C1A62" w14:paraId="6E0EEAC5" w14:textId="77777777" w:rsidTr="008C1A62">
                        <w:trPr>
                          <w:trHeight w:val="324"/>
                        </w:trPr>
                        <w:tc>
                          <w:tcPr>
                            <w:tcW w:w="4427" w:type="pct"/>
                            <w:gridSpan w:val="7"/>
                            <w:tcBorders>
                              <w:top w:val="nil"/>
                              <w:left w:val="nil"/>
                              <w:bottom w:val="nil"/>
                              <w:right w:val="nil"/>
                            </w:tcBorders>
                            <w:noWrap/>
                            <w:vAlign w:val="bottom"/>
                            <w:hideMark/>
                          </w:tcPr>
                          <w:p w14:paraId="2EE5975E"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Costco Wholesale Corporation (</w:t>
                            </w:r>
                            <w:r w:rsidRPr="008C1A62">
                              <w:rPr>
                                <w:rFonts w:ascii="Cambria" w:eastAsia="Times New Roman" w:hAnsi="Cambria" w:cs="Arial"/>
                                <w:b/>
                                <w:bCs/>
                                <w:color w:val="000000"/>
                                <w:kern w:val="0"/>
                                <w:sz w:val="14"/>
                                <w:szCs w:val="14"/>
                                <w:lang w:eastAsia="en-IN"/>
                                <w14:ligatures w14:val="none"/>
                              </w:rPr>
                              <w:t>NasdaqGS:COST) &gt; Financials &gt; Balance Sheet</w:t>
                            </w:r>
                          </w:p>
                        </w:tc>
                        <w:tc>
                          <w:tcPr>
                            <w:tcW w:w="573" w:type="pct"/>
                            <w:tcBorders>
                              <w:top w:val="nil"/>
                              <w:left w:val="nil"/>
                              <w:bottom w:val="nil"/>
                              <w:right w:val="nil"/>
                            </w:tcBorders>
                            <w:noWrap/>
                            <w:vAlign w:val="bottom"/>
                            <w:hideMark/>
                          </w:tcPr>
                          <w:p w14:paraId="38ECC35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r>
                      <w:tr w:rsidR="008C1A62" w:rsidRPr="008C1A62" w14:paraId="0842E9E8" w14:textId="77777777" w:rsidTr="008C1A62">
                        <w:trPr>
                          <w:trHeight w:val="204"/>
                        </w:trPr>
                        <w:tc>
                          <w:tcPr>
                            <w:tcW w:w="989" w:type="pct"/>
                            <w:tcBorders>
                              <w:top w:val="nil"/>
                              <w:left w:val="nil"/>
                              <w:bottom w:val="nil"/>
                              <w:right w:val="nil"/>
                            </w:tcBorders>
                            <w:shd w:val="clear" w:color="000000" w:fill="003366"/>
                            <w:noWrap/>
                            <w:vAlign w:val="bottom"/>
                            <w:hideMark/>
                          </w:tcPr>
                          <w:p w14:paraId="4D5185AC"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Balance Sheet</w:t>
                            </w:r>
                          </w:p>
                        </w:tc>
                        <w:tc>
                          <w:tcPr>
                            <w:tcW w:w="573" w:type="pct"/>
                            <w:tcBorders>
                              <w:top w:val="nil"/>
                              <w:left w:val="nil"/>
                              <w:bottom w:val="nil"/>
                              <w:right w:val="nil"/>
                            </w:tcBorders>
                            <w:shd w:val="clear" w:color="000000" w:fill="003366"/>
                            <w:noWrap/>
                            <w:vAlign w:val="bottom"/>
                            <w:hideMark/>
                          </w:tcPr>
                          <w:p w14:paraId="4B81E5E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515EE27B"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40236EA9"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2A592B67"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39E2D85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4E939911"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73" w:type="pct"/>
                            <w:tcBorders>
                              <w:top w:val="nil"/>
                              <w:left w:val="nil"/>
                              <w:bottom w:val="nil"/>
                              <w:right w:val="nil"/>
                            </w:tcBorders>
                            <w:shd w:val="clear" w:color="000000" w:fill="003366"/>
                            <w:noWrap/>
                            <w:vAlign w:val="bottom"/>
                            <w:hideMark/>
                          </w:tcPr>
                          <w:p w14:paraId="0F63F1E0"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r>
                      <w:tr w:rsidR="008C1A62" w:rsidRPr="008C1A62" w14:paraId="4BD1A0BA" w14:textId="77777777" w:rsidTr="008C1A62">
                        <w:trPr>
                          <w:trHeight w:val="408"/>
                        </w:trPr>
                        <w:tc>
                          <w:tcPr>
                            <w:tcW w:w="989" w:type="pct"/>
                            <w:tcBorders>
                              <w:top w:val="nil"/>
                              <w:left w:val="nil"/>
                              <w:bottom w:val="nil"/>
                              <w:right w:val="nil"/>
                            </w:tcBorders>
                            <w:shd w:val="clear" w:color="000000" w:fill="F0F0DC"/>
                            <w:vAlign w:val="bottom"/>
                            <w:hideMark/>
                          </w:tcPr>
                          <w:p w14:paraId="0A14205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Balance Sheet as of:</w:t>
                            </w:r>
                          </w:p>
                        </w:tc>
                        <w:tc>
                          <w:tcPr>
                            <w:tcW w:w="573" w:type="pct"/>
                            <w:tcBorders>
                              <w:top w:val="nil"/>
                              <w:left w:val="nil"/>
                              <w:bottom w:val="nil"/>
                              <w:right w:val="nil"/>
                            </w:tcBorders>
                            <w:shd w:val="clear" w:color="000000" w:fill="F0F0DC"/>
                            <w:vAlign w:val="bottom"/>
                            <w:hideMark/>
                          </w:tcPr>
                          <w:p w14:paraId="412A09F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Sep-01-2019</w:t>
                            </w:r>
                          </w:p>
                        </w:tc>
                        <w:tc>
                          <w:tcPr>
                            <w:tcW w:w="573" w:type="pct"/>
                            <w:tcBorders>
                              <w:top w:val="nil"/>
                              <w:left w:val="nil"/>
                              <w:bottom w:val="nil"/>
                              <w:right w:val="nil"/>
                            </w:tcBorders>
                            <w:shd w:val="clear" w:color="000000" w:fill="F0F0DC"/>
                            <w:vAlign w:val="bottom"/>
                            <w:hideMark/>
                          </w:tcPr>
                          <w:p w14:paraId="04CC35F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Aug-30-2020</w:t>
                            </w:r>
                          </w:p>
                        </w:tc>
                        <w:tc>
                          <w:tcPr>
                            <w:tcW w:w="573" w:type="pct"/>
                            <w:tcBorders>
                              <w:top w:val="nil"/>
                              <w:left w:val="nil"/>
                              <w:bottom w:val="nil"/>
                              <w:right w:val="nil"/>
                            </w:tcBorders>
                            <w:shd w:val="clear" w:color="000000" w:fill="F0F0DC"/>
                            <w:vAlign w:val="bottom"/>
                            <w:hideMark/>
                          </w:tcPr>
                          <w:p w14:paraId="293E652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Aug-29-2021</w:t>
                            </w:r>
                          </w:p>
                        </w:tc>
                        <w:tc>
                          <w:tcPr>
                            <w:tcW w:w="573" w:type="pct"/>
                            <w:tcBorders>
                              <w:top w:val="nil"/>
                              <w:left w:val="nil"/>
                              <w:bottom w:val="nil"/>
                              <w:right w:val="nil"/>
                            </w:tcBorders>
                            <w:shd w:val="clear" w:color="000000" w:fill="F0F0DC"/>
                            <w:vAlign w:val="bottom"/>
                            <w:hideMark/>
                          </w:tcPr>
                          <w:p w14:paraId="59BA38C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Aug-28-2022</w:t>
                            </w:r>
                          </w:p>
                        </w:tc>
                        <w:tc>
                          <w:tcPr>
                            <w:tcW w:w="573" w:type="pct"/>
                            <w:tcBorders>
                              <w:top w:val="nil"/>
                              <w:left w:val="nil"/>
                              <w:bottom w:val="nil"/>
                              <w:right w:val="nil"/>
                            </w:tcBorders>
                            <w:shd w:val="clear" w:color="000000" w:fill="F0F0DC"/>
                            <w:vAlign w:val="bottom"/>
                            <w:hideMark/>
                          </w:tcPr>
                          <w:p w14:paraId="5821981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Sep-03-2023</w:t>
                            </w:r>
                          </w:p>
                        </w:tc>
                        <w:tc>
                          <w:tcPr>
                            <w:tcW w:w="573" w:type="pct"/>
                            <w:tcBorders>
                              <w:top w:val="nil"/>
                              <w:left w:val="nil"/>
                              <w:bottom w:val="nil"/>
                              <w:right w:val="nil"/>
                            </w:tcBorders>
                            <w:shd w:val="clear" w:color="000000" w:fill="F0F0DC"/>
                            <w:vAlign w:val="bottom"/>
                            <w:hideMark/>
                          </w:tcPr>
                          <w:p w14:paraId="1BD57E9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Sep-01-2024</w:t>
                            </w:r>
                          </w:p>
                        </w:tc>
                        <w:tc>
                          <w:tcPr>
                            <w:tcW w:w="573" w:type="pct"/>
                            <w:tcBorders>
                              <w:top w:val="nil"/>
                              <w:left w:val="nil"/>
                              <w:bottom w:val="nil"/>
                              <w:right w:val="nil"/>
                            </w:tcBorders>
                            <w:shd w:val="clear" w:color="000000" w:fill="F0F0DC"/>
                            <w:vAlign w:val="bottom"/>
                            <w:hideMark/>
                          </w:tcPr>
                          <w:p w14:paraId="6866D3A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Press Release</w:t>
                            </w:r>
                            <w:r w:rsidRPr="008C1A62">
                              <w:rPr>
                                <w:rFonts w:ascii="Cambria" w:eastAsia="Times New Roman" w:hAnsi="Cambria" w:cs="Arial"/>
                                <w:b/>
                                <w:bCs/>
                                <w:color w:val="000000"/>
                                <w:kern w:val="0"/>
                                <w:sz w:val="14"/>
                                <w:szCs w:val="14"/>
                                <w:lang w:eastAsia="en-IN"/>
                                <w14:ligatures w14:val="none"/>
                              </w:rPr>
                              <w:br/>
                              <w:t>Feb-16-2025</w:t>
                            </w:r>
                          </w:p>
                        </w:tc>
                      </w:tr>
                      <w:tr w:rsidR="008C1A62" w:rsidRPr="008C1A62" w14:paraId="2E0196E4" w14:textId="77777777" w:rsidTr="008C1A62">
                        <w:trPr>
                          <w:trHeight w:val="204"/>
                        </w:trPr>
                        <w:tc>
                          <w:tcPr>
                            <w:tcW w:w="989" w:type="pct"/>
                            <w:tcBorders>
                              <w:top w:val="nil"/>
                              <w:left w:val="nil"/>
                              <w:bottom w:val="nil"/>
                              <w:right w:val="nil"/>
                            </w:tcBorders>
                            <w:shd w:val="clear" w:color="000000" w:fill="F0F0DC"/>
                            <w:vAlign w:val="bottom"/>
                            <w:hideMark/>
                          </w:tcPr>
                          <w:p w14:paraId="440FE639" w14:textId="77777777" w:rsidR="008C1A62" w:rsidRPr="008C1A62" w:rsidRDefault="008C1A62" w:rsidP="008C1A62">
                            <w:pPr>
                              <w:spacing w:after="0" w:line="240" w:lineRule="auto"/>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Currency</w:t>
                            </w:r>
                          </w:p>
                        </w:tc>
                        <w:tc>
                          <w:tcPr>
                            <w:tcW w:w="573" w:type="pct"/>
                            <w:tcBorders>
                              <w:top w:val="nil"/>
                              <w:left w:val="nil"/>
                              <w:bottom w:val="nil"/>
                              <w:right w:val="nil"/>
                            </w:tcBorders>
                            <w:shd w:val="clear" w:color="000000" w:fill="F0F0DC"/>
                            <w:vAlign w:val="bottom"/>
                            <w:hideMark/>
                          </w:tcPr>
                          <w:p w14:paraId="30FFECB4"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6528809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5DDB1553"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38CDE885"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4E5E0836"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086DEDEA"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73" w:type="pct"/>
                            <w:tcBorders>
                              <w:top w:val="nil"/>
                              <w:left w:val="nil"/>
                              <w:bottom w:val="nil"/>
                              <w:right w:val="nil"/>
                            </w:tcBorders>
                            <w:shd w:val="clear" w:color="000000" w:fill="F0F0DC"/>
                            <w:vAlign w:val="bottom"/>
                            <w:hideMark/>
                          </w:tcPr>
                          <w:p w14:paraId="7C4CEBD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r>
                      <w:tr w:rsidR="008C1A62" w:rsidRPr="008C1A62" w14:paraId="0CFB2FB0" w14:textId="77777777" w:rsidTr="008C1A62">
                        <w:trPr>
                          <w:trHeight w:val="204"/>
                        </w:trPr>
                        <w:tc>
                          <w:tcPr>
                            <w:tcW w:w="989" w:type="pct"/>
                            <w:tcBorders>
                              <w:top w:val="nil"/>
                              <w:left w:val="nil"/>
                              <w:bottom w:val="nil"/>
                              <w:right w:val="nil"/>
                            </w:tcBorders>
                            <w:noWrap/>
                            <w:hideMark/>
                          </w:tcPr>
                          <w:p w14:paraId="0E066A65"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ASSETS</w:t>
                            </w:r>
                          </w:p>
                        </w:tc>
                        <w:tc>
                          <w:tcPr>
                            <w:tcW w:w="573" w:type="pct"/>
                            <w:tcBorders>
                              <w:top w:val="nil"/>
                              <w:left w:val="nil"/>
                              <w:bottom w:val="nil"/>
                              <w:right w:val="nil"/>
                            </w:tcBorders>
                            <w:noWrap/>
                            <w:hideMark/>
                          </w:tcPr>
                          <w:p w14:paraId="272C55B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c>
                          <w:tcPr>
                            <w:tcW w:w="573" w:type="pct"/>
                            <w:tcBorders>
                              <w:top w:val="nil"/>
                              <w:left w:val="nil"/>
                              <w:bottom w:val="nil"/>
                              <w:right w:val="nil"/>
                            </w:tcBorders>
                            <w:noWrap/>
                            <w:hideMark/>
                          </w:tcPr>
                          <w:p w14:paraId="6AE05F8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CBEDF3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018735C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B25D3A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53488E7"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3B74DAD0"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r>
                      <w:tr w:rsidR="008C1A62" w:rsidRPr="008C1A62" w14:paraId="665187FB" w14:textId="77777777" w:rsidTr="008C1A62">
                        <w:trPr>
                          <w:trHeight w:val="204"/>
                        </w:trPr>
                        <w:tc>
                          <w:tcPr>
                            <w:tcW w:w="989" w:type="pct"/>
                            <w:tcBorders>
                              <w:top w:val="nil"/>
                              <w:left w:val="nil"/>
                              <w:bottom w:val="nil"/>
                              <w:right w:val="nil"/>
                            </w:tcBorders>
                            <w:noWrap/>
                            <w:hideMark/>
                          </w:tcPr>
                          <w:p w14:paraId="1B61296A"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Cash And Equivalents</w:t>
                            </w:r>
                          </w:p>
                        </w:tc>
                        <w:tc>
                          <w:tcPr>
                            <w:tcW w:w="573" w:type="pct"/>
                            <w:tcBorders>
                              <w:top w:val="nil"/>
                              <w:left w:val="nil"/>
                              <w:bottom w:val="nil"/>
                              <w:right w:val="nil"/>
                            </w:tcBorders>
                            <w:hideMark/>
                          </w:tcPr>
                          <w:p w14:paraId="797E7D0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8.4 </w:t>
                            </w:r>
                          </w:p>
                        </w:tc>
                        <w:tc>
                          <w:tcPr>
                            <w:tcW w:w="573" w:type="pct"/>
                            <w:tcBorders>
                              <w:top w:val="nil"/>
                              <w:left w:val="nil"/>
                              <w:bottom w:val="nil"/>
                              <w:right w:val="nil"/>
                            </w:tcBorders>
                            <w:hideMark/>
                          </w:tcPr>
                          <w:p w14:paraId="048E83B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12.3 </w:t>
                            </w:r>
                          </w:p>
                        </w:tc>
                        <w:tc>
                          <w:tcPr>
                            <w:tcW w:w="573" w:type="pct"/>
                            <w:tcBorders>
                              <w:top w:val="nil"/>
                              <w:left w:val="nil"/>
                              <w:bottom w:val="nil"/>
                              <w:right w:val="nil"/>
                            </w:tcBorders>
                            <w:hideMark/>
                          </w:tcPr>
                          <w:p w14:paraId="6A6053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11.3 </w:t>
                            </w:r>
                          </w:p>
                        </w:tc>
                        <w:tc>
                          <w:tcPr>
                            <w:tcW w:w="573" w:type="pct"/>
                            <w:tcBorders>
                              <w:top w:val="nil"/>
                              <w:left w:val="nil"/>
                              <w:bottom w:val="nil"/>
                              <w:right w:val="nil"/>
                            </w:tcBorders>
                            <w:hideMark/>
                          </w:tcPr>
                          <w:p w14:paraId="0C7DD7D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10.2 </w:t>
                            </w:r>
                          </w:p>
                        </w:tc>
                        <w:tc>
                          <w:tcPr>
                            <w:tcW w:w="573" w:type="pct"/>
                            <w:tcBorders>
                              <w:top w:val="nil"/>
                              <w:left w:val="nil"/>
                              <w:bottom w:val="nil"/>
                              <w:right w:val="nil"/>
                            </w:tcBorders>
                            <w:hideMark/>
                          </w:tcPr>
                          <w:p w14:paraId="52CF3B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13.7 </w:t>
                            </w:r>
                          </w:p>
                        </w:tc>
                        <w:tc>
                          <w:tcPr>
                            <w:tcW w:w="573" w:type="pct"/>
                            <w:tcBorders>
                              <w:top w:val="nil"/>
                              <w:left w:val="nil"/>
                              <w:bottom w:val="nil"/>
                              <w:right w:val="nil"/>
                            </w:tcBorders>
                            <w:hideMark/>
                          </w:tcPr>
                          <w:p w14:paraId="73223E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9.9 </w:t>
                            </w:r>
                          </w:p>
                        </w:tc>
                        <w:tc>
                          <w:tcPr>
                            <w:tcW w:w="573" w:type="pct"/>
                            <w:tcBorders>
                              <w:top w:val="nil"/>
                              <w:left w:val="nil"/>
                              <w:bottom w:val="nil"/>
                              <w:right w:val="nil"/>
                            </w:tcBorders>
                            <w:hideMark/>
                          </w:tcPr>
                          <w:p w14:paraId="03D6E6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12.4 </w:t>
                            </w:r>
                          </w:p>
                        </w:tc>
                      </w:tr>
                      <w:tr w:rsidR="008C1A62" w:rsidRPr="008C1A62" w14:paraId="6CD690FE" w14:textId="77777777" w:rsidTr="008C1A62">
                        <w:trPr>
                          <w:trHeight w:val="204"/>
                        </w:trPr>
                        <w:tc>
                          <w:tcPr>
                            <w:tcW w:w="989" w:type="pct"/>
                            <w:tcBorders>
                              <w:top w:val="nil"/>
                              <w:left w:val="nil"/>
                              <w:bottom w:val="nil"/>
                              <w:right w:val="nil"/>
                            </w:tcBorders>
                            <w:noWrap/>
                            <w:hideMark/>
                          </w:tcPr>
                          <w:p w14:paraId="60DA9979"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Investments</w:t>
                            </w:r>
                          </w:p>
                        </w:tc>
                        <w:tc>
                          <w:tcPr>
                            <w:tcW w:w="573" w:type="pct"/>
                            <w:tcBorders>
                              <w:top w:val="nil"/>
                              <w:left w:val="nil"/>
                              <w:bottom w:val="nil"/>
                              <w:right w:val="nil"/>
                            </w:tcBorders>
                            <w:hideMark/>
                          </w:tcPr>
                          <w:p w14:paraId="3D3EA9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27F489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B46852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0B70321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6A3E8A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7C4B8B2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73" w:type="pct"/>
                            <w:tcBorders>
                              <w:top w:val="nil"/>
                              <w:left w:val="nil"/>
                              <w:bottom w:val="nil"/>
                              <w:right w:val="nil"/>
                            </w:tcBorders>
                            <w:hideMark/>
                          </w:tcPr>
                          <w:p w14:paraId="79271ED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r>
                      <w:tr w:rsidR="008C1A62" w:rsidRPr="008C1A62" w14:paraId="614D43B4" w14:textId="77777777" w:rsidTr="008C1A62">
                        <w:trPr>
                          <w:trHeight w:val="204"/>
                        </w:trPr>
                        <w:tc>
                          <w:tcPr>
                            <w:tcW w:w="989" w:type="pct"/>
                            <w:tcBorders>
                              <w:top w:val="nil"/>
                              <w:left w:val="nil"/>
                              <w:bottom w:val="nil"/>
                              <w:right w:val="nil"/>
                            </w:tcBorders>
                            <w:noWrap/>
                            <w:hideMark/>
                          </w:tcPr>
                          <w:p w14:paraId="7E85425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Cash &amp; ST Investments</w:t>
                            </w:r>
                          </w:p>
                        </w:tc>
                        <w:tc>
                          <w:tcPr>
                            <w:tcW w:w="573" w:type="pct"/>
                            <w:tcBorders>
                              <w:top w:val="single" w:sz="4" w:space="0" w:color="000000"/>
                              <w:left w:val="nil"/>
                              <w:bottom w:val="nil"/>
                              <w:right w:val="nil"/>
                            </w:tcBorders>
                            <w:hideMark/>
                          </w:tcPr>
                          <w:p w14:paraId="594F6E0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9.4 </w:t>
                            </w:r>
                          </w:p>
                        </w:tc>
                        <w:tc>
                          <w:tcPr>
                            <w:tcW w:w="573" w:type="pct"/>
                            <w:tcBorders>
                              <w:top w:val="single" w:sz="4" w:space="0" w:color="000000"/>
                              <w:left w:val="nil"/>
                              <w:bottom w:val="nil"/>
                              <w:right w:val="nil"/>
                            </w:tcBorders>
                            <w:hideMark/>
                          </w:tcPr>
                          <w:p w14:paraId="573DF69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13.3 </w:t>
                            </w:r>
                          </w:p>
                        </w:tc>
                        <w:tc>
                          <w:tcPr>
                            <w:tcW w:w="573" w:type="pct"/>
                            <w:tcBorders>
                              <w:top w:val="single" w:sz="4" w:space="0" w:color="000000"/>
                              <w:left w:val="nil"/>
                              <w:bottom w:val="nil"/>
                              <w:right w:val="nil"/>
                            </w:tcBorders>
                            <w:hideMark/>
                          </w:tcPr>
                          <w:p w14:paraId="7F28C63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12.2 </w:t>
                            </w:r>
                          </w:p>
                        </w:tc>
                        <w:tc>
                          <w:tcPr>
                            <w:tcW w:w="573" w:type="pct"/>
                            <w:tcBorders>
                              <w:top w:val="single" w:sz="4" w:space="0" w:color="000000"/>
                              <w:left w:val="nil"/>
                              <w:bottom w:val="nil"/>
                              <w:right w:val="nil"/>
                            </w:tcBorders>
                            <w:hideMark/>
                          </w:tcPr>
                          <w:p w14:paraId="5A49B00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11.0 </w:t>
                            </w:r>
                          </w:p>
                        </w:tc>
                        <w:tc>
                          <w:tcPr>
                            <w:tcW w:w="573" w:type="pct"/>
                            <w:tcBorders>
                              <w:top w:val="single" w:sz="4" w:space="0" w:color="000000"/>
                              <w:left w:val="nil"/>
                              <w:bottom w:val="nil"/>
                              <w:right w:val="nil"/>
                            </w:tcBorders>
                            <w:hideMark/>
                          </w:tcPr>
                          <w:p w14:paraId="57F3F53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15.2 </w:t>
                            </w:r>
                          </w:p>
                        </w:tc>
                        <w:tc>
                          <w:tcPr>
                            <w:tcW w:w="573" w:type="pct"/>
                            <w:tcBorders>
                              <w:top w:val="single" w:sz="4" w:space="0" w:color="000000"/>
                              <w:left w:val="nil"/>
                              <w:bottom w:val="nil"/>
                              <w:right w:val="nil"/>
                            </w:tcBorders>
                            <w:hideMark/>
                          </w:tcPr>
                          <w:p w14:paraId="4512D03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11.1 </w:t>
                            </w:r>
                          </w:p>
                        </w:tc>
                        <w:tc>
                          <w:tcPr>
                            <w:tcW w:w="573" w:type="pct"/>
                            <w:tcBorders>
                              <w:top w:val="single" w:sz="4" w:space="0" w:color="000000"/>
                              <w:left w:val="nil"/>
                              <w:bottom w:val="nil"/>
                              <w:right w:val="nil"/>
                            </w:tcBorders>
                            <w:hideMark/>
                          </w:tcPr>
                          <w:p w14:paraId="7DCA9F4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13.2 </w:t>
                            </w:r>
                          </w:p>
                        </w:tc>
                      </w:tr>
                      <w:tr w:rsidR="008C1A62" w:rsidRPr="008C1A62" w14:paraId="234C0251" w14:textId="77777777" w:rsidTr="008C1A62">
                        <w:trPr>
                          <w:trHeight w:val="204"/>
                        </w:trPr>
                        <w:tc>
                          <w:tcPr>
                            <w:tcW w:w="989" w:type="pct"/>
                            <w:tcBorders>
                              <w:top w:val="nil"/>
                              <w:left w:val="nil"/>
                              <w:bottom w:val="nil"/>
                              <w:right w:val="nil"/>
                            </w:tcBorders>
                            <w:noWrap/>
                            <w:hideMark/>
                          </w:tcPr>
                          <w:p w14:paraId="6C2B333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Accounts Receivable</w:t>
                            </w:r>
                          </w:p>
                        </w:tc>
                        <w:tc>
                          <w:tcPr>
                            <w:tcW w:w="573" w:type="pct"/>
                            <w:tcBorders>
                              <w:top w:val="nil"/>
                              <w:left w:val="nil"/>
                              <w:bottom w:val="nil"/>
                              <w:right w:val="nil"/>
                            </w:tcBorders>
                            <w:hideMark/>
                          </w:tcPr>
                          <w:p w14:paraId="5058DB9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7BECE7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 </w:t>
                            </w:r>
                          </w:p>
                        </w:tc>
                        <w:tc>
                          <w:tcPr>
                            <w:tcW w:w="573" w:type="pct"/>
                            <w:tcBorders>
                              <w:top w:val="nil"/>
                              <w:left w:val="nil"/>
                              <w:bottom w:val="nil"/>
                              <w:right w:val="nil"/>
                            </w:tcBorders>
                            <w:hideMark/>
                          </w:tcPr>
                          <w:p w14:paraId="4A6F7ED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32614E1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73" w:type="pct"/>
                            <w:tcBorders>
                              <w:top w:val="nil"/>
                              <w:left w:val="nil"/>
                              <w:bottom w:val="nil"/>
                              <w:right w:val="nil"/>
                            </w:tcBorders>
                            <w:hideMark/>
                          </w:tcPr>
                          <w:p w14:paraId="59FD1E8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73" w:type="pct"/>
                            <w:tcBorders>
                              <w:top w:val="nil"/>
                              <w:left w:val="nil"/>
                              <w:bottom w:val="nil"/>
                              <w:right w:val="nil"/>
                            </w:tcBorders>
                            <w:hideMark/>
                          </w:tcPr>
                          <w:p w14:paraId="5E89AD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2.7 </w:t>
                            </w:r>
                          </w:p>
                        </w:tc>
                        <w:tc>
                          <w:tcPr>
                            <w:tcW w:w="573" w:type="pct"/>
                            <w:tcBorders>
                              <w:top w:val="nil"/>
                              <w:left w:val="nil"/>
                              <w:bottom w:val="nil"/>
                              <w:right w:val="nil"/>
                            </w:tcBorders>
                            <w:hideMark/>
                          </w:tcPr>
                          <w:p w14:paraId="62C10E3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3.1 </w:t>
                            </w:r>
                          </w:p>
                        </w:tc>
                      </w:tr>
                      <w:tr w:rsidR="008C1A62" w:rsidRPr="008C1A62" w14:paraId="6A1C38E2" w14:textId="77777777" w:rsidTr="008C1A62">
                        <w:trPr>
                          <w:trHeight w:val="204"/>
                        </w:trPr>
                        <w:tc>
                          <w:tcPr>
                            <w:tcW w:w="989" w:type="pct"/>
                            <w:tcBorders>
                              <w:top w:val="nil"/>
                              <w:left w:val="nil"/>
                              <w:bottom w:val="nil"/>
                              <w:right w:val="nil"/>
                            </w:tcBorders>
                            <w:noWrap/>
                            <w:hideMark/>
                          </w:tcPr>
                          <w:p w14:paraId="3601B43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Receivables</w:t>
                            </w:r>
                          </w:p>
                        </w:tc>
                        <w:tc>
                          <w:tcPr>
                            <w:tcW w:w="573" w:type="pct"/>
                            <w:tcBorders>
                              <w:top w:val="single" w:sz="4" w:space="0" w:color="000000"/>
                              <w:left w:val="nil"/>
                              <w:bottom w:val="nil"/>
                              <w:right w:val="nil"/>
                            </w:tcBorders>
                            <w:hideMark/>
                          </w:tcPr>
                          <w:p w14:paraId="7A6AA2A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73" w:type="pct"/>
                            <w:tcBorders>
                              <w:top w:val="single" w:sz="4" w:space="0" w:color="000000"/>
                              <w:left w:val="nil"/>
                              <w:bottom w:val="nil"/>
                              <w:right w:val="nil"/>
                            </w:tcBorders>
                            <w:hideMark/>
                          </w:tcPr>
                          <w:p w14:paraId="67EFAFB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1.6 </w:t>
                            </w:r>
                          </w:p>
                        </w:tc>
                        <w:tc>
                          <w:tcPr>
                            <w:tcW w:w="573" w:type="pct"/>
                            <w:tcBorders>
                              <w:top w:val="single" w:sz="4" w:space="0" w:color="000000"/>
                              <w:left w:val="nil"/>
                              <w:bottom w:val="nil"/>
                              <w:right w:val="nil"/>
                            </w:tcBorders>
                            <w:hideMark/>
                          </w:tcPr>
                          <w:p w14:paraId="7136179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 </w:t>
                            </w:r>
                          </w:p>
                        </w:tc>
                        <w:tc>
                          <w:tcPr>
                            <w:tcW w:w="573" w:type="pct"/>
                            <w:tcBorders>
                              <w:top w:val="single" w:sz="4" w:space="0" w:color="000000"/>
                              <w:left w:val="nil"/>
                              <w:bottom w:val="nil"/>
                              <w:right w:val="nil"/>
                            </w:tcBorders>
                            <w:hideMark/>
                          </w:tcPr>
                          <w:p w14:paraId="4334CB1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2.2 </w:t>
                            </w:r>
                          </w:p>
                        </w:tc>
                        <w:tc>
                          <w:tcPr>
                            <w:tcW w:w="573" w:type="pct"/>
                            <w:tcBorders>
                              <w:top w:val="single" w:sz="4" w:space="0" w:color="000000"/>
                              <w:left w:val="nil"/>
                              <w:bottom w:val="nil"/>
                              <w:right w:val="nil"/>
                            </w:tcBorders>
                            <w:hideMark/>
                          </w:tcPr>
                          <w:p w14:paraId="5B5FD7F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 </w:t>
                            </w:r>
                          </w:p>
                        </w:tc>
                        <w:tc>
                          <w:tcPr>
                            <w:tcW w:w="573" w:type="pct"/>
                            <w:tcBorders>
                              <w:top w:val="single" w:sz="4" w:space="0" w:color="000000"/>
                              <w:left w:val="nil"/>
                              <w:bottom w:val="nil"/>
                              <w:right w:val="nil"/>
                            </w:tcBorders>
                            <w:hideMark/>
                          </w:tcPr>
                          <w:p w14:paraId="06EC274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2.7 </w:t>
                            </w:r>
                          </w:p>
                        </w:tc>
                        <w:tc>
                          <w:tcPr>
                            <w:tcW w:w="573" w:type="pct"/>
                            <w:tcBorders>
                              <w:top w:val="single" w:sz="4" w:space="0" w:color="000000"/>
                              <w:left w:val="nil"/>
                              <w:bottom w:val="nil"/>
                              <w:right w:val="nil"/>
                            </w:tcBorders>
                            <w:hideMark/>
                          </w:tcPr>
                          <w:p w14:paraId="2CAC53E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3.1 </w:t>
                            </w:r>
                          </w:p>
                        </w:tc>
                      </w:tr>
                      <w:tr w:rsidR="008C1A62" w:rsidRPr="008C1A62" w14:paraId="1AD20753" w14:textId="77777777" w:rsidTr="008C1A62">
                        <w:trPr>
                          <w:trHeight w:val="204"/>
                        </w:trPr>
                        <w:tc>
                          <w:tcPr>
                            <w:tcW w:w="989" w:type="pct"/>
                            <w:tcBorders>
                              <w:top w:val="nil"/>
                              <w:left w:val="nil"/>
                              <w:bottom w:val="nil"/>
                              <w:right w:val="nil"/>
                            </w:tcBorders>
                            <w:noWrap/>
                            <w:hideMark/>
                          </w:tcPr>
                          <w:p w14:paraId="57BF2020"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Inventory</w:t>
                            </w:r>
                          </w:p>
                        </w:tc>
                        <w:tc>
                          <w:tcPr>
                            <w:tcW w:w="573" w:type="pct"/>
                            <w:tcBorders>
                              <w:top w:val="nil"/>
                              <w:left w:val="nil"/>
                              <w:bottom w:val="nil"/>
                              <w:right w:val="nil"/>
                            </w:tcBorders>
                            <w:hideMark/>
                          </w:tcPr>
                          <w:p w14:paraId="5A4046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11.4 </w:t>
                            </w:r>
                          </w:p>
                        </w:tc>
                        <w:tc>
                          <w:tcPr>
                            <w:tcW w:w="573" w:type="pct"/>
                            <w:tcBorders>
                              <w:top w:val="nil"/>
                              <w:left w:val="nil"/>
                              <w:bottom w:val="nil"/>
                              <w:right w:val="nil"/>
                            </w:tcBorders>
                            <w:hideMark/>
                          </w:tcPr>
                          <w:p w14:paraId="6ED5567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12.2 </w:t>
                            </w:r>
                          </w:p>
                        </w:tc>
                        <w:tc>
                          <w:tcPr>
                            <w:tcW w:w="573" w:type="pct"/>
                            <w:tcBorders>
                              <w:top w:val="nil"/>
                              <w:left w:val="nil"/>
                              <w:bottom w:val="nil"/>
                              <w:right w:val="nil"/>
                            </w:tcBorders>
                            <w:hideMark/>
                          </w:tcPr>
                          <w:p w14:paraId="09637F1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4910012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17.9 </w:t>
                            </w:r>
                          </w:p>
                        </w:tc>
                        <w:tc>
                          <w:tcPr>
                            <w:tcW w:w="573" w:type="pct"/>
                            <w:tcBorders>
                              <w:top w:val="nil"/>
                              <w:left w:val="nil"/>
                              <w:bottom w:val="nil"/>
                              <w:right w:val="nil"/>
                            </w:tcBorders>
                            <w:hideMark/>
                          </w:tcPr>
                          <w:p w14:paraId="060926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16.7 </w:t>
                            </w:r>
                          </w:p>
                        </w:tc>
                        <w:tc>
                          <w:tcPr>
                            <w:tcW w:w="573" w:type="pct"/>
                            <w:tcBorders>
                              <w:top w:val="nil"/>
                              <w:left w:val="nil"/>
                              <w:bottom w:val="nil"/>
                              <w:right w:val="nil"/>
                            </w:tcBorders>
                            <w:hideMark/>
                          </w:tcPr>
                          <w:p w14:paraId="2826882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18.6 </w:t>
                            </w:r>
                          </w:p>
                        </w:tc>
                        <w:tc>
                          <w:tcPr>
                            <w:tcW w:w="573" w:type="pct"/>
                            <w:tcBorders>
                              <w:top w:val="nil"/>
                              <w:left w:val="nil"/>
                              <w:bottom w:val="nil"/>
                              <w:right w:val="nil"/>
                            </w:tcBorders>
                            <w:hideMark/>
                          </w:tcPr>
                          <w:p w14:paraId="6941C29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18.8 </w:t>
                            </w:r>
                          </w:p>
                        </w:tc>
                      </w:tr>
                      <w:tr w:rsidR="008C1A62" w:rsidRPr="008C1A62" w14:paraId="7A25BDE4" w14:textId="77777777" w:rsidTr="008C1A62">
                        <w:trPr>
                          <w:trHeight w:val="204"/>
                        </w:trPr>
                        <w:tc>
                          <w:tcPr>
                            <w:tcW w:w="989" w:type="pct"/>
                            <w:tcBorders>
                              <w:top w:val="nil"/>
                              <w:left w:val="nil"/>
                              <w:bottom w:val="nil"/>
                              <w:right w:val="nil"/>
                            </w:tcBorders>
                            <w:noWrap/>
                            <w:hideMark/>
                          </w:tcPr>
                          <w:p w14:paraId="066FBC0B"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Current Assets</w:t>
                            </w:r>
                          </w:p>
                        </w:tc>
                        <w:tc>
                          <w:tcPr>
                            <w:tcW w:w="573" w:type="pct"/>
                            <w:tcBorders>
                              <w:top w:val="nil"/>
                              <w:left w:val="nil"/>
                              <w:bottom w:val="nil"/>
                              <w:right w:val="nil"/>
                            </w:tcBorders>
                            <w:hideMark/>
                          </w:tcPr>
                          <w:p w14:paraId="078DB1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61CC90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7FD8810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73" w:type="pct"/>
                            <w:tcBorders>
                              <w:top w:val="nil"/>
                              <w:left w:val="nil"/>
                              <w:bottom w:val="nil"/>
                              <w:right w:val="nil"/>
                            </w:tcBorders>
                            <w:hideMark/>
                          </w:tcPr>
                          <w:p w14:paraId="2FDB3E3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73" w:type="pct"/>
                            <w:tcBorders>
                              <w:top w:val="nil"/>
                              <w:left w:val="nil"/>
                              <w:bottom w:val="nil"/>
                              <w:right w:val="nil"/>
                            </w:tcBorders>
                            <w:hideMark/>
                          </w:tcPr>
                          <w:p w14:paraId="08EDA4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1FCB01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49FFECA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r>
                      <w:tr w:rsidR="008C1A62" w:rsidRPr="008C1A62" w14:paraId="5E76DE64" w14:textId="77777777" w:rsidTr="008C1A62">
                        <w:trPr>
                          <w:trHeight w:val="204"/>
                        </w:trPr>
                        <w:tc>
                          <w:tcPr>
                            <w:tcW w:w="989" w:type="pct"/>
                            <w:tcBorders>
                              <w:top w:val="nil"/>
                              <w:left w:val="nil"/>
                              <w:bottom w:val="nil"/>
                              <w:right w:val="nil"/>
                            </w:tcBorders>
                            <w:noWrap/>
                            <w:hideMark/>
                          </w:tcPr>
                          <w:p w14:paraId="14F2D92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Current Assets</w:t>
                            </w:r>
                          </w:p>
                        </w:tc>
                        <w:tc>
                          <w:tcPr>
                            <w:tcW w:w="573" w:type="pct"/>
                            <w:tcBorders>
                              <w:top w:val="single" w:sz="4" w:space="0" w:color="000000"/>
                              <w:left w:val="nil"/>
                              <w:bottom w:val="nil"/>
                              <w:right w:val="nil"/>
                            </w:tcBorders>
                            <w:hideMark/>
                          </w:tcPr>
                          <w:p w14:paraId="43807FD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23.5 </w:t>
                            </w:r>
                          </w:p>
                        </w:tc>
                        <w:tc>
                          <w:tcPr>
                            <w:tcW w:w="573" w:type="pct"/>
                            <w:tcBorders>
                              <w:top w:val="single" w:sz="4" w:space="0" w:color="000000"/>
                              <w:left w:val="nil"/>
                              <w:bottom w:val="nil"/>
                              <w:right w:val="nil"/>
                            </w:tcBorders>
                            <w:hideMark/>
                          </w:tcPr>
                          <w:p w14:paraId="33B5EF9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28.1 </w:t>
                            </w:r>
                          </w:p>
                        </w:tc>
                        <w:tc>
                          <w:tcPr>
                            <w:tcW w:w="573" w:type="pct"/>
                            <w:tcBorders>
                              <w:top w:val="single" w:sz="4" w:space="0" w:color="000000"/>
                              <w:left w:val="nil"/>
                              <w:bottom w:val="nil"/>
                              <w:right w:val="nil"/>
                            </w:tcBorders>
                            <w:hideMark/>
                          </w:tcPr>
                          <w:p w14:paraId="65B5576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29.5 </w:t>
                            </w:r>
                          </w:p>
                        </w:tc>
                        <w:tc>
                          <w:tcPr>
                            <w:tcW w:w="573" w:type="pct"/>
                            <w:tcBorders>
                              <w:top w:val="single" w:sz="4" w:space="0" w:color="000000"/>
                              <w:left w:val="nil"/>
                              <w:bottom w:val="nil"/>
                              <w:right w:val="nil"/>
                            </w:tcBorders>
                            <w:hideMark/>
                          </w:tcPr>
                          <w:p w14:paraId="78E8268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32.7 </w:t>
                            </w:r>
                          </w:p>
                        </w:tc>
                        <w:tc>
                          <w:tcPr>
                            <w:tcW w:w="573" w:type="pct"/>
                            <w:tcBorders>
                              <w:top w:val="single" w:sz="4" w:space="0" w:color="000000"/>
                              <w:left w:val="nil"/>
                              <w:bottom w:val="nil"/>
                              <w:right w:val="nil"/>
                            </w:tcBorders>
                            <w:hideMark/>
                          </w:tcPr>
                          <w:p w14:paraId="7D1ABD6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35.9 </w:t>
                            </w:r>
                          </w:p>
                        </w:tc>
                        <w:tc>
                          <w:tcPr>
                            <w:tcW w:w="573" w:type="pct"/>
                            <w:tcBorders>
                              <w:top w:val="single" w:sz="4" w:space="0" w:color="000000"/>
                              <w:left w:val="nil"/>
                              <w:bottom w:val="nil"/>
                              <w:right w:val="nil"/>
                            </w:tcBorders>
                            <w:hideMark/>
                          </w:tcPr>
                          <w:p w14:paraId="05E18A8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34.2 </w:t>
                            </w:r>
                          </w:p>
                        </w:tc>
                        <w:tc>
                          <w:tcPr>
                            <w:tcW w:w="573" w:type="pct"/>
                            <w:tcBorders>
                              <w:top w:val="single" w:sz="4" w:space="0" w:color="000000"/>
                              <w:left w:val="nil"/>
                              <w:bottom w:val="nil"/>
                              <w:right w:val="nil"/>
                            </w:tcBorders>
                            <w:hideMark/>
                          </w:tcPr>
                          <w:p w14:paraId="388B98E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36.9 </w:t>
                            </w:r>
                          </w:p>
                        </w:tc>
                      </w:tr>
                      <w:tr w:rsidR="008C1A62" w:rsidRPr="008C1A62" w14:paraId="7F9D6A95" w14:textId="77777777" w:rsidTr="008C1A62">
                        <w:trPr>
                          <w:trHeight w:val="204"/>
                        </w:trPr>
                        <w:tc>
                          <w:tcPr>
                            <w:tcW w:w="989" w:type="pct"/>
                            <w:tcBorders>
                              <w:top w:val="nil"/>
                              <w:left w:val="nil"/>
                              <w:bottom w:val="nil"/>
                              <w:right w:val="nil"/>
                            </w:tcBorders>
                            <w:noWrap/>
                            <w:hideMark/>
                          </w:tcPr>
                          <w:p w14:paraId="113E8CC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Gross Property, Plant &amp; Equipment</w:t>
                            </w:r>
                          </w:p>
                        </w:tc>
                        <w:tc>
                          <w:tcPr>
                            <w:tcW w:w="573" w:type="pct"/>
                            <w:tcBorders>
                              <w:top w:val="nil"/>
                              <w:left w:val="nil"/>
                              <w:bottom w:val="nil"/>
                              <w:right w:val="nil"/>
                            </w:tcBorders>
                            <w:hideMark/>
                          </w:tcPr>
                          <w:p w14:paraId="27AC729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32.6 </w:t>
                            </w:r>
                          </w:p>
                        </w:tc>
                        <w:tc>
                          <w:tcPr>
                            <w:tcW w:w="573" w:type="pct"/>
                            <w:tcBorders>
                              <w:top w:val="nil"/>
                              <w:left w:val="nil"/>
                              <w:bottom w:val="nil"/>
                              <w:right w:val="nil"/>
                            </w:tcBorders>
                            <w:hideMark/>
                          </w:tcPr>
                          <w:p w14:paraId="1DB49D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38.1 </w:t>
                            </w:r>
                          </w:p>
                        </w:tc>
                        <w:tc>
                          <w:tcPr>
                            <w:tcW w:w="573" w:type="pct"/>
                            <w:tcBorders>
                              <w:top w:val="nil"/>
                              <w:left w:val="nil"/>
                              <w:bottom w:val="nil"/>
                              <w:right w:val="nil"/>
                            </w:tcBorders>
                            <w:hideMark/>
                          </w:tcPr>
                          <w:p w14:paraId="3505CD7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41.5 </w:t>
                            </w:r>
                          </w:p>
                        </w:tc>
                        <w:tc>
                          <w:tcPr>
                            <w:tcW w:w="573" w:type="pct"/>
                            <w:tcBorders>
                              <w:top w:val="nil"/>
                              <w:left w:val="nil"/>
                              <w:bottom w:val="nil"/>
                              <w:right w:val="nil"/>
                            </w:tcBorders>
                            <w:hideMark/>
                          </w:tcPr>
                          <w:p w14:paraId="3AA7BEB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44.3 </w:t>
                            </w:r>
                          </w:p>
                        </w:tc>
                        <w:tc>
                          <w:tcPr>
                            <w:tcW w:w="573" w:type="pct"/>
                            <w:tcBorders>
                              <w:top w:val="nil"/>
                              <w:left w:val="nil"/>
                              <w:bottom w:val="nil"/>
                              <w:right w:val="nil"/>
                            </w:tcBorders>
                            <w:hideMark/>
                          </w:tcPr>
                          <w:p w14:paraId="504C820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47.4 </w:t>
                            </w:r>
                          </w:p>
                        </w:tc>
                        <w:tc>
                          <w:tcPr>
                            <w:tcW w:w="573" w:type="pct"/>
                            <w:tcBorders>
                              <w:top w:val="nil"/>
                              <w:left w:val="nil"/>
                              <w:bottom w:val="nil"/>
                              <w:right w:val="nil"/>
                            </w:tcBorders>
                            <w:hideMark/>
                          </w:tcPr>
                          <w:p w14:paraId="2225BA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51.0 </w:t>
                            </w:r>
                          </w:p>
                        </w:tc>
                        <w:tc>
                          <w:tcPr>
                            <w:tcW w:w="573" w:type="pct"/>
                            <w:tcBorders>
                              <w:top w:val="nil"/>
                              <w:left w:val="nil"/>
                              <w:bottom w:val="nil"/>
                              <w:right w:val="nil"/>
                            </w:tcBorders>
                            <w:hideMark/>
                          </w:tcPr>
                          <w:p w14:paraId="1C7996D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51127718" w14:textId="77777777" w:rsidTr="008C1A62">
                        <w:trPr>
                          <w:trHeight w:val="204"/>
                        </w:trPr>
                        <w:tc>
                          <w:tcPr>
                            <w:tcW w:w="989" w:type="pct"/>
                            <w:tcBorders>
                              <w:top w:val="nil"/>
                              <w:left w:val="nil"/>
                              <w:bottom w:val="nil"/>
                              <w:right w:val="nil"/>
                            </w:tcBorders>
                            <w:noWrap/>
                            <w:hideMark/>
                          </w:tcPr>
                          <w:p w14:paraId="550ECF3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Accumulated Depreciation</w:t>
                            </w:r>
                          </w:p>
                        </w:tc>
                        <w:tc>
                          <w:tcPr>
                            <w:tcW w:w="573" w:type="pct"/>
                            <w:tcBorders>
                              <w:top w:val="nil"/>
                              <w:left w:val="nil"/>
                              <w:bottom w:val="nil"/>
                              <w:right w:val="nil"/>
                            </w:tcBorders>
                            <w:hideMark/>
                          </w:tcPr>
                          <w:p w14:paraId="343038D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39014B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(12.9)  </w:t>
                            </w:r>
                          </w:p>
                        </w:tc>
                        <w:tc>
                          <w:tcPr>
                            <w:tcW w:w="573" w:type="pct"/>
                            <w:tcBorders>
                              <w:top w:val="nil"/>
                              <w:left w:val="nil"/>
                              <w:bottom w:val="nil"/>
                              <w:right w:val="nil"/>
                            </w:tcBorders>
                            <w:hideMark/>
                          </w:tcPr>
                          <w:p w14:paraId="01A710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011D910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(15.3)  </w:t>
                            </w:r>
                          </w:p>
                        </w:tc>
                        <w:tc>
                          <w:tcPr>
                            <w:tcW w:w="573" w:type="pct"/>
                            <w:tcBorders>
                              <w:top w:val="nil"/>
                              <w:left w:val="nil"/>
                              <w:bottom w:val="nil"/>
                              <w:right w:val="nil"/>
                            </w:tcBorders>
                            <w:hideMark/>
                          </w:tcPr>
                          <w:p w14:paraId="6651F9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(16.7)  </w:t>
                            </w:r>
                          </w:p>
                        </w:tc>
                        <w:tc>
                          <w:tcPr>
                            <w:tcW w:w="573" w:type="pct"/>
                            <w:tcBorders>
                              <w:top w:val="nil"/>
                              <w:left w:val="nil"/>
                              <w:bottom w:val="nil"/>
                              <w:right w:val="nil"/>
                            </w:tcBorders>
                            <w:hideMark/>
                          </w:tcPr>
                          <w:p w14:paraId="71E0C3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(17.9)  </w:t>
                            </w:r>
                          </w:p>
                        </w:tc>
                        <w:tc>
                          <w:tcPr>
                            <w:tcW w:w="573" w:type="pct"/>
                            <w:tcBorders>
                              <w:top w:val="nil"/>
                              <w:left w:val="nil"/>
                              <w:bottom w:val="nil"/>
                              <w:right w:val="nil"/>
                            </w:tcBorders>
                            <w:hideMark/>
                          </w:tcPr>
                          <w:p w14:paraId="56B3F6D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22A33D60" w14:textId="77777777" w:rsidTr="008C1A62">
                        <w:trPr>
                          <w:trHeight w:val="204"/>
                        </w:trPr>
                        <w:tc>
                          <w:tcPr>
                            <w:tcW w:w="989" w:type="pct"/>
                            <w:tcBorders>
                              <w:top w:val="nil"/>
                              <w:left w:val="nil"/>
                              <w:bottom w:val="nil"/>
                              <w:right w:val="nil"/>
                            </w:tcBorders>
                            <w:noWrap/>
                            <w:hideMark/>
                          </w:tcPr>
                          <w:p w14:paraId="4C6FA265"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Net Property, Plant &amp; Equipment</w:t>
                            </w:r>
                          </w:p>
                        </w:tc>
                        <w:tc>
                          <w:tcPr>
                            <w:tcW w:w="573" w:type="pct"/>
                            <w:tcBorders>
                              <w:top w:val="single" w:sz="4" w:space="0" w:color="000000"/>
                              <w:left w:val="nil"/>
                              <w:bottom w:val="nil"/>
                              <w:right w:val="nil"/>
                            </w:tcBorders>
                            <w:hideMark/>
                          </w:tcPr>
                          <w:p w14:paraId="71B5CBE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20.9 </w:t>
                            </w:r>
                          </w:p>
                        </w:tc>
                        <w:tc>
                          <w:tcPr>
                            <w:tcW w:w="573" w:type="pct"/>
                            <w:tcBorders>
                              <w:top w:val="single" w:sz="4" w:space="0" w:color="000000"/>
                              <w:left w:val="nil"/>
                              <w:bottom w:val="nil"/>
                              <w:right w:val="nil"/>
                            </w:tcBorders>
                            <w:hideMark/>
                          </w:tcPr>
                          <w:p w14:paraId="665BC37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25.2 </w:t>
                            </w:r>
                          </w:p>
                        </w:tc>
                        <w:tc>
                          <w:tcPr>
                            <w:tcW w:w="573" w:type="pct"/>
                            <w:tcBorders>
                              <w:top w:val="single" w:sz="4" w:space="0" w:color="000000"/>
                              <w:left w:val="nil"/>
                              <w:bottom w:val="nil"/>
                              <w:right w:val="nil"/>
                            </w:tcBorders>
                            <w:hideMark/>
                          </w:tcPr>
                          <w:p w14:paraId="6965A92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27.4 </w:t>
                            </w:r>
                          </w:p>
                        </w:tc>
                        <w:tc>
                          <w:tcPr>
                            <w:tcW w:w="573" w:type="pct"/>
                            <w:tcBorders>
                              <w:top w:val="single" w:sz="4" w:space="0" w:color="000000"/>
                              <w:left w:val="nil"/>
                              <w:bottom w:val="nil"/>
                              <w:right w:val="nil"/>
                            </w:tcBorders>
                            <w:hideMark/>
                          </w:tcPr>
                          <w:p w14:paraId="7C182F7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29.0 </w:t>
                            </w:r>
                          </w:p>
                        </w:tc>
                        <w:tc>
                          <w:tcPr>
                            <w:tcW w:w="573" w:type="pct"/>
                            <w:tcBorders>
                              <w:top w:val="single" w:sz="4" w:space="0" w:color="000000"/>
                              <w:left w:val="nil"/>
                              <w:bottom w:val="nil"/>
                              <w:right w:val="nil"/>
                            </w:tcBorders>
                            <w:hideMark/>
                          </w:tcPr>
                          <w:p w14:paraId="46E1B55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30.7 </w:t>
                            </w:r>
                          </w:p>
                        </w:tc>
                        <w:tc>
                          <w:tcPr>
                            <w:tcW w:w="573" w:type="pct"/>
                            <w:tcBorders>
                              <w:top w:val="single" w:sz="4" w:space="0" w:color="000000"/>
                              <w:left w:val="nil"/>
                              <w:bottom w:val="nil"/>
                              <w:right w:val="nil"/>
                            </w:tcBorders>
                            <w:hideMark/>
                          </w:tcPr>
                          <w:p w14:paraId="5BF6544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33.1 </w:t>
                            </w:r>
                          </w:p>
                        </w:tc>
                        <w:tc>
                          <w:tcPr>
                            <w:tcW w:w="573" w:type="pct"/>
                            <w:tcBorders>
                              <w:top w:val="single" w:sz="4" w:space="0" w:color="000000"/>
                              <w:left w:val="nil"/>
                              <w:bottom w:val="nil"/>
                              <w:right w:val="nil"/>
                            </w:tcBorders>
                            <w:hideMark/>
                          </w:tcPr>
                          <w:p w14:paraId="140BC57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32.3 </w:t>
                            </w:r>
                          </w:p>
                        </w:tc>
                      </w:tr>
                      <w:tr w:rsidR="008C1A62" w:rsidRPr="008C1A62" w14:paraId="46514C81" w14:textId="77777777" w:rsidTr="008C1A62">
                        <w:trPr>
                          <w:trHeight w:val="204"/>
                        </w:trPr>
                        <w:tc>
                          <w:tcPr>
                            <w:tcW w:w="989" w:type="pct"/>
                            <w:tcBorders>
                              <w:top w:val="nil"/>
                              <w:left w:val="nil"/>
                              <w:bottom w:val="nil"/>
                              <w:right w:val="nil"/>
                            </w:tcBorders>
                            <w:noWrap/>
                            <w:hideMark/>
                          </w:tcPr>
                          <w:p w14:paraId="6B7648D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Goodwill</w:t>
                            </w:r>
                          </w:p>
                        </w:tc>
                        <w:tc>
                          <w:tcPr>
                            <w:tcW w:w="573" w:type="pct"/>
                            <w:tcBorders>
                              <w:top w:val="nil"/>
                              <w:left w:val="nil"/>
                              <w:bottom w:val="nil"/>
                              <w:right w:val="nil"/>
                            </w:tcBorders>
                            <w:hideMark/>
                          </w:tcPr>
                          <w:p w14:paraId="33D640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3D8644B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30771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2FAC7E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078E34A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758683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445D31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7234A0EB" w14:textId="77777777" w:rsidTr="008C1A62">
                        <w:trPr>
                          <w:trHeight w:val="204"/>
                        </w:trPr>
                        <w:tc>
                          <w:tcPr>
                            <w:tcW w:w="989" w:type="pct"/>
                            <w:tcBorders>
                              <w:top w:val="nil"/>
                              <w:left w:val="nil"/>
                              <w:bottom w:val="nil"/>
                              <w:right w:val="nil"/>
                            </w:tcBorders>
                            <w:noWrap/>
                            <w:hideMark/>
                          </w:tcPr>
                          <w:p w14:paraId="37F0D0EC"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Deferred Tax Assets, LT</w:t>
                            </w:r>
                          </w:p>
                        </w:tc>
                        <w:tc>
                          <w:tcPr>
                            <w:tcW w:w="573" w:type="pct"/>
                            <w:tcBorders>
                              <w:top w:val="nil"/>
                              <w:left w:val="nil"/>
                              <w:bottom w:val="nil"/>
                              <w:right w:val="nil"/>
                            </w:tcBorders>
                            <w:hideMark/>
                          </w:tcPr>
                          <w:p w14:paraId="2C8BC25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08AAED2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2057D1F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641E0B4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6FA37EE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E4760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43536AC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416E0D74" w14:textId="77777777" w:rsidTr="008C1A62">
                        <w:trPr>
                          <w:trHeight w:val="204"/>
                        </w:trPr>
                        <w:tc>
                          <w:tcPr>
                            <w:tcW w:w="989" w:type="pct"/>
                            <w:tcBorders>
                              <w:top w:val="nil"/>
                              <w:left w:val="nil"/>
                              <w:bottom w:val="nil"/>
                              <w:right w:val="nil"/>
                            </w:tcBorders>
                            <w:noWrap/>
                            <w:hideMark/>
                          </w:tcPr>
                          <w:p w14:paraId="680E59E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Long-Term Assets</w:t>
                            </w:r>
                          </w:p>
                        </w:tc>
                        <w:tc>
                          <w:tcPr>
                            <w:tcW w:w="573" w:type="pct"/>
                            <w:tcBorders>
                              <w:top w:val="nil"/>
                              <w:left w:val="nil"/>
                              <w:bottom w:val="nil"/>
                              <w:right w:val="nil"/>
                            </w:tcBorders>
                            <w:hideMark/>
                          </w:tcPr>
                          <w:p w14:paraId="099B903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73" w:type="pct"/>
                            <w:tcBorders>
                              <w:top w:val="nil"/>
                              <w:left w:val="nil"/>
                              <w:bottom w:val="nil"/>
                              <w:right w:val="nil"/>
                            </w:tcBorders>
                            <w:hideMark/>
                          </w:tcPr>
                          <w:p w14:paraId="2FF868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67D3538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3138A78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6580C4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73" w:type="pct"/>
                            <w:tcBorders>
                              <w:top w:val="nil"/>
                              <w:left w:val="nil"/>
                              <w:bottom w:val="nil"/>
                              <w:right w:val="nil"/>
                            </w:tcBorders>
                            <w:hideMark/>
                          </w:tcPr>
                          <w:p w14:paraId="180FD03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73" w:type="pct"/>
                            <w:tcBorders>
                              <w:top w:val="nil"/>
                              <w:left w:val="nil"/>
                              <w:bottom w:val="nil"/>
                              <w:right w:val="nil"/>
                            </w:tcBorders>
                            <w:hideMark/>
                          </w:tcPr>
                          <w:p w14:paraId="31B32A6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r>
                      <w:tr w:rsidR="008C1A62" w:rsidRPr="008C1A62" w14:paraId="348B71B0" w14:textId="77777777" w:rsidTr="008C1A62">
                        <w:trPr>
                          <w:trHeight w:val="204"/>
                        </w:trPr>
                        <w:tc>
                          <w:tcPr>
                            <w:tcW w:w="989" w:type="pct"/>
                            <w:tcBorders>
                              <w:top w:val="nil"/>
                              <w:left w:val="nil"/>
                              <w:bottom w:val="nil"/>
                              <w:right w:val="nil"/>
                            </w:tcBorders>
                            <w:noWrap/>
                            <w:hideMark/>
                          </w:tcPr>
                          <w:p w14:paraId="3606EDC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Assets</w:t>
                            </w:r>
                          </w:p>
                        </w:tc>
                        <w:tc>
                          <w:tcPr>
                            <w:tcW w:w="573" w:type="pct"/>
                            <w:tcBorders>
                              <w:top w:val="single" w:sz="4" w:space="0" w:color="000000"/>
                              <w:left w:val="nil"/>
                              <w:bottom w:val="nil"/>
                              <w:right w:val="nil"/>
                            </w:tcBorders>
                            <w:hideMark/>
                          </w:tcPr>
                          <w:p w14:paraId="42DD1F4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45.4 </w:t>
                            </w:r>
                          </w:p>
                        </w:tc>
                        <w:tc>
                          <w:tcPr>
                            <w:tcW w:w="573" w:type="pct"/>
                            <w:tcBorders>
                              <w:top w:val="single" w:sz="4" w:space="0" w:color="000000"/>
                              <w:left w:val="nil"/>
                              <w:bottom w:val="nil"/>
                              <w:right w:val="nil"/>
                            </w:tcBorders>
                            <w:hideMark/>
                          </w:tcPr>
                          <w:p w14:paraId="38057F7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55.6 </w:t>
                            </w:r>
                          </w:p>
                        </w:tc>
                        <w:tc>
                          <w:tcPr>
                            <w:tcW w:w="573" w:type="pct"/>
                            <w:tcBorders>
                              <w:top w:val="single" w:sz="4" w:space="0" w:color="000000"/>
                              <w:left w:val="nil"/>
                              <w:bottom w:val="nil"/>
                              <w:right w:val="nil"/>
                            </w:tcBorders>
                            <w:hideMark/>
                          </w:tcPr>
                          <w:p w14:paraId="45F7090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59.3 </w:t>
                            </w:r>
                          </w:p>
                        </w:tc>
                        <w:tc>
                          <w:tcPr>
                            <w:tcW w:w="573" w:type="pct"/>
                            <w:tcBorders>
                              <w:top w:val="single" w:sz="4" w:space="0" w:color="000000"/>
                              <w:left w:val="nil"/>
                              <w:bottom w:val="nil"/>
                              <w:right w:val="nil"/>
                            </w:tcBorders>
                            <w:hideMark/>
                          </w:tcPr>
                          <w:p w14:paraId="3122893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64.2 </w:t>
                            </w:r>
                          </w:p>
                        </w:tc>
                        <w:tc>
                          <w:tcPr>
                            <w:tcW w:w="573" w:type="pct"/>
                            <w:tcBorders>
                              <w:top w:val="single" w:sz="4" w:space="0" w:color="000000"/>
                              <w:left w:val="nil"/>
                              <w:bottom w:val="nil"/>
                              <w:right w:val="nil"/>
                            </w:tcBorders>
                            <w:hideMark/>
                          </w:tcPr>
                          <w:p w14:paraId="14F5FE5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69.0 </w:t>
                            </w:r>
                          </w:p>
                        </w:tc>
                        <w:tc>
                          <w:tcPr>
                            <w:tcW w:w="573" w:type="pct"/>
                            <w:tcBorders>
                              <w:top w:val="single" w:sz="4" w:space="0" w:color="000000"/>
                              <w:left w:val="nil"/>
                              <w:bottom w:val="nil"/>
                              <w:right w:val="nil"/>
                            </w:tcBorders>
                            <w:hideMark/>
                          </w:tcPr>
                          <w:p w14:paraId="3C2BD5E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69.8 </w:t>
                            </w:r>
                          </w:p>
                        </w:tc>
                        <w:tc>
                          <w:tcPr>
                            <w:tcW w:w="573" w:type="pct"/>
                            <w:tcBorders>
                              <w:top w:val="single" w:sz="4" w:space="0" w:color="000000"/>
                              <w:left w:val="nil"/>
                              <w:bottom w:val="nil"/>
                              <w:right w:val="nil"/>
                            </w:tcBorders>
                            <w:hideMark/>
                          </w:tcPr>
                          <w:p w14:paraId="78BAE26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73.2 </w:t>
                            </w:r>
                          </w:p>
                        </w:tc>
                      </w:tr>
                      <w:tr w:rsidR="008C1A62" w:rsidRPr="008C1A62" w14:paraId="1935C4FB" w14:textId="77777777" w:rsidTr="008C1A62">
                        <w:trPr>
                          <w:trHeight w:val="204"/>
                        </w:trPr>
                        <w:tc>
                          <w:tcPr>
                            <w:tcW w:w="989" w:type="pct"/>
                            <w:tcBorders>
                              <w:top w:val="nil"/>
                              <w:left w:val="nil"/>
                              <w:bottom w:val="nil"/>
                              <w:right w:val="nil"/>
                            </w:tcBorders>
                            <w:noWrap/>
                            <w:hideMark/>
                          </w:tcPr>
                          <w:p w14:paraId="64954DA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LIABILITIES</w:t>
                            </w:r>
                          </w:p>
                        </w:tc>
                        <w:tc>
                          <w:tcPr>
                            <w:tcW w:w="573" w:type="pct"/>
                            <w:tcBorders>
                              <w:top w:val="nil"/>
                              <w:left w:val="nil"/>
                              <w:bottom w:val="nil"/>
                              <w:right w:val="nil"/>
                            </w:tcBorders>
                            <w:noWrap/>
                            <w:hideMark/>
                          </w:tcPr>
                          <w:p w14:paraId="4ED1861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c>
                          <w:tcPr>
                            <w:tcW w:w="573" w:type="pct"/>
                            <w:tcBorders>
                              <w:top w:val="nil"/>
                              <w:left w:val="nil"/>
                              <w:bottom w:val="nil"/>
                              <w:right w:val="nil"/>
                            </w:tcBorders>
                            <w:noWrap/>
                            <w:hideMark/>
                          </w:tcPr>
                          <w:p w14:paraId="5711180F"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45D4E824"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13DA8E1D"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428AAAA1"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5CC0AFE3"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c>
                          <w:tcPr>
                            <w:tcW w:w="573" w:type="pct"/>
                            <w:tcBorders>
                              <w:top w:val="nil"/>
                              <w:left w:val="nil"/>
                              <w:bottom w:val="nil"/>
                              <w:right w:val="nil"/>
                            </w:tcBorders>
                            <w:noWrap/>
                            <w:hideMark/>
                          </w:tcPr>
                          <w:p w14:paraId="672889A7" w14:textId="77777777" w:rsidR="008C1A62" w:rsidRPr="008C1A62" w:rsidRDefault="008C1A62" w:rsidP="008C1A62">
                            <w:pPr>
                              <w:spacing w:after="0" w:line="240" w:lineRule="auto"/>
                              <w:rPr>
                                <w:rFonts w:ascii="Cambria" w:eastAsia="Times New Roman" w:hAnsi="Cambria" w:cs="Times New Roman"/>
                                <w:kern w:val="0"/>
                                <w:sz w:val="14"/>
                                <w:szCs w:val="14"/>
                                <w:lang w:eastAsia="en-IN"/>
                                <w14:ligatures w14:val="none"/>
                              </w:rPr>
                            </w:pPr>
                          </w:p>
                        </w:tc>
                      </w:tr>
                      <w:tr w:rsidR="008C1A62" w:rsidRPr="008C1A62" w14:paraId="5C46CCD3" w14:textId="77777777" w:rsidTr="008C1A62">
                        <w:trPr>
                          <w:trHeight w:val="204"/>
                        </w:trPr>
                        <w:tc>
                          <w:tcPr>
                            <w:tcW w:w="989" w:type="pct"/>
                            <w:tcBorders>
                              <w:top w:val="nil"/>
                              <w:left w:val="nil"/>
                              <w:bottom w:val="nil"/>
                              <w:right w:val="nil"/>
                            </w:tcBorders>
                            <w:noWrap/>
                            <w:hideMark/>
                          </w:tcPr>
                          <w:p w14:paraId="3ED2879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Accounts Payable</w:t>
                            </w:r>
                          </w:p>
                        </w:tc>
                        <w:tc>
                          <w:tcPr>
                            <w:tcW w:w="573" w:type="pct"/>
                            <w:tcBorders>
                              <w:top w:val="nil"/>
                              <w:left w:val="nil"/>
                              <w:bottom w:val="nil"/>
                              <w:right w:val="nil"/>
                            </w:tcBorders>
                            <w:hideMark/>
                          </w:tcPr>
                          <w:p w14:paraId="2DA834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28E09C4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14.2 </w:t>
                            </w:r>
                          </w:p>
                        </w:tc>
                        <w:tc>
                          <w:tcPr>
                            <w:tcW w:w="573" w:type="pct"/>
                            <w:tcBorders>
                              <w:top w:val="nil"/>
                              <w:left w:val="nil"/>
                              <w:bottom w:val="nil"/>
                              <w:right w:val="nil"/>
                            </w:tcBorders>
                            <w:hideMark/>
                          </w:tcPr>
                          <w:p w14:paraId="4BD912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16.3 </w:t>
                            </w:r>
                          </w:p>
                        </w:tc>
                        <w:tc>
                          <w:tcPr>
                            <w:tcW w:w="573" w:type="pct"/>
                            <w:tcBorders>
                              <w:top w:val="nil"/>
                              <w:left w:val="nil"/>
                              <w:bottom w:val="nil"/>
                              <w:right w:val="nil"/>
                            </w:tcBorders>
                            <w:hideMark/>
                          </w:tcPr>
                          <w:p w14:paraId="61B36B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17.8 </w:t>
                            </w:r>
                          </w:p>
                        </w:tc>
                        <w:tc>
                          <w:tcPr>
                            <w:tcW w:w="573" w:type="pct"/>
                            <w:tcBorders>
                              <w:top w:val="nil"/>
                              <w:left w:val="nil"/>
                              <w:bottom w:val="nil"/>
                              <w:right w:val="nil"/>
                            </w:tcBorders>
                            <w:hideMark/>
                          </w:tcPr>
                          <w:p w14:paraId="3B1F12D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17.5 </w:t>
                            </w:r>
                          </w:p>
                        </w:tc>
                        <w:tc>
                          <w:tcPr>
                            <w:tcW w:w="573" w:type="pct"/>
                            <w:tcBorders>
                              <w:top w:val="nil"/>
                              <w:left w:val="nil"/>
                              <w:bottom w:val="nil"/>
                              <w:right w:val="nil"/>
                            </w:tcBorders>
                            <w:hideMark/>
                          </w:tcPr>
                          <w:p w14:paraId="322192C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19.4 </w:t>
                            </w:r>
                          </w:p>
                        </w:tc>
                        <w:tc>
                          <w:tcPr>
                            <w:tcW w:w="573" w:type="pct"/>
                            <w:tcBorders>
                              <w:top w:val="nil"/>
                              <w:left w:val="nil"/>
                              <w:bottom w:val="nil"/>
                              <w:right w:val="nil"/>
                            </w:tcBorders>
                            <w:hideMark/>
                          </w:tcPr>
                          <w:p w14:paraId="4D088E4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18.6 </w:t>
                            </w:r>
                          </w:p>
                        </w:tc>
                      </w:tr>
                      <w:tr w:rsidR="008C1A62" w:rsidRPr="008C1A62" w14:paraId="2BB4050C" w14:textId="77777777" w:rsidTr="008C1A62">
                        <w:trPr>
                          <w:trHeight w:val="204"/>
                        </w:trPr>
                        <w:tc>
                          <w:tcPr>
                            <w:tcW w:w="989" w:type="pct"/>
                            <w:tcBorders>
                              <w:top w:val="nil"/>
                              <w:left w:val="nil"/>
                              <w:bottom w:val="nil"/>
                              <w:right w:val="nil"/>
                            </w:tcBorders>
                            <w:noWrap/>
                            <w:hideMark/>
                          </w:tcPr>
                          <w:p w14:paraId="232C99B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Accrued Exp.</w:t>
                            </w:r>
                          </w:p>
                        </w:tc>
                        <w:tc>
                          <w:tcPr>
                            <w:tcW w:w="573" w:type="pct"/>
                            <w:tcBorders>
                              <w:top w:val="nil"/>
                              <w:left w:val="nil"/>
                              <w:bottom w:val="nil"/>
                              <w:right w:val="nil"/>
                            </w:tcBorders>
                            <w:hideMark/>
                          </w:tcPr>
                          <w:p w14:paraId="0112AE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4.4 </w:t>
                            </w:r>
                          </w:p>
                        </w:tc>
                        <w:tc>
                          <w:tcPr>
                            <w:tcW w:w="573" w:type="pct"/>
                            <w:tcBorders>
                              <w:top w:val="nil"/>
                              <w:left w:val="nil"/>
                              <w:bottom w:val="nil"/>
                              <w:right w:val="nil"/>
                            </w:tcBorders>
                            <w:hideMark/>
                          </w:tcPr>
                          <w:p w14:paraId="44B91E2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5.0 </w:t>
                            </w:r>
                          </w:p>
                        </w:tc>
                        <w:tc>
                          <w:tcPr>
                            <w:tcW w:w="573" w:type="pct"/>
                            <w:tcBorders>
                              <w:top w:val="nil"/>
                              <w:left w:val="nil"/>
                              <w:bottom w:val="nil"/>
                              <w:right w:val="nil"/>
                            </w:tcBorders>
                            <w:hideMark/>
                          </w:tcPr>
                          <w:p w14:paraId="0CC680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c>
                          <w:tcPr>
                            <w:tcW w:w="573" w:type="pct"/>
                            <w:tcBorders>
                              <w:top w:val="nil"/>
                              <w:left w:val="nil"/>
                              <w:bottom w:val="nil"/>
                              <w:right w:val="nil"/>
                            </w:tcBorders>
                            <w:hideMark/>
                          </w:tcPr>
                          <w:p w14:paraId="36332AD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6.3 </w:t>
                            </w:r>
                          </w:p>
                        </w:tc>
                        <w:tc>
                          <w:tcPr>
                            <w:tcW w:w="573" w:type="pct"/>
                            <w:tcBorders>
                              <w:top w:val="nil"/>
                              <w:left w:val="nil"/>
                              <w:bottom w:val="nil"/>
                              <w:right w:val="nil"/>
                            </w:tcBorders>
                            <w:hideMark/>
                          </w:tcPr>
                          <w:p w14:paraId="64000D5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6.4 </w:t>
                            </w:r>
                          </w:p>
                        </w:tc>
                        <w:tc>
                          <w:tcPr>
                            <w:tcW w:w="573" w:type="pct"/>
                            <w:tcBorders>
                              <w:top w:val="nil"/>
                              <w:left w:val="nil"/>
                              <w:bottom w:val="nil"/>
                              <w:right w:val="nil"/>
                            </w:tcBorders>
                            <w:hideMark/>
                          </w:tcPr>
                          <w:p w14:paraId="710BBCA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7.2 </w:t>
                            </w:r>
                          </w:p>
                        </w:tc>
                        <w:tc>
                          <w:tcPr>
                            <w:tcW w:w="573" w:type="pct"/>
                            <w:tcBorders>
                              <w:top w:val="nil"/>
                              <w:left w:val="nil"/>
                              <w:bottom w:val="nil"/>
                              <w:right w:val="nil"/>
                            </w:tcBorders>
                            <w:hideMark/>
                          </w:tcPr>
                          <w:p w14:paraId="6A5075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7.6 </w:t>
                            </w:r>
                          </w:p>
                        </w:tc>
                      </w:tr>
                      <w:tr w:rsidR="008C1A62" w:rsidRPr="008C1A62" w14:paraId="3AE30DEB" w14:textId="77777777" w:rsidTr="008C1A62">
                        <w:trPr>
                          <w:trHeight w:val="204"/>
                        </w:trPr>
                        <w:tc>
                          <w:tcPr>
                            <w:tcW w:w="989" w:type="pct"/>
                            <w:tcBorders>
                              <w:top w:val="nil"/>
                              <w:left w:val="nil"/>
                              <w:bottom w:val="nil"/>
                              <w:right w:val="nil"/>
                            </w:tcBorders>
                            <w:noWrap/>
                            <w:hideMark/>
                          </w:tcPr>
                          <w:p w14:paraId="34326C09"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Curr. Port. of LT Debt</w:t>
                            </w:r>
                          </w:p>
                        </w:tc>
                        <w:tc>
                          <w:tcPr>
                            <w:tcW w:w="573" w:type="pct"/>
                            <w:tcBorders>
                              <w:top w:val="nil"/>
                              <w:left w:val="nil"/>
                              <w:bottom w:val="nil"/>
                              <w:right w:val="nil"/>
                            </w:tcBorders>
                            <w:hideMark/>
                          </w:tcPr>
                          <w:p w14:paraId="0D67647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528629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7FE7B9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77BFCA5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13C2D2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340B05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25CCBFB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0D66899C" w14:textId="77777777" w:rsidTr="008C1A62">
                        <w:trPr>
                          <w:trHeight w:val="204"/>
                        </w:trPr>
                        <w:tc>
                          <w:tcPr>
                            <w:tcW w:w="989" w:type="pct"/>
                            <w:tcBorders>
                              <w:top w:val="nil"/>
                              <w:left w:val="nil"/>
                              <w:bottom w:val="nil"/>
                              <w:right w:val="nil"/>
                            </w:tcBorders>
                            <w:noWrap/>
                            <w:hideMark/>
                          </w:tcPr>
                          <w:p w14:paraId="3399CCA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Curr. Port. of Leases</w:t>
                            </w:r>
                          </w:p>
                        </w:tc>
                        <w:tc>
                          <w:tcPr>
                            <w:tcW w:w="573" w:type="pct"/>
                            <w:tcBorders>
                              <w:top w:val="nil"/>
                              <w:left w:val="nil"/>
                              <w:bottom w:val="nil"/>
                              <w:right w:val="nil"/>
                            </w:tcBorders>
                            <w:hideMark/>
                          </w:tcPr>
                          <w:p w14:paraId="2E4E27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73" w:type="pct"/>
                            <w:tcBorders>
                              <w:top w:val="nil"/>
                              <w:left w:val="nil"/>
                              <w:bottom w:val="nil"/>
                              <w:right w:val="nil"/>
                            </w:tcBorders>
                            <w:hideMark/>
                          </w:tcPr>
                          <w:p w14:paraId="073BD5A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1D80B55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6DB9E1F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0F1E70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1DDE6CB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78FC982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3090FA13" w14:textId="77777777" w:rsidTr="008C1A62">
                        <w:trPr>
                          <w:trHeight w:val="204"/>
                        </w:trPr>
                        <w:tc>
                          <w:tcPr>
                            <w:tcW w:w="989" w:type="pct"/>
                            <w:tcBorders>
                              <w:top w:val="nil"/>
                              <w:left w:val="nil"/>
                              <w:bottom w:val="nil"/>
                              <w:right w:val="nil"/>
                            </w:tcBorders>
                            <w:noWrap/>
                            <w:hideMark/>
                          </w:tcPr>
                          <w:p w14:paraId="31B9CD0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Unearned Revenue, Current</w:t>
                            </w:r>
                          </w:p>
                        </w:tc>
                        <w:tc>
                          <w:tcPr>
                            <w:tcW w:w="573" w:type="pct"/>
                            <w:tcBorders>
                              <w:top w:val="nil"/>
                              <w:left w:val="nil"/>
                              <w:bottom w:val="nil"/>
                              <w:right w:val="nil"/>
                            </w:tcBorders>
                            <w:hideMark/>
                          </w:tcPr>
                          <w:p w14:paraId="3FFAAD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 </w:t>
                            </w:r>
                          </w:p>
                        </w:tc>
                        <w:tc>
                          <w:tcPr>
                            <w:tcW w:w="573" w:type="pct"/>
                            <w:tcBorders>
                              <w:top w:val="nil"/>
                              <w:left w:val="nil"/>
                              <w:bottom w:val="nil"/>
                              <w:right w:val="nil"/>
                            </w:tcBorders>
                            <w:hideMark/>
                          </w:tcPr>
                          <w:p w14:paraId="0EDC17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73" w:type="pct"/>
                            <w:tcBorders>
                              <w:top w:val="nil"/>
                              <w:left w:val="nil"/>
                              <w:bottom w:val="nil"/>
                              <w:right w:val="nil"/>
                            </w:tcBorders>
                            <w:hideMark/>
                          </w:tcPr>
                          <w:p w14:paraId="2C7B68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2.0 </w:t>
                            </w:r>
                          </w:p>
                        </w:tc>
                        <w:tc>
                          <w:tcPr>
                            <w:tcW w:w="573" w:type="pct"/>
                            <w:tcBorders>
                              <w:top w:val="nil"/>
                              <w:left w:val="nil"/>
                              <w:bottom w:val="nil"/>
                              <w:right w:val="nil"/>
                            </w:tcBorders>
                            <w:hideMark/>
                          </w:tcPr>
                          <w:p w14:paraId="156496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73" w:type="pct"/>
                            <w:tcBorders>
                              <w:top w:val="nil"/>
                              <w:left w:val="nil"/>
                              <w:bottom w:val="nil"/>
                              <w:right w:val="nil"/>
                            </w:tcBorders>
                            <w:hideMark/>
                          </w:tcPr>
                          <w:p w14:paraId="4EFF8E5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73" w:type="pct"/>
                            <w:tcBorders>
                              <w:top w:val="nil"/>
                              <w:left w:val="nil"/>
                              <w:bottom w:val="nil"/>
                              <w:right w:val="nil"/>
                            </w:tcBorders>
                            <w:hideMark/>
                          </w:tcPr>
                          <w:p w14:paraId="3D0483E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2.5 </w:t>
                            </w:r>
                          </w:p>
                        </w:tc>
                        <w:tc>
                          <w:tcPr>
                            <w:tcW w:w="573" w:type="pct"/>
                            <w:tcBorders>
                              <w:top w:val="nil"/>
                              <w:left w:val="nil"/>
                              <w:bottom w:val="nil"/>
                              <w:right w:val="nil"/>
                            </w:tcBorders>
                            <w:hideMark/>
                          </w:tcPr>
                          <w:p w14:paraId="714649F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2.8 </w:t>
                            </w:r>
                          </w:p>
                        </w:tc>
                      </w:tr>
                      <w:tr w:rsidR="008C1A62" w:rsidRPr="008C1A62" w14:paraId="65BF5806" w14:textId="77777777" w:rsidTr="008C1A62">
                        <w:trPr>
                          <w:trHeight w:val="204"/>
                        </w:trPr>
                        <w:tc>
                          <w:tcPr>
                            <w:tcW w:w="989" w:type="pct"/>
                            <w:tcBorders>
                              <w:top w:val="nil"/>
                              <w:left w:val="nil"/>
                              <w:bottom w:val="nil"/>
                              <w:right w:val="nil"/>
                            </w:tcBorders>
                            <w:noWrap/>
                            <w:hideMark/>
                          </w:tcPr>
                          <w:p w14:paraId="44D6874A"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Current Liabilities</w:t>
                            </w:r>
                          </w:p>
                        </w:tc>
                        <w:tc>
                          <w:tcPr>
                            <w:tcW w:w="573" w:type="pct"/>
                            <w:tcBorders>
                              <w:top w:val="nil"/>
                              <w:left w:val="nil"/>
                              <w:bottom w:val="nil"/>
                              <w:right w:val="nil"/>
                            </w:tcBorders>
                            <w:hideMark/>
                          </w:tcPr>
                          <w:p w14:paraId="7510FA4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275F1C5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3.5 </w:t>
                            </w:r>
                          </w:p>
                        </w:tc>
                        <w:tc>
                          <w:tcPr>
                            <w:tcW w:w="573" w:type="pct"/>
                            <w:tcBorders>
                              <w:top w:val="nil"/>
                              <w:left w:val="nil"/>
                              <w:bottom w:val="nil"/>
                              <w:right w:val="nil"/>
                            </w:tcBorders>
                            <w:hideMark/>
                          </w:tcPr>
                          <w:p w14:paraId="06CEEA4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4.3 </w:t>
                            </w:r>
                          </w:p>
                        </w:tc>
                        <w:tc>
                          <w:tcPr>
                            <w:tcW w:w="573" w:type="pct"/>
                            <w:tcBorders>
                              <w:top w:val="nil"/>
                              <w:left w:val="nil"/>
                              <w:bottom w:val="nil"/>
                              <w:right w:val="nil"/>
                            </w:tcBorders>
                            <w:hideMark/>
                          </w:tcPr>
                          <w:p w14:paraId="4AFE9A3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c>
                          <w:tcPr>
                            <w:tcW w:w="573" w:type="pct"/>
                            <w:tcBorders>
                              <w:top w:val="nil"/>
                              <w:left w:val="nil"/>
                              <w:bottom w:val="nil"/>
                              <w:right w:val="nil"/>
                            </w:tcBorders>
                            <w:hideMark/>
                          </w:tcPr>
                          <w:p w14:paraId="246FAD9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5.9 </w:t>
                            </w:r>
                          </w:p>
                        </w:tc>
                        <w:tc>
                          <w:tcPr>
                            <w:tcW w:w="573" w:type="pct"/>
                            <w:tcBorders>
                              <w:top w:val="nil"/>
                              <w:left w:val="nil"/>
                              <w:bottom w:val="nil"/>
                              <w:right w:val="nil"/>
                            </w:tcBorders>
                            <w:hideMark/>
                          </w:tcPr>
                          <w:p w14:paraId="6B64344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5.9 </w:t>
                            </w:r>
                          </w:p>
                        </w:tc>
                        <w:tc>
                          <w:tcPr>
                            <w:tcW w:w="573" w:type="pct"/>
                            <w:tcBorders>
                              <w:top w:val="nil"/>
                              <w:left w:val="nil"/>
                              <w:bottom w:val="nil"/>
                              <w:right w:val="nil"/>
                            </w:tcBorders>
                            <w:hideMark/>
                          </w:tcPr>
                          <w:p w14:paraId="7E3581B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7.9 </w:t>
                            </w:r>
                          </w:p>
                        </w:tc>
                      </w:tr>
                      <w:tr w:rsidR="008C1A62" w:rsidRPr="008C1A62" w14:paraId="2CE05063" w14:textId="77777777" w:rsidTr="008C1A62">
                        <w:trPr>
                          <w:trHeight w:val="204"/>
                        </w:trPr>
                        <w:tc>
                          <w:tcPr>
                            <w:tcW w:w="989" w:type="pct"/>
                            <w:tcBorders>
                              <w:top w:val="nil"/>
                              <w:left w:val="nil"/>
                              <w:bottom w:val="nil"/>
                              <w:right w:val="nil"/>
                            </w:tcBorders>
                            <w:noWrap/>
                            <w:hideMark/>
                          </w:tcPr>
                          <w:p w14:paraId="78A0BDB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Current Liabilities</w:t>
                            </w:r>
                          </w:p>
                        </w:tc>
                        <w:tc>
                          <w:tcPr>
                            <w:tcW w:w="573" w:type="pct"/>
                            <w:tcBorders>
                              <w:top w:val="single" w:sz="4" w:space="0" w:color="000000"/>
                              <w:left w:val="nil"/>
                              <w:bottom w:val="nil"/>
                              <w:right w:val="nil"/>
                            </w:tcBorders>
                            <w:hideMark/>
                          </w:tcPr>
                          <w:p w14:paraId="499ADFA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23.2 </w:t>
                            </w:r>
                          </w:p>
                        </w:tc>
                        <w:tc>
                          <w:tcPr>
                            <w:tcW w:w="573" w:type="pct"/>
                            <w:tcBorders>
                              <w:top w:val="single" w:sz="4" w:space="0" w:color="000000"/>
                              <w:left w:val="nil"/>
                              <w:bottom w:val="nil"/>
                              <w:right w:val="nil"/>
                            </w:tcBorders>
                            <w:hideMark/>
                          </w:tcPr>
                          <w:p w14:paraId="558329A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24.8 </w:t>
                            </w:r>
                          </w:p>
                        </w:tc>
                        <w:tc>
                          <w:tcPr>
                            <w:tcW w:w="573" w:type="pct"/>
                            <w:tcBorders>
                              <w:top w:val="single" w:sz="4" w:space="0" w:color="000000"/>
                              <w:left w:val="nil"/>
                              <w:bottom w:val="nil"/>
                              <w:right w:val="nil"/>
                            </w:tcBorders>
                            <w:hideMark/>
                          </w:tcPr>
                          <w:p w14:paraId="23E14AD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29.4 </w:t>
                            </w:r>
                          </w:p>
                        </w:tc>
                        <w:tc>
                          <w:tcPr>
                            <w:tcW w:w="573" w:type="pct"/>
                            <w:tcBorders>
                              <w:top w:val="single" w:sz="4" w:space="0" w:color="000000"/>
                              <w:left w:val="nil"/>
                              <w:bottom w:val="nil"/>
                              <w:right w:val="nil"/>
                            </w:tcBorders>
                            <w:hideMark/>
                          </w:tcPr>
                          <w:p w14:paraId="1501519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32.0 </w:t>
                            </w:r>
                          </w:p>
                        </w:tc>
                        <w:tc>
                          <w:tcPr>
                            <w:tcW w:w="573" w:type="pct"/>
                            <w:tcBorders>
                              <w:top w:val="single" w:sz="4" w:space="0" w:color="000000"/>
                              <w:left w:val="nil"/>
                              <w:bottom w:val="nil"/>
                              <w:right w:val="nil"/>
                            </w:tcBorders>
                            <w:hideMark/>
                          </w:tcPr>
                          <w:p w14:paraId="6EA47AE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33.6 </w:t>
                            </w:r>
                          </w:p>
                        </w:tc>
                        <w:tc>
                          <w:tcPr>
                            <w:tcW w:w="573" w:type="pct"/>
                            <w:tcBorders>
                              <w:top w:val="single" w:sz="4" w:space="0" w:color="000000"/>
                              <w:left w:val="nil"/>
                              <w:bottom w:val="nil"/>
                              <w:right w:val="nil"/>
                            </w:tcBorders>
                            <w:hideMark/>
                          </w:tcPr>
                          <w:p w14:paraId="370CCB3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35.5 </w:t>
                            </w:r>
                          </w:p>
                        </w:tc>
                        <w:tc>
                          <w:tcPr>
                            <w:tcW w:w="573" w:type="pct"/>
                            <w:tcBorders>
                              <w:top w:val="single" w:sz="4" w:space="0" w:color="000000"/>
                              <w:left w:val="nil"/>
                              <w:bottom w:val="nil"/>
                              <w:right w:val="nil"/>
                            </w:tcBorders>
                            <w:hideMark/>
                          </w:tcPr>
                          <w:p w14:paraId="00DCAC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37.0 </w:t>
                            </w:r>
                          </w:p>
                        </w:tc>
                      </w:tr>
                      <w:tr w:rsidR="008C1A62" w:rsidRPr="008C1A62" w14:paraId="4856B188" w14:textId="77777777" w:rsidTr="008C1A62">
                        <w:trPr>
                          <w:trHeight w:val="204"/>
                        </w:trPr>
                        <w:tc>
                          <w:tcPr>
                            <w:tcW w:w="989" w:type="pct"/>
                            <w:tcBorders>
                              <w:top w:val="nil"/>
                              <w:left w:val="nil"/>
                              <w:bottom w:val="nil"/>
                              <w:right w:val="nil"/>
                            </w:tcBorders>
                            <w:noWrap/>
                            <w:hideMark/>
                          </w:tcPr>
                          <w:p w14:paraId="34789EF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w:t>
                            </w:r>
                          </w:p>
                        </w:tc>
                        <w:tc>
                          <w:tcPr>
                            <w:tcW w:w="573" w:type="pct"/>
                            <w:tcBorders>
                              <w:top w:val="nil"/>
                              <w:left w:val="nil"/>
                              <w:bottom w:val="nil"/>
                              <w:right w:val="nil"/>
                            </w:tcBorders>
                            <w:hideMark/>
                          </w:tcPr>
                          <w:p w14:paraId="127817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c>
                          <w:tcPr>
                            <w:tcW w:w="573" w:type="pct"/>
                            <w:tcBorders>
                              <w:top w:val="nil"/>
                              <w:left w:val="nil"/>
                              <w:bottom w:val="nil"/>
                              <w:right w:val="nil"/>
                            </w:tcBorders>
                            <w:hideMark/>
                          </w:tcPr>
                          <w:p w14:paraId="24304B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7.5 </w:t>
                            </w:r>
                          </w:p>
                        </w:tc>
                        <w:tc>
                          <w:tcPr>
                            <w:tcW w:w="573" w:type="pct"/>
                            <w:tcBorders>
                              <w:top w:val="nil"/>
                              <w:left w:val="nil"/>
                              <w:bottom w:val="nil"/>
                              <w:right w:val="nil"/>
                            </w:tcBorders>
                            <w:hideMark/>
                          </w:tcPr>
                          <w:p w14:paraId="6BD330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73" w:type="pct"/>
                            <w:tcBorders>
                              <w:top w:val="nil"/>
                              <w:left w:val="nil"/>
                              <w:bottom w:val="nil"/>
                              <w:right w:val="nil"/>
                            </w:tcBorders>
                            <w:hideMark/>
                          </w:tcPr>
                          <w:p w14:paraId="1FE663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6.5 </w:t>
                            </w:r>
                          </w:p>
                        </w:tc>
                        <w:tc>
                          <w:tcPr>
                            <w:tcW w:w="573" w:type="pct"/>
                            <w:tcBorders>
                              <w:top w:val="nil"/>
                              <w:left w:val="nil"/>
                              <w:bottom w:val="nil"/>
                              <w:right w:val="nil"/>
                            </w:tcBorders>
                            <w:hideMark/>
                          </w:tcPr>
                          <w:p w14:paraId="647F78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5.4 </w:t>
                            </w:r>
                          </w:p>
                        </w:tc>
                        <w:tc>
                          <w:tcPr>
                            <w:tcW w:w="573" w:type="pct"/>
                            <w:tcBorders>
                              <w:top w:val="nil"/>
                              <w:left w:val="nil"/>
                              <w:bottom w:val="nil"/>
                              <w:right w:val="nil"/>
                            </w:tcBorders>
                            <w:hideMark/>
                          </w:tcPr>
                          <w:p w14:paraId="094FCDA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c>
                          <w:tcPr>
                            <w:tcW w:w="573" w:type="pct"/>
                            <w:tcBorders>
                              <w:top w:val="nil"/>
                              <w:left w:val="nil"/>
                              <w:bottom w:val="nil"/>
                              <w:right w:val="nil"/>
                            </w:tcBorders>
                            <w:hideMark/>
                          </w:tcPr>
                          <w:p w14:paraId="559175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5.8 </w:t>
                            </w:r>
                          </w:p>
                        </w:tc>
                      </w:tr>
                      <w:tr w:rsidR="008C1A62" w:rsidRPr="008C1A62" w14:paraId="48BD7F66" w14:textId="77777777" w:rsidTr="008C1A62">
                        <w:trPr>
                          <w:trHeight w:val="204"/>
                        </w:trPr>
                        <w:tc>
                          <w:tcPr>
                            <w:tcW w:w="989" w:type="pct"/>
                            <w:tcBorders>
                              <w:top w:val="nil"/>
                              <w:left w:val="nil"/>
                              <w:bottom w:val="nil"/>
                              <w:right w:val="nil"/>
                            </w:tcBorders>
                            <w:noWrap/>
                            <w:hideMark/>
                          </w:tcPr>
                          <w:p w14:paraId="40E5810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Leases</w:t>
                            </w:r>
                          </w:p>
                        </w:tc>
                        <w:tc>
                          <w:tcPr>
                            <w:tcW w:w="573" w:type="pct"/>
                            <w:tcBorders>
                              <w:top w:val="nil"/>
                              <w:left w:val="nil"/>
                              <w:bottom w:val="nil"/>
                              <w:right w:val="nil"/>
                            </w:tcBorders>
                            <w:hideMark/>
                          </w:tcPr>
                          <w:p w14:paraId="3F94B6F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473C53D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 </w:t>
                            </w:r>
                          </w:p>
                        </w:tc>
                        <w:tc>
                          <w:tcPr>
                            <w:tcW w:w="573" w:type="pct"/>
                            <w:tcBorders>
                              <w:top w:val="nil"/>
                              <w:left w:val="nil"/>
                              <w:bottom w:val="nil"/>
                              <w:right w:val="nil"/>
                            </w:tcBorders>
                            <w:hideMark/>
                          </w:tcPr>
                          <w:p w14:paraId="706909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3.6 </w:t>
                            </w:r>
                          </w:p>
                        </w:tc>
                        <w:tc>
                          <w:tcPr>
                            <w:tcW w:w="573" w:type="pct"/>
                            <w:tcBorders>
                              <w:top w:val="nil"/>
                              <w:left w:val="nil"/>
                              <w:bottom w:val="nil"/>
                              <w:right w:val="nil"/>
                            </w:tcBorders>
                            <w:hideMark/>
                          </w:tcPr>
                          <w:p w14:paraId="08991F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3.9 </w:t>
                            </w:r>
                          </w:p>
                        </w:tc>
                        <w:tc>
                          <w:tcPr>
                            <w:tcW w:w="573" w:type="pct"/>
                            <w:tcBorders>
                              <w:top w:val="nil"/>
                              <w:left w:val="nil"/>
                              <w:bottom w:val="nil"/>
                              <w:right w:val="nil"/>
                            </w:tcBorders>
                            <w:hideMark/>
                          </w:tcPr>
                          <w:p w14:paraId="756244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55E657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3.7 </w:t>
                            </w:r>
                          </w:p>
                        </w:tc>
                        <w:tc>
                          <w:tcPr>
                            <w:tcW w:w="573" w:type="pct"/>
                            <w:tcBorders>
                              <w:top w:val="nil"/>
                              <w:left w:val="nil"/>
                              <w:bottom w:val="nil"/>
                              <w:right w:val="nil"/>
                            </w:tcBorders>
                            <w:hideMark/>
                          </w:tcPr>
                          <w:p w14:paraId="00B55D0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r>
                      <w:tr w:rsidR="008C1A62" w:rsidRPr="008C1A62" w14:paraId="546B75E9" w14:textId="77777777" w:rsidTr="008C1A62">
                        <w:trPr>
                          <w:trHeight w:val="204"/>
                        </w:trPr>
                        <w:tc>
                          <w:tcPr>
                            <w:tcW w:w="989" w:type="pct"/>
                            <w:tcBorders>
                              <w:top w:val="nil"/>
                              <w:left w:val="nil"/>
                              <w:bottom w:val="nil"/>
                              <w:right w:val="nil"/>
                            </w:tcBorders>
                            <w:noWrap/>
                            <w:hideMark/>
                          </w:tcPr>
                          <w:p w14:paraId="28CD40F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Def. Tax Liability, Non-Curr.</w:t>
                            </w:r>
                          </w:p>
                        </w:tc>
                        <w:tc>
                          <w:tcPr>
                            <w:tcW w:w="573" w:type="pct"/>
                            <w:tcBorders>
                              <w:top w:val="nil"/>
                              <w:left w:val="nil"/>
                              <w:bottom w:val="nil"/>
                              <w:right w:val="nil"/>
                            </w:tcBorders>
                            <w:hideMark/>
                          </w:tcPr>
                          <w:p w14:paraId="654187D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1E05FE1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66F21CF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714DEA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55234D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46665E2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73" w:type="pct"/>
                            <w:tcBorders>
                              <w:top w:val="nil"/>
                              <w:left w:val="nil"/>
                              <w:bottom w:val="nil"/>
                              <w:right w:val="nil"/>
                            </w:tcBorders>
                            <w:hideMark/>
                          </w:tcPr>
                          <w:p w14:paraId="6037B6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50AC70FE" w14:textId="77777777" w:rsidTr="008C1A62">
                        <w:trPr>
                          <w:trHeight w:val="204"/>
                        </w:trPr>
                        <w:tc>
                          <w:tcPr>
                            <w:tcW w:w="989" w:type="pct"/>
                            <w:tcBorders>
                              <w:top w:val="nil"/>
                              <w:left w:val="nil"/>
                              <w:bottom w:val="nil"/>
                              <w:right w:val="nil"/>
                            </w:tcBorders>
                            <w:noWrap/>
                            <w:hideMark/>
                          </w:tcPr>
                          <w:p w14:paraId="39975D6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Non-Current Liabilities</w:t>
                            </w:r>
                          </w:p>
                        </w:tc>
                        <w:tc>
                          <w:tcPr>
                            <w:tcW w:w="573" w:type="pct"/>
                            <w:tcBorders>
                              <w:top w:val="nil"/>
                              <w:left w:val="nil"/>
                              <w:bottom w:val="nil"/>
                              <w:right w:val="nil"/>
                            </w:tcBorders>
                            <w:hideMark/>
                          </w:tcPr>
                          <w:p w14:paraId="7EE66E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9289A5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73" w:type="pct"/>
                            <w:tcBorders>
                              <w:top w:val="nil"/>
                              <w:left w:val="nil"/>
                              <w:bottom w:val="nil"/>
                              <w:right w:val="nil"/>
                            </w:tcBorders>
                            <w:hideMark/>
                          </w:tcPr>
                          <w:p w14:paraId="55B667B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73" w:type="pct"/>
                            <w:tcBorders>
                              <w:top w:val="nil"/>
                              <w:left w:val="nil"/>
                              <w:bottom w:val="nil"/>
                              <w:right w:val="nil"/>
                            </w:tcBorders>
                            <w:hideMark/>
                          </w:tcPr>
                          <w:p w14:paraId="51B54B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3323B7F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7C5502A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64529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2.6 </w:t>
                            </w:r>
                          </w:p>
                        </w:tc>
                      </w:tr>
                      <w:tr w:rsidR="008C1A62" w:rsidRPr="008C1A62" w14:paraId="1B22484D" w14:textId="77777777" w:rsidTr="008C1A62">
                        <w:trPr>
                          <w:trHeight w:val="204"/>
                        </w:trPr>
                        <w:tc>
                          <w:tcPr>
                            <w:tcW w:w="989" w:type="pct"/>
                            <w:tcBorders>
                              <w:top w:val="nil"/>
                              <w:left w:val="nil"/>
                              <w:bottom w:val="nil"/>
                              <w:right w:val="nil"/>
                            </w:tcBorders>
                            <w:noWrap/>
                            <w:hideMark/>
                          </w:tcPr>
                          <w:p w14:paraId="02778DC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Liabilities</w:t>
                            </w:r>
                          </w:p>
                        </w:tc>
                        <w:tc>
                          <w:tcPr>
                            <w:tcW w:w="573" w:type="pct"/>
                            <w:tcBorders>
                              <w:top w:val="single" w:sz="4" w:space="0" w:color="000000"/>
                              <w:left w:val="nil"/>
                              <w:bottom w:val="nil"/>
                              <w:right w:val="nil"/>
                            </w:tcBorders>
                            <w:hideMark/>
                          </w:tcPr>
                          <w:p w14:paraId="3F85D18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29.8 </w:t>
                            </w:r>
                          </w:p>
                        </w:tc>
                        <w:tc>
                          <w:tcPr>
                            <w:tcW w:w="573" w:type="pct"/>
                            <w:tcBorders>
                              <w:top w:val="single" w:sz="4" w:space="0" w:color="000000"/>
                              <w:left w:val="nil"/>
                              <w:bottom w:val="nil"/>
                              <w:right w:val="nil"/>
                            </w:tcBorders>
                            <w:hideMark/>
                          </w:tcPr>
                          <w:p w14:paraId="0BC4B6B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36.9 </w:t>
                            </w:r>
                          </w:p>
                        </w:tc>
                        <w:tc>
                          <w:tcPr>
                            <w:tcW w:w="573" w:type="pct"/>
                            <w:tcBorders>
                              <w:top w:val="single" w:sz="4" w:space="0" w:color="000000"/>
                              <w:left w:val="nil"/>
                              <w:bottom w:val="nil"/>
                              <w:right w:val="nil"/>
                            </w:tcBorders>
                            <w:hideMark/>
                          </w:tcPr>
                          <w:p w14:paraId="14A14BB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41.2 </w:t>
                            </w:r>
                          </w:p>
                        </w:tc>
                        <w:tc>
                          <w:tcPr>
                            <w:tcW w:w="573" w:type="pct"/>
                            <w:tcBorders>
                              <w:top w:val="single" w:sz="4" w:space="0" w:color="000000"/>
                              <w:left w:val="nil"/>
                              <w:bottom w:val="nil"/>
                              <w:right w:val="nil"/>
                            </w:tcBorders>
                            <w:hideMark/>
                          </w:tcPr>
                          <w:p w14:paraId="0AE273C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43.5 </w:t>
                            </w:r>
                          </w:p>
                        </w:tc>
                        <w:tc>
                          <w:tcPr>
                            <w:tcW w:w="573" w:type="pct"/>
                            <w:tcBorders>
                              <w:top w:val="single" w:sz="4" w:space="0" w:color="000000"/>
                              <w:left w:val="nil"/>
                              <w:bottom w:val="nil"/>
                              <w:right w:val="nil"/>
                            </w:tcBorders>
                            <w:hideMark/>
                          </w:tcPr>
                          <w:p w14:paraId="2C80CAB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43.9 </w:t>
                            </w:r>
                          </w:p>
                        </w:tc>
                        <w:tc>
                          <w:tcPr>
                            <w:tcW w:w="573" w:type="pct"/>
                            <w:tcBorders>
                              <w:top w:val="single" w:sz="4" w:space="0" w:color="000000"/>
                              <w:left w:val="nil"/>
                              <w:bottom w:val="nil"/>
                              <w:right w:val="nil"/>
                            </w:tcBorders>
                            <w:hideMark/>
                          </w:tcPr>
                          <w:p w14:paraId="63EDF9D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46.2 </w:t>
                            </w:r>
                          </w:p>
                        </w:tc>
                        <w:tc>
                          <w:tcPr>
                            <w:tcW w:w="573" w:type="pct"/>
                            <w:tcBorders>
                              <w:top w:val="single" w:sz="4" w:space="0" w:color="000000"/>
                              <w:left w:val="nil"/>
                              <w:bottom w:val="nil"/>
                              <w:right w:val="nil"/>
                            </w:tcBorders>
                            <w:hideMark/>
                          </w:tcPr>
                          <w:p w14:paraId="3B9696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47.6 </w:t>
                            </w:r>
                          </w:p>
                        </w:tc>
                      </w:tr>
                      <w:tr w:rsidR="008C1A62" w:rsidRPr="008C1A62" w14:paraId="1C7AB665" w14:textId="77777777" w:rsidTr="008C1A62">
                        <w:trPr>
                          <w:trHeight w:val="204"/>
                        </w:trPr>
                        <w:tc>
                          <w:tcPr>
                            <w:tcW w:w="989" w:type="pct"/>
                            <w:tcBorders>
                              <w:top w:val="nil"/>
                              <w:left w:val="nil"/>
                              <w:bottom w:val="nil"/>
                              <w:right w:val="nil"/>
                            </w:tcBorders>
                            <w:noWrap/>
                            <w:hideMark/>
                          </w:tcPr>
                          <w:p w14:paraId="0D3C71D1"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Common Stock</w:t>
                            </w:r>
                          </w:p>
                        </w:tc>
                        <w:tc>
                          <w:tcPr>
                            <w:tcW w:w="573" w:type="pct"/>
                            <w:tcBorders>
                              <w:top w:val="nil"/>
                              <w:left w:val="nil"/>
                              <w:bottom w:val="nil"/>
                              <w:right w:val="nil"/>
                            </w:tcBorders>
                            <w:hideMark/>
                          </w:tcPr>
                          <w:p w14:paraId="62E7091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54555B2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6995C04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30FF367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49D9740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364539F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18CD712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r>
                      <w:tr w:rsidR="008C1A62" w:rsidRPr="008C1A62" w14:paraId="444FEDFB" w14:textId="77777777" w:rsidTr="008C1A62">
                        <w:trPr>
                          <w:trHeight w:val="204"/>
                        </w:trPr>
                        <w:tc>
                          <w:tcPr>
                            <w:tcW w:w="989" w:type="pct"/>
                            <w:tcBorders>
                              <w:top w:val="nil"/>
                              <w:left w:val="nil"/>
                              <w:bottom w:val="nil"/>
                              <w:right w:val="nil"/>
                            </w:tcBorders>
                            <w:noWrap/>
                            <w:hideMark/>
                          </w:tcPr>
                          <w:p w14:paraId="2AB3F04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Additional Paid In Capital</w:t>
                            </w:r>
                          </w:p>
                        </w:tc>
                        <w:tc>
                          <w:tcPr>
                            <w:tcW w:w="573" w:type="pct"/>
                            <w:tcBorders>
                              <w:top w:val="nil"/>
                              <w:left w:val="nil"/>
                              <w:bottom w:val="nil"/>
                              <w:right w:val="nil"/>
                            </w:tcBorders>
                            <w:hideMark/>
                          </w:tcPr>
                          <w:p w14:paraId="54156E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6.4 </w:t>
                            </w:r>
                          </w:p>
                        </w:tc>
                        <w:tc>
                          <w:tcPr>
                            <w:tcW w:w="573" w:type="pct"/>
                            <w:tcBorders>
                              <w:top w:val="nil"/>
                              <w:left w:val="nil"/>
                              <w:bottom w:val="nil"/>
                              <w:right w:val="nil"/>
                            </w:tcBorders>
                            <w:hideMark/>
                          </w:tcPr>
                          <w:p w14:paraId="552A7F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73" w:type="pct"/>
                            <w:tcBorders>
                              <w:top w:val="nil"/>
                              <w:left w:val="nil"/>
                              <w:bottom w:val="nil"/>
                              <w:right w:val="nil"/>
                            </w:tcBorders>
                            <w:hideMark/>
                          </w:tcPr>
                          <w:p w14:paraId="5A634DE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7.0 </w:t>
                            </w:r>
                          </w:p>
                        </w:tc>
                        <w:tc>
                          <w:tcPr>
                            <w:tcW w:w="573" w:type="pct"/>
                            <w:tcBorders>
                              <w:top w:val="nil"/>
                              <w:left w:val="nil"/>
                              <w:bottom w:val="nil"/>
                              <w:right w:val="nil"/>
                            </w:tcBorders>
                            <w:hideMark/>
                          </w:tcPr>
                          <w:p w14:paraId="2EB0339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6.9 </w:t>
                            </w:r>
                          </w:p>
                        </w:tc>
                        <w:tc>
                          <w:tcPr>
                            <w:tcW w:w="573" w:type="pct"/>
                            <w:tcBorders>
                              <w:top w:val="nil"/>
                              <w:left w:val="nil"/>
                              <w:bottom w:val="nil"/>
                              <w:right w:val="nil"/>
                            </w:tcBorders>
                            <w:hideMark/>
                          </w:tcPr>
                          <w:p w14:paraId="38B8FDA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7.3 </w:t>
                            </w:r>
                          </w:p>
                        </w:tc>
                        <w:tc>
                          <w:tcPr>
                            <w:tcW w:w="573" w:type="pct"/>
                            <w:tcBorders>
                              <w:top w:val="nil"/>
                              <w:left w:val="nil"/>
                              <w:bottom w:val="nil"/>
                              <w:right w:val="nil"/>
                            </w:tcBorders>
                            <w:hideMark/>
                          </w:tcPr>
                          <w:p w14:paraId="2BE8C86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7.8 </w:t>
                            </w:r>
                          </w:p>
                        </w:tc>
                        <w:tc>
                          <w:tcPr>
                            <w:tcW w:w="573" w:type="pct"/>
                            <w:tcBorders>
                              <w:top w:val="nil"/>
                              <w:left w:val="nil"/>
                              <w:bottom w:val="nil"/>
                              <w:right w:val="nil"/>
                            </w:tcBorders>
                            <w:hideMark/>
                          </w:tcPr>
                          <w:p w14:paraId="1C5D59E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8.0 </w:t>
                            </w:r>
                          </w:p>
                        </w:tc>
                      </w:tr>
                      <w:tr w:rsidR="008C1A62" w:rsidRPr="008C1A62" w14:paraId="10289A7E" w14:textId="77777777" w:rsidTr="008C1A62">
                        <w:trPr>
                          <w:trHeight w:val="204"/>
                        </w:trPr>
                        <w:tc>
                          <w:tcPr>
                            <w:tcW w:w="989" w:type="pct"/>
                            <w:tcBorders>
                              <w:top w:val="nil"/>
                              <w:left w:val="nil"/>
                              <w:bottom w:val="nil"/>
                              <w:right w:val="nil"/>
                            </w:tcBorders>
                            <w:noWrap/>
                            <w:hideMark/>
                          </w:tcPr>
                          <w:p w14:paraId="49698CF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Retained Earnings</w:t>
                            </w:r>
                          </w:p>
                        </w:tc>
                        <w:tc>
                          <w:tcPr>
                            <w:tcW w:w="573" w:type="pct"/>
                            <w:tcBorders>
                              <w:top w:val="nil"/>
                              <w:left w:val="nil"/>
                              <w:bottom w:val="nil"/>
                              <w:right w:val="nil"/>
                            </w:tcBorders>
                            <w:hideMark/>
                          </w:tcPr>
                          <w:p w14:paraId="71512D2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10.3 </w:t>
                            </w:r>
                          </w:p>
                        </w:tc>
                        <w:tc>
                          <w:tcPr>
                            <w:tcW w:w="573" w:type="pct"/>
                            <w:tcBorders>
                              <w:top w:val="nil"/>
                              <w:left w:val="nil"/>
                              <w:bottom w:val="nil"/>
                              <w:right w:val="nil"/>
                            </w:tcBorders>
                            <w:hideMark/>
                          </w:tcPr>
                          <w:p w14:paraId="523E1A1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12.9 </w:t>
                            </w:r>
                          </w:p>
                        </w:tc>
                        <w:tc>
                          <w:tcPr>
                            <w:tcW w:w="573" w:type="pct"/>
                            <w:tcBorders>
                              <w:top w:val="nil"/>
                              <w:left w:val="nil"/>
                              <w:bottom w:val="nil"/>
                              <w:right w:val="nil"/>
                            </w:tcBorders>
                            <w:hideMark/>
                          </w:tcPr>
                          <w:p w14:paraId="337AE36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11.7 </w:t>
                            </w:r>
                          </w:p>
                        </w:tc>
                        <w:tc>
                          <w:tcPr>
                            <w:tcW w:w="573" w:type="pct"/>
                            <w:tcBorders>
                              <w:top w:val="nil"/>
                              <w:left w:val="nil"/>
                              <w:bottom w:val="nil"/>
                              <w:right w:val="nil"/>
                            </w:tcBorders>
                            <w:hideMark/>
                          </w:tcPr>
                          <w:p w14:paraId="0C72CF7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15.6 </w:t>
                            </w:r>
                          </w:p>
                        </w:tc>
                        <w:tc>
                          <w:tcPr>
                            <w:tcW w:w="573" w:type="pct"/>
                            <w:tcBorders>
                              <w:top w:val="nil"/>
                              <w:left w:val="nil"/>
                              <w:bottom w:val="nil"/>
                              <w:right w:val="nil"/>
                            </w:tcBorders>
                            <w:hideMark/>
                          </w:tcPr>
                          <w:p w14:paraId="2B8DFB6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19.5 </w:t>
                            </w:r>
                          </w:p>
                        </w:tc>
                        <w:tc>
                          <w:tcPr>
                            <w:tcW w:w="573" w:type="pct"/>
                            <w:tcBorders>
                              <w:top w:val="nil"/>
                              <w:left w:val="nil"/>
                              <w:bottom w:val="nil"/>
                              <w:right w:val="nil"/>
                            </w:tcBorders>
                            <w:hideMark/>
                          </w:tcPr>
                          <w:p w14:paraId="00F2328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17.6 </w:t>
                            </w:r>
                          </w:p>
                        </w:tc>
                        <w:tc>
                          <w:tcPr>
                            <w:tcW w:w="573" w:type="pct"/>
                            <w:tcBorders>
                              <w:top w:val="nil"/>
                              <w:left w:val="nil"/>
                              <w:bottom w:val="nil"/>
                              <w:right w:val="nil"/>
                            </w:tcBorders>
                            <w:hideMark/>
                          </w:tcPr>
                          <w:p w14:paraId="668826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19.8 </w:t>
                            </w:r>
                          </w:p>
                        </w:tc>
                      </w:tr>
                      <w:tr w:rsidR="008C1A62" w:rsidRPr="008C1A62" w14:paraId="1478CB4C" w14:textId="77777777" w:rsidTr="008C1A62">
                        <w:trPr>
                          <w:trHeight w:val="204"/>
                        </w:trPr>
                        <w:tc>
                          <w:tcPr>
                            <w:tcW w:w="989" w:type="pct"/>
                            <w:tcBorders>
                              <w:top w:val="nil"/>
                              <w:left w:val="nil"/>
                              <w:bottom w:val="nil"/>
                              <w:right w:val="nil"/>
                            </w:tcBorders>
                            <w:noWrap/>
                            <w:hideMark/>
                          </w:tcPr>
                          <w:p w14:paraId="00BB839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Treasury Stock</w:t>
                            </w:r>
                          </w:p>
                        </w:tc>
                        <w:tc>
                          <w:tcPr>
                            <w:tcW w:w="573" w:type="pct"/>
                            <w:tcBorders>
                              <w:top w:val="nil"/>
                              <w:left w:val="nil"/>
                              <w:bottom w:val="nil"/>
                              <w:right w:val="nil"/>
                            </w:tcBorders>
                            <w:hideMark/>
                          </w:tcPr>
                          <w:p w14:paraId="34B39A4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6931B97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33A5916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71C87D0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33724A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2B3C21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0529178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1B6CAA63" w14:textId="77777777" w:rsidTr="008C1A62">
                        <w:trPr>
                          <w:trHeight w:val="204"/>
                        </w:trPr>
                        <w:tc>
                          <w:tcPr>
                            <w:tcW w:w="989" w:type="pct"/>
                            <w:tcBorders>
                              <w:top w:val="nil"/>
                              <w:left w:val="nil"/>
                              <w:bottom w:val="nil"/>
                              <w:right w:val="nil"/>
                            </w:tcBorders>
                            <w:noWrap/>
                            <w:hideMark/>
                          </w:tcPr>
                          <w:p w14:paraId="791BE4F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Comprehensive Inc. and Other</w:t>
                            </w:r>
                          </w:p>
                        </w:tc>
                        <w:tc>
                          <w:tcPr>
                            <w:tcW w:w="573" w:type="pct"/>
                            <w:tcBorders>
                              <w:top w:val="nil"/>
                              <w:left w:val="nil"/>
                              <w:bottom w:val="nil"/>
                              <w:right w:val="nil"/>
                            </w:tcBorders>
                            <w:hideMark/>
                          </w:tcPr>
                          <w:p w14:paraId="3E2CE1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(1.4)  </w:t>
                            </w:r>
                          </w:p>
                        </w:tc>
                        <w:tc>
                          <w:tcPr>
                            <w:tcW w:w="573" w:type="pct"/>
                            <w:tcBorders>
                              <w:top w:val="nil"/>
                              <w:left w:val="nil"/>
                              <w:bottom w:val="nil"/>
                              <w:right w:val="nil"/>
                            </w:tcBorders>
                            <w:hideMark/>
                          </w:tcPr>
                          <w:p w14:paraId="5AE432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73" w:type="pct"/>
                            <w:tcBorders>
                              <w:top w:val="nil"/>
                              <w:left w:val="nil"/>
                              <w:bottom w:val="nil"/>
                              <w:right w:val="nil"/>
                            </w:tcBorders>
                            <w:hideMark/>
                          </w:tcPr>
                          <w:p w14:paraId="7F70D23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73" w:type="pct"/>
                            <w:tcBorders>
                              <w:top w:val="nil"/>
                              <w:left w:val="nil"/>
                              <w:bottom w:val="nil"/>
                              <w:right w:val="nil"/>
                            </w:tcBorders>
                            <w:hideMark/>
                          </w:tcPr>
                          <w:p w14:paraId="263EC4F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5117A20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12AFE66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73" w:type="pct"/>
                            <w:tcBorders>
                              <w:top w:val="nil"/>
                              <w:left w:val="nil"/>
                              <w:bottom w:val="nil"/>
                              <w:right w:val="nil"/>
                            </w:tcBorders>
                            <w:hideMark/>
                          </w:tcPr>
                          <w:p w14:paraId="01259F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r>
                      <w:tr w:rsidR="008C1A62" w:rsidRPr="008C1A62" w14:paraId="3BAB5762" w14:textId="77777777" w:rsidTr="008C1A62">
                        <w:trPr>
                          <w:trHeight w:val="204"/>
                        </w:trPr>
                        <w:tc>
                          <w:tcPr>
                            <w:tcW w:w="989" w:type="pct"/>
                            <w:tcBorders>
                              <w:top w:val="nil"/>
                              <w:left w:val="nil"/>
                              <w:bottom w:val="nil"/>
                              <w:right w:val="nil"/>
                            </w:tcBorders>
                            <w:noWrap/>
                            <w:hideMark/>
                          </w:tcPr>
                          <w:p w14:paraId="32D16452"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Total Common Equity</w:t>
                            </w:r>
                          </w:p>
                        </w:tc>
                        <w:tc>
                          <w:tcPr>
                            <w:tcW w:w="573" w:type="pct"/>
                            <w:tcBorders>
                              <w:top w:val="single" w:sz="4" w:space="0" w:color="000000"/>
                              <w:left w:val="nil"/>
                              <w:bottom w:val="nil"/>
                              <w:right w:val="nil"/>
                            </w:tcBorders>
                            <w:hideMark/>
                          </w:tcPr>
                          <w:p w14:paraId="2602604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15.2 </w:t>
                            </w:r>
                          </w:p>
                        </w:tc>
                        <w:tc>
                          <w:tcPr>
                            <w:tcW w:w="573" w:type="pct"/>
                            <w:tcBorders>
                              <w:top w:val="single" w:sz="4" w:space="0" w:color="000000"/>
                              <w:left w:val="nil"/>
                              <w:bottom w:val="nil"/>
                              <w:right w:val="nil"/>
                            </w:tcBorders>
                            <w:hideMark/>
                          </w:tcPr>
                          <w:p w14:paraId="4434C57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18.3 </w:t>
                            </w:r>
                          </w:p>
                        </w:tc>
                        <w:tc>
                          <w:tcPr>
                            <w:tcW w:w="573" w:type="pct"/>
                            <w:tcBorders>
                              <w:top w:val="single" w:sz="4" w:space="0" w:color="000000"/>
                              <w:left w:val="nil"/>
                              <w:bottom w:val="nil"/>
                              <w:right w:val="nil"/>
                            </w:tcBorders>
                            <w:hideMark/>
                          </w:tcPr>
                          <w:p w14:paraId="37877E5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17.6 </w:t>
                            </w:r>
                          </w:p>
                        </w:tc>
                        <w:tc>
                          <w:tcPr>
                            <w:tcW w:w="573" w:type="pct"/>
                            <w:tcBorders>
                              <w:top w:val="single" w:sz="4" w:space="0" w:color="000000"/>
                              <w:left w:val="nil"/>
                              <w:bottom w:val="nil"/>
                              <w:right w:val="nil"/>
                            </w:tcBorders>
                            <w:hideMark/>
                          </w:tcPr>
                          <w:p w14:paraId="6406C28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20.6 </w:t>
                            </w:r>
                          </w:p>
                        </w:tc>
                        <w:tc>
                          <w:tcPr>
                            <w:tcW w:w="573" w:type="pct"/>
                            <w:tcBorders>
                              <w:top w:val="single" w:sz="4" w:space="0" w:color="000000"/>
                              <w:left w:val="nil"/>
                              <w:bottom w:val="nil"/>
                              <w:right w:val="nil"/>
                            </w:tcBorders>
                            <w:hideMark/>
                          </w:tcPr>
                          <w:p w14:paraId="726240C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25.1 </w:t>
                            </w:r>
                          </w:p>
                        </w:tc>
                        <w:tc>
                          <w:tcPr>
                            <w:tcW w:w="573" w:type="pct"/>
                            <w:tcBorders>
                              <w:top w:val="single" w:sz="4" w:space="0" w:color="000000"/>
                              <w:left w:val="nil"/>
                              <w:bottom w:val="nil"/>
                              <w:right w:val="nil"/>
                            </w:tcBorders>
                            <w:hideMark/>
                          </w:tcPr>
                          <w:p w14:paraId="3E5B52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23.6 </w:t>
                            </w:r>
                          </w:p>
                        </w:tc>
                        <w:tc>
                          <w:tcPr>
                            <w:tcW w:w="573" w:type="pct"/>
                            <w:tcBorders>
                              <w:top w:val="single" w:sz="4" w:space="0" w:color="000000"/>
                              <w:left w:val="nil"/>
                              <w:bottom w:val="nil"/>
                              <w:right w:val="nil"/>
                            </w:tcBorders>
                            <w:hideMark/>
                          </w:tcPr>
                          <w:p w14:paraId="50828EC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25.6 </w:t>
                            </w:r>
                          </w:p>
                        </w:tc>
                      </w:tr>
                      <w:tr w:rsidR="008C1A62" w:rsidRPr="008C1A62" w14:paraId="427F61D1" w14:textId="77777777" w:rsidTr="008C1A62">
                        <w:trPr>
                          <w:trHeight w:val="204"/>
                        </w:trPr>
                        <w:tc>
                          <w:tcPr>
                            <w:tcW w:w="989" w:type="pct"/>
                            <w:tcBorders>
                              <w:top w:val="nil"/>
                              <w:left w:val="nil"/>
                              <w:bottom w:val="nil"/>
                              <w:right w:val="nil"/>
                            </w:tcBorders>
                            <w:noWrap/>
                            <w:hideMark/>
                          </w:tcPr>
                          <w:p w14:paraId="3744193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Minority Interest</w:t>
                            </w:r>
                          </w:p>
                        </w:tc>
                        <w:tc>
                          <w:tcPr>
                            <w:tcW w:w="573" w:type="pct"/>
                            <w:tcBorders>
                              <w:top w:val="nil"/>
                              <w:left w:val="nil"/>
                              <w:bottom w:val="nil"/>
                              <w:right w:val="nil"/>
                            </w:tcBorders>
                            <w:hideMark/>
                          </w:tcPr>
                          <w:p w14:paraId="4A87A81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73" w:type="pct"/>
                            <w:tcBorders>
                              <w:top w:val="nil"/>
                              <w:left w:val="nil"/>
                              <w:bottom w:val="nil"/>
                              <w:right w:val="nil"/>
                            </w:tcBorders>
                            <w:hideMark/>
                          </w:tcPr>
                          <w:p w14:paraId="51498AF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73" w:type="pct"/>
                            <w:tcBorders>
                              <w:top w:val="nil"/>
                              <w:left w:val="nil"/>
                              <w:bottom w:val="nil"/>
                              <w:right w:val="nil"/>
                            </w:tcBorders>
                            <w:hideMark/>
                          </w:tcPr>
                          <w:p w14:paraId="0D663B6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73" w:type="pct"/>
                            <w:tcBorders>
                              <w:top w:val="nil"/>
                              <w:left w:val="nil"/>
                              <w:bottom w:val="nil"/>
                              <w:right w:val="nil"/>
                            </w:tcBorders>
                            <w:hideMark/>
                          </w:tcPr>
                          <w:p w14:paraId="2601549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73" w:type="pct"/>
                            <w:tcBorders>
                              <w:top w:val="nil"/>
                              <w:left w:val="nil"/>
                              <w:bottom w:val="nil"/>
                              <w:right w:val="nil"/>
                            </w:tcBorders>
                            <w:hideMark/>
                          </w:tcPr>
                          <w:p w14:paraId="1C1779A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BA2D01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73" w:type="pct"/>
                            <w:tcBorders>
                              <w:top w:val="nil"/>
                              <w:left w:val="nil"/>
                              <w:bottom w:val="nil"/>
                              <w:right w:val="nil"/>
                            </w:tcBorders>
                            <w:hideMark/>
                          </w:tcPr>
                          <w:p w14:paraId="4016B7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8C1A62" w:rsidRPr="008C1A62" w14:paraId="789761E8" w14:textId="77777777" w:rsidTr="008C1A62">
                        <w:trPr>
                          <w:trHeight w:val="204"/>
                        </w:trPr>
                        <w:tc>
                          <w:tcPr>
                            <w:tcW w:w="989" w:type="pct"/>
                            <w:tcBorders>
                              <w:top w:val="nil"/>
                              <w:left w:val="nil"/>
                              <w:bottom w:val="nil"/>
                              <w:right w:val="nil"/>
                            </w:tcBorders>
                            <w:noWrap/>
                            <w:hideMark/>
                          </w:tcPr>
                          <w:p w14:paraId="2BD8688B"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Equity</w:t>
                            </w:r>
                          </w:p>
                        </w:tc>
                        <w:tc>
                          <w:tcPr>
                            <w:tcW w:w="573" w:type="pct"/>
                            <w:tcBorders>
                              <w:top w:val="nil"/>
                              <w:left w:val="nil"/>
                              <w:bottom w:val="nil"/>
                              <w:right w:val="nil"/>
                            </w:tcBorders>
                            <w:hideMark/>
                          </w:tcPr>
                          <w:p w14:paraId="282F594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15.6 </w:t>
                            </w:r>
                          </w:p>
                        </w:tc>
                        <w:tc>
                          <w:tcPr>
                            <w:tcW w:w="573" w:type="pct"/>
                            <w:tcBorders>
                              <w:top w:val="nil"/>
                              <w:left w:val="nil"/>
                              <w:bottom w:val="nil"/>
                              <w:right w:val="nil"/>
                            </w:tcBorders>
                            <w:hideMark/>
                          </w:tcPr>
                          <w:p w14:paraId="3B80451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18.7 </w:t>
                            </w:r>
                          </w:p>
                        </w:tc>
                        <w:tc>
                          <w:tcPr>
                            <w:tcW w:w="573" w:type="pct"/>
                            <w:tcBorders>
                              <w:top w:val="nil"/>
                              <w:left w:val="nil"/>
                              <w:bottom w:val="nil"/>
                              <w:right w:val="nil"/>
                            </w:tcBorders>
                            <w:hideMark/>
                          </w:tcPr>
                          <w:p w14:paraId="42E776D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18.1 </w:t>
                            </w:r>
                          </w:p>
                        </w:tc>
                        <w:tc>
                          <w:tcPr>
                            <w:tcW w:w="573" w:type="pct"/>
                            <w:tcBorders>
                              <w:top w:val="nil"/>
                              <w:left w:val="nil"/>
                              <w:bottom w:val="nil"/>
                              <w:right w:val="nil"/>
                            </w:tcBorders>
                            <w:hideMark/>
                          </w:tcPr>
                          <w:p w14:paraId="44C62C9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20.6 </w:t>
                            </w:r>
                          </w:p>
                        </w:tc>
                        <w:tc>
                          <w:tcPr>
                            <w:tcW w:w="573" w:type="pct"/>
                            <w:tcBorders>
                              <w:top w:val="nil"/>
                              <w:left w:val="nil"/>
                              <w:bottom w:val="nil"/>
                              <w:right w:val="nil"/>
                            </w:tcBorders>
                            <w:hideMark/>
                          </w:tcPr>
                          <w:p w14:paraId="01AA19B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25.1 </w:t>
                            </w:r>
                          </w:p>
                        </w:tc>
                        <w:tc>
                          <w:tcPr>
                            <w:tcW w:w="573" w:type="pct"/>
                            <w:tcBorders>
                              <w:top w:val="nil"/>
                              <w:left w:val="nil"/>
                              <w:bottom w:val="nil"/>
                              <w:right w:val="nil"/>
                            </w:tcBorders>
                            <w:hideMark/>
                          </w:tcPr>
                          <w:p w14:paraId="75AA42E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23.6 </w:t>
                            </w:r>
                          </w:p>
                        </w:tc>
                        <w:tc>
                          <w:tcPr>
                            <w:tcW w:w="573" w:type="pct"/>
                            <w:tcBorders>
                              <w:top w:val="nil"/>
                              <w:left w:val="nil"/>
                              <w:bottom w:val="nil"/>
                              <w:right w:val="nil"/>
                            </w:tcBorders>
                            <w:hideMark/>
                          </w:tcPr>
                          <w:p w14:paraId="1FD63AB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single"/>
                                <w:lang w:eastAsia="en-IN"/>
                                <w14:ligatures w14:val="none"/>
                              </w:rPr>
                            </w:pPr>
                            <w:r w:rsidRPr="008C1A62">
                              <w:rPr>
                                <w:rFonts w:ascii="Cambria" w:eastAsia="Times New Roman" w:hAnsi="Cambria" w:cs="Arial"/>
                                <w:b/>
                                <w:bCs/>
                                <w:color w:val="000000"/>
                                <w:kern w:val="0"/>
                                <w:sz w:val="14"/>
                                <w:szCs w:val="14"/>
                                <w:u w:val="single"/>
                                <w:lang w:eastAsia="en-IN"/>
                                <w14:ligatures w14:val="none"/>
                              </w:rPr>
                              <w:t xml:space="preserve">                        25.6 </w:t>
                            </w:r>
                          </w:p>
                        </w:tc>
                      </w:tr>
                      <w:tr w:rsidR="008C1A62" w:rsidRPr="008C1A62" w14:paraId="3B80BB6A" w14:textId="77777777" w:rsidTr="008C1A62">
                        <w:trPr>
                          <w:trHeight w:val="204"/>
                        </w:trPr>
                        <w:tc>
                          <w:tcPr>
                            <w:tcW w:w="989" w:type="pct"/>
                            <w:tcBorders>
                              <w:top w:val="nil"/>
                              <w:left w:val="nil"/>
                              <w:bottom w:val="nil"/>
                              <w:right w:val="nil"/>
                            </w:tcBorders>
                            <w:noWrap/>
                            <w:hideMark/>
                          </w:tcPr>
                          <w:p w14:paraId="629402E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Liabilities And Equity</w:t>
                            </w:r>
                          </w:p>
                        </w:tc>
                        <w:tc>
                          <w:tcPr>
                            <w:tcW w:w="573" w:type="pct"/>
                            <w:tcBorders>
                              <w:top w:val="nil"/>
                              <w:left w:val="nil"/>
                              <w:bottom w:val="nil"/>
                              <w:right w:val="nil"/>
                            </w:tcBorders>
                            <w:hideMark/>
                          </w:tcPr>
                          <w:p w14:paraId="6340616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45.4 </w:t>
                            </w:r>
                          </w:p>
                        </w:tc>
                        <w:tc>
                          <w:tcPr>
                            <w:tcW w:w="573" w:type="pct"/>
                            <w:tcBorders>
                              <w:top w:val="nil"/>
                              <w:left w:val="nil"/>
                              <w:bottom w:val="nil"/>
                              <w:right w:val="nil"/>
                            </w:tcBorders>
                            <w:hideMark/>
                          </w:tcPr>
                          <w:p w14:paraId="37E5DEE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55.6 </w:t>
                            </w:r>
                          </w:p>
                        </w:tc>
                        <w:tc>
                          <w:tcPr>
                            <w:tcW w:w="573" w:type="pct"/>
                            <w:tcBorders>
                              <w:top w:val="nil"/>
                              <w:left w:val="nil"/>
                              <w:bottom w:val="nil"/>
                              <w:right w:val="nil"/>
                            </w:tcBorders>
                            <w:hideMark/>
                          </w:tcPr>
                          <w:p w14:paraId="08A4EAA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59.3 </w:t>
                            </w:r>
                          </w:p>
                        </w:tc>
                        <w:tc>
                          <w:tcPr>
                            <w:tcW w:w="573" w:type="pct"/>
                            <w:tcBorders>
                              <w:top w:val="nil"/>
                              <w:left w:val="nil"/>
                              <w:bottom w:val="nil"/>
                              <w:right w:val="nil"/>
                            </w:tcBorders>
                            <w:hideMark/>
                          </w:tcPr>
                          <w:p w14:paraId="39CB055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64.2 </w:t>
                            </w:r>
                          </w:p>
                        </w:tc>
                        <w:tc>
                          <w:tcPr>
                            <w:tcW w:w="573" w:type="pct"/>
                            <w:tcBorders>
                              <w:top w:val="nil"/>
                              <w:left w:val="nil"/>
                              <w:bottom w:val="nil"/>
                              <w:right w:val="nil"/>
                            </w:tcBorders>
                            <w:hideMark/>
                          </w:tcPr>
                          <w:p w14:paraId="3C990AC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69.0 </w:t>
                            </w:r>
                          </w:p>
                        </w:tc>
                        <w:tc>
                          <w:tcPr>
                            <w:tcW w:w="573" w:type="pct"/>
                            <w:tcBorders>
                              <w:top w:val="nil"/>
                              <w:left w:val="nil"/>
                              <w:bottom w:val="nil"/>
                              <w:right w:val="nil"/>
                            </w:tcBorders>
                            <w:hideMark/>
                          </w:tcPr>
                          <w:p w14:paraId="563EB61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69.8 </w:t>
                            </w:r>
                          </w:p>
                        </w:tc>
                        <w:tc>
                          <w:tcPr>
                            <w:tcW w:w="573" w:type="pct"/>
                            <w:tcBorders>
                              <w:top w:val="nil"/>
                              <w:left w:val="nil"/>
                              <w:bottom w:val="nil"/>
                              <w:right w:val="nil"/>
                            </w:tcBorders>
                            <w:hideMark/>
                          </w:tcPr>
                          <w:p w14:paraId="3EDCE6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73.2 </w:t>
                            </w:r>
                          </w:p>
                        </w:tc>
                      </w:tr>
                    </w:tbl>
                    <w:p w14:paraId="3B1A37C4" w14:textId="399C0E6A" w:rsidR="008C1A62" w:rsidRDefault="008C1A62"/>
                  </w:txbxContent>
                </v:textbox>
                <w10:wrap type="square" anchorx="margin"/>
              </v:shape>
            </w:pict>
          </mc:Fallback>
        </mc:AlternateContent>
      </w:r>
    </w:p>
    <w:p w14:paraId="541A1D25" w14:textId="5553236C" w:rsidR="00D952E2" w:rsidRPr="00456405" w:rsidRDefault="0084143D" w:rsidP="00730709">
      <w:pPr>
        <w:spacing w:beforeLines="20" w:before="48" w:afterLines="40" w:after="96" w:line="240" w:lineRule="auto"/>
        <w:jc w:val="both"/>
        <w:rPr>
          <w:rFonts w:ascii="Cambria" w:hAnsi="Cambria"/>
          <w:b/>
          <w:bCs/>
          <w:sz w:val="24"/>
          <w:szCs w:val="24"/>
        </w:rPr>
      </w:pPr>
      <w:r w:rsidRPr="00456405">
        <w:rPr>
          <w:rFonts w:ascii="Cambria" w:hAnsi="Cambria"/>
          <w:noProof/>
          <w:sz w:val="24"/>
          <w:szCs w:val="24"/>
        </w:rPr>
        <w:lastRenderedPageBreak/>
        <mc:AlternateContent>
          <mc:Choice Requires="wps">
            <w:drawing>
              <wp:anchor distT="45720" distB="45720" distL="114300" distR="114300" simplePos="0" relativeHeight="251718656" behindDoc="0" locked="0" layoutInCell="1" allowOverlap="1" wp14:anchorId="2CB6AE02" wp14:editId="3B60DBF2">
                <wp:simplePos x="0" y="0"/>
                <wp:positionH relativeFrom="margin">
                  <wp:align>right</wp:align>
                </wp:positionH>
                <wp:positionV relativeFrom="paragraph">
                  <wp:posOffset>0</wp:posOffset>
                </wp:positionV>
                <wp:extent cx="6164580" cy="7635240"/>
                <wp:effectExtent l="0" t="0" r="7620" b="3810"/>
                <wp:wrapSquare wrapText="bothSides"/>
                <wp:docPr id="1281414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763524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591"/>
                              <w:gridCol w:w="975"/>
                              <w:gridCol w:w="975"/>
                              <w:gridCol w:w="976"/>
                              <w:gridCol w:w="976"/>
                              <w:gridCol w:w="976"/>
                              <w:gridCol w:w="976"/>
                              <w:gridCol w:w="976"/>
                            </w:tblGrid>
                            <w:tr w:rsidR="003C2F53" w:rsidRPr="008C1A62" w14:paraId="097EE266" w14:textId="77777777" w:rsidTr="008C1A62">
                              <w:trPr>
                                <w:trHeight w:val="324"/>
                              </w:trPr>
                              <w:tc>
                                <w:tcPr>
                                  <w:tcW w:w="4435" w:type="pct"/>
                                  <w:gridSpan w:val="7"/>
                                  <w:tcBorders>
                                    <w:top w:val="nil"/>
                                    <w:left w:val="nil"/>
                                    <w:bottom w:val="nil"/>
                                    <w:right w:val="nil"/>
                                  </w:tcBorders>
                                  <w:noWrap/>
                                  <w:vAlign w:val="bottom"/>
                                  <w:hideMark/>
                                </w:tcPr>
                                <w:p w14:paraId="42BE3C5D"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Costco Wholesale Corporation (</w:t>
                                  </w:r>
                                  <w:r w:rsidRPr="008C1A62">
                                    <w:rPr>
                                      <w:rFonts w:ascii="Cambria" w:eastAsia="Times New Roman" w:hAnsi="Cambria" w:cs="Arial"/>
                                      <w:b/>
                                      <w:bCs/>
                                      <w:color w:val="000000"/>
                                      <w:kern w:val="0"/>
                                      <w:sz w:val="14"/>
                                      <w:szCs w:val="14"/>
                                      <w:lang w:eastAsia="en-IN"/>
                                      <w14:ligatures w14:val="none"/>
                                    </w:rPr>
                                    <w:t>NasdaqGS:COST) &gt; Financials &gt; Cash Flow</w:t>
                                  </w:r>
                                </w:p>
                              </w:tc>
                              <w:tc>
                                <w:tcPr>
                                  <w:tcW w:w="565" w:type="pct"/>
                                  <w:tcBorders>
                                    <w:top w:val="nil"/>
                                    <w:left w:val="nil"/>
                                    <w:bottom w:val="nil"/>
                                    <w:right w:val="nil"/>
                                  </w:tcBorders>
                                  <w:noWrap/>
                                  <w:vAlign w:val="bottom"/>
                                  <w:hideMark/>
                                </w:tcPr>
                                <w:p w14:paraId="171E891D"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r>
                            <w:tr w:rsidR="008C1A62" w:rsidRPr="008C1A62" w14:paraId="0B5750CF" w14:textId="77777777" w:rsidTr="008C1A62">
                              <w:trPr>
                                <w:trHeight w:val="204"/>
                              </w:trPr>
                              <w:tc>
                                <w:tcPr>
                                  <w:tcW w:w="1045" w:type="pct"/>
                                  <w:tcBorders>
                                    <w:top w:val="nil"/>
                                    <w:left w:val="nil"/>
                                    <w:bottom w:val="nil"/>
                                    <w:right w:val="nil"/>
                                  </w:tcBorders>
                                  <w:shd w:val="clear" w:color="000000" w:fill="003366"/>
                                  <w:noWrap/>
                                  <w:vAlign w:val="bottom"/>
                                  <w:hideMark/>
                                </w:tcPr>
                                <w:p w14:paraId="63C013C2"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Cash Flow</w:t>
                                  </w:r>
                                </w:p>
                              </w:tc>
                              <w:tc>
                                <w:tcPr>
                                  <w:tcW w:w="565" w:type="pct"/>
                                  <w:tcBorders>
                                    <w:top w:val="nil"/>
                                    <w:left w:val="nil"/>
                                    <w:bottom w:val="nil"/>
                                    <w:right w:val="nil"/>
                                  </w:tcBorders>
                                  <w:shd w:val="clear" w:color="000000" w:fill="003366"/>
                                  <w:noWrap/>
                                  <w:vAlign w:val="bottom"/>
                                  <w:hideMark/>
                                </w:tcPr>
                                <w:p w14:paraId="5AC2D5DD"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7F9357B2"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529854C1"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38F84B27"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2867E53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34D25FB4"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05AE509D"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r>
                            <w:tr w:rsidR="008C1A62" w:rsidRPr="008C1A62" w14:paraId="10FB9694" w14:textId="77777777" w:rsidTr="008C1A62">
                              <w:trPr>
                                <w:trHeight w:val="816"/>
                              </w:trPr>
                              <w:tc>
                                <w:tcPr>
                                  <w:tcW w:w="1045" w:type="pct"/>
                                  <w:tcBorders>
                                    <w:top w:val="nil"/>
                                    <w:left w:val="nil"/>
                                    <w:bottom w:val="nil"/>
                                    <w:right w:val="nil"/>
                                  </w:tcBorders>
                                  <w:shd w:val="clear" w:color="000000" w:fill="F0F0DC"/>
                                  <w:vAlign w:val="bottom"/>
                                  <w:hideMark/>
                                </w:tcPr>
                                <w:p w14:paraId="2FC3CA6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For the Fiscal Period Ending</w:t>
                                  </w:r>
                                </w:p>
                              </w:tc>
                              <w:tc>
                                <w:tcPr>
                                  <w:tcW w:w="565" w:type="pct"/>
                                  <w:tcBorders>
                                    <w:top w:val="nil"/>
                                    <w:left w:val="nil"/>
                                    <w:bottom w:val="nil"/>
                                    <w:right w:val="nil"/>
                                  </w:tcBorders>
                                  <w:shd w:val="clear" w:color="000000" w:fill="F0F0DC"/>
                                  <w:vAlign w:val="bottom"/>
                                  <w:hideMark/>
                                </w:tcPr>
                                <w:p w14:paraId="0538838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Sep-01-2019</w:t>
                                  </w:r>
                                </w:p>
                              </w:tc>
                              <w:tc>
                                <w:tcPr>
                                  <w:tcW w:w="565" w:type="pct"/>
                                  <w:tcBorders>
                                    <w:top w:val="nil"/>
                                    <w:left w:val="nil"/>
                                    <w:bottom w:val="nil"/>
                                    <w:right w:val="nil"/>
                                  </w:tcBorders>
                                  <w:shd w:val="clear" w:color="000000" w:fill="F0F0DC"/>
                                  <w:vAlign w:val="bottom"/>
                                  <w:hideMark/>
                                </w:tcPr>
                                <w:p w14:paraId="641B593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Aug-30-2020</w:t>
                                  </w:r>
                                </w:p>
                              </w:tc>
                              <w:tc>
                                <w:tcPr>
                                  <w:tcW w:w="565" w:type="pct"/>
                                  <w:tcBorders>
                                    <w:top w:val="nil"/>
                                    <w:left w:val="nil"/>
                                    <w:bottom w:val="nil"/>
                                    <w:right w:val="nil"/>
                                  </w:tcBorders>
                                  <w:shd w:val="clear" w:color="000000" w:fill="F0F0DC"/>
                                  <w:vAlign w:val="bottom"/>
                                  <w:hideMark/>
                                </w:tcPr>
                                <w:p w14:paraId="083983A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Aug-29-2021</w:t>
                                  </w:r>
                                </w:p>
                              </w:tc>
                              <w:tc>
                                <w:tcPr>
                                  <w:tcW w:w="565" w:type="pct"/>
                                  <w:tcBorders>
                                    <w:top w:val="nil"/>
                                    <w:left w:val="nil"/>
                                    <w:bottom w:val="nil"/>
                                    <w:right w:val="nil"/>
                                  </w:tcBorders>
                                  <w:shd w:val="clear" w:color="000000" w:fill="F0F0DC"/>
                                  <w:vAlign w:val="bottom"/>
                                  <w:hideMark/>
                                </w:tcPr>
                                <w:p w14:paraId="217C18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Aug-28-2022</w:t>
                                  </w:r>
                                </w:p>
                              </w:tc>
                              <w:tc>
                                <w:tcPr>
                                  <w:tcW w:w="565" w:type="pct"/>
                                  <w:tcBorders>
                                    <w:top w:val="nil"/>
                                    <w:left w:val="nil"/>
                                    <w:bottom w:val="nil"/>
                                    <w:right w:val="nil"/>
                                  </w:tcBorders>
                                  <w:shd w:val="clear" w:color="000000" w:fill="F0F0DC"/>
                                  <w:vAlign w:val="bottom"/>
                                  <w:hideMark/>
                                </w:tcPr>
                                <w:p w14:paraId="30C1CC0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Sep-03-2023</w:t>
                                  </w:r>
                                </w:p>
                              </w:tc>
                              <w:tc>
                                <w:tcPr>
                                  <w:tcW w:w="565" w:type="pct"/>
                                  <w:tcBorders>
                                    <w:top w:val="nil"/>
                                    <w:left w:val="nil"/>
                                    <w:bottom w:val="nil"/>
                                    <w:right w:val="nil"/>
                                  </w:tcBorders>
                                  <w:shd w:val="clear" w:color="000000" w:fill="F0F0DC"/>
                                  <w:vAlign w:val="bottom"/>
                                  <w:hideMark/>
                                </w:tcPr>
                                <w:p w14:paraId="15BC74B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Sep-01-2024</w:t>
                                  </w:r>
                                </w:p>
                              </w:tc>
                              <w:tc>
                                <w:tcPr>
                                  <w:tcW w:w="565" w:type="pct"/>
                                  <w:tcBorders>
                                    <w:top w:val="nil"/>
                                    <w:left w:val="nil"/>
                                    <w:bottom w:val="nil"/>
                                    <w:right w:val="nil"/>
                                  </w:tcBorders>
                                  <w:shd w:val="clear" w:color="000000" w:fill="F0F0DC"/>
                                  <w:vAlign w:val="bottom"/>
                                  <w:hideMark/>
                                </w:tcPr>
                                <w:p w14:paraId="79D58FD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LTM</w:t>
                                  </w:r>
                                  <w:r w:rsidRPr="008C1A62">
                                    <w:rPr>
                                      <w:rFonts w:ascii="Cambria" w:eastAsia="Times New Roman" w:hAnsi="Cambria" w:cs="Arial"/>
                                      <w:b/>
                                      <w:bCs/>
                                      <w:color w:val="000000"/>
                                      <w:kern w:val="0"/>
                                      <w:sz w:val="14"/>
                                      <w:szCs w:val="14"/>
                                      <w:lang w:eastAsia="en-IN"/>
                                      <w14:ligatures w14:val="none"/>
                                    </w:rPr>
                                    <w:br/>
                                    <w:t>Press Release</w:t>
                                  </w:r>
                                  <w:r w:rsidRPr="008C1A62">
                                    <w:rPr>
                                      <w:rFonts w:ascii="Cambria" w:eastAsia="Times New Roman" w:hAnsi="Cambria" w:cs="Arial"/>
                                      <w:b/>
                                      <w:bCs/>
                                      <w:color w:val="000000"/>
                                      <w:kern w:val="0"/>
                                      <w:sz w:val="14"/>
                                      <w:szCs w:val="14"/>
                                      <w:lang w:eastAsia="en-IN"/>
                                      <w14:ligatures w14:val="none"/>
                                    </w:rPr>
                                    <w:br/>
                                    <w:t>12 months</w:t>
                                  </w:r>
                                  <w:r w:rsidRPr="008C1A62">
                                    <w:rPr>
                                      <w:rFonts w:ascii="Cambria" w:eastAsia="Times New Roman" w:hAnsi="Cambria" w:cs="Arial"/>
                                      <w:b/>
                                      <w:bCs/>
                                      <w:color w:val="000000"/>
                                      <w:kern w:val="0"/>
                                      <w:sz w:val="14"/>
                                      <w:szCs w:val="14"/>
                                      <w:lang w:eastAsia="en-IN"/>
                                      <w14:ligatures w14:val="none"/>
                                    </w:rPr>
                                    <w:br/>
                                    <w:t>Feb-16-2025</w:t>
                                  </w:r>
                                </w:p>
                              </w:tc>
                            </w:tr>
                            <w:tr w:rsidR="008C1A62" w:rsidRPr="008C1A62" w14:paraId="239585F0" w14:textId="77777777" w:rsidTr="008C1A62">
                              <w:trPr>
                                <w:trHeight w:val="204"/>
                              </w:trPr>
                              <w:tc>
                                <w:tcPr>
                                  <w:tcW w:w="1045" w:type="pct"/>
                                  <w:tcBorders>
                                    <w:top w:val="nil"/>
                                    <w:left w:val="nil"/>
                                    <w:bottom w:val="nil"/>
                                    <w:right w:val="nil"/>
                                  </w:tcBorders>
                                  <w:shd w:val="clear" w:color="000000" w:fill="F0F0DC"/>
                                  <w:vAlign w:val="bottom"/>
                                  <w:hideMark/>
                                </w:tcPr>
                                <w:p w14:paraId="1ECC683C" w14:textId="77777777" w:rsidR="008C1A62" w:rsidRPr="008C1A62" w:rsidRDefault="008C1A62" w:rsidP="008C1A62">
                                  <w:pPr>
                                    <w:spacing w:after="0" w:line="240" w:lineRule="auto"/>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Currency</w:t>
                                  </w:r>
                                </w:p>
                              </w:tc>
                              <w:tc>
                                <w:tcPr>
                                  <w:tcW w:w="565" w:type="pct"/>
                                  <w:tcBorders>
                                    <w:top w:val="nil"/>
                                    <w:left w:val="nil"/>
                                    <w:bottom w:val="nil"/>
                                    <w:right w:val="nil"/>
                                  </w:tcBorders>
                                  <w:shd w:val="clear" w:color="000000" w:fill="F0F0DC"/>
                                  <w:vAlign w:val="bottom"/>
                                  <w:hideMark/>
                                </w:tcPr>
                                <w:p w14:paraId="22C78FA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5CDFBD6F"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0E732025"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71A4F697"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6095062D"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501AC7FC"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2E76EE02"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r>
                            <w:tr w:rsidR="003C2F53" w:rsidRPr="008C1A62" w14:paraId="27ACED37" w14:textId="77777777" w:rsidTr="008C1A62">
                              <w:trPr>
                                <w:trHeight w:val="204"/>
                              </w:trPr>
                              <w:tc>
                                <w:tcPr>
                                  <w:tcW w:w="1045" w:type="pct"/>
                                  <w:tcBorders>
                                    <w:top w:val="nil"/>
                                    <w:left w:val="nil"/>
                                    <w:bottom w:val="nil"/>
                                    <w:right w:val="nil"/>
                                  </w:tcBorders>
                                  <w:noWrap/>
                                  <w:hideMark/>
                                </w:tcPr>
                                <w:p w14:paraId="3A401F6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Net Income</w:t>
                                  </w:r>
                                </w:p>
                              </w:tc>
                              <w:tc>
                                <w:tcPr>
                                  <w:tcW w:w="565" w:type="pct"/>
                                  <w:tcBorders>
                                    <w:top w:val="nil"/>
                                    <w:left w:val="nil"/>
                                    <w:bottom w:val="nil"/>
                                    <w:right w:val="nil"/>
                                  </w:tcBorders>
                                  <w:hideMark/>
                                </w:tcPr>
                                <w:p w14:paraId="49019CB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3.7 </w:t>
                                  </w:r>
                                </w:p>
                              </w:tc>
                              <w:tc>
                                <w:tcPr>
                                  <w:tcW w:w="565" w:type="pct"/>
                                  <w:tcBorders>
                                    <w:top w:val="nil"/>
                                    <w:left w:val="nil"/>
                                    <w:bottom w:val="nil"/>
                                    <w:right w:val="nil"/>
                                  </w:tcBorders>
                                  <w:hideMark/>
                                </w:tcPr>
                                <w:p w14:paraId="5DE6F53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4.0 </w:t>
                                  </w:r>
                                </w:p>
                              </w:tc>
                              <w:tc>
                                <w:tcPr>
                                  <w:tcW w:w="565" w:type="pct"/>
                                  <w:tcBorders>
                                    <w:top w:val="nil"/>
                                    <w:left w:val="nil"/>
                                    <w:bottom w:val="nil"/>
                                    <w:right w:val="nil"/>
                                  </w:tcBorders>
                                  <w:hideMark/>
                                </w:tcPr>
                                <w:p w14:paraId="005966A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5.0 </w:t>
                                  </w:r>
                                </w:p>
                              </w:tc>
                              <w:tc>
                                <w:tcPr>
                                  <w:tcW w:w="565" w:type="pct"/>
                                  <w:tcBorders>
                                    <w:top w:val="nil"/>
                                    <w:left w:val="nil"/>
                                    <w:bottom w:val="nil"/>
                                    <w:right w:val="nil"/>
                                  </w:tcBorders>
                                  <w:hideMark/>
                                </w:tcPr>
                                <w:p w14:paraId="00C3758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5.8 </w:t>
                                  </w:r>
                                </w:p>
                              </w:tc>
                              <w:tc>
                                <w:tcPr>
                                  <w:tcW w:w="565" w:type="pct"/>
                                  <w:tcBorders>
                                    <w:top w:val="nil"/>
                                    <w:left w:val="nil"/>
                                    <w:bottom w:val="nil"/>
                                    <w:right w:val="nil"/>
                                  </w:tcBorders>
                                  <w:hideMark/>
                                </w:tcPr>
                                <w:p w14:paraId="657F73C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6.3 </w:t>
                                  </w:r>
                                </w:p>
                              </w:tc>
                              <w:tc>
                                <w:tcPr>
                                  <w:tcW w:w="565" w:type="pct"/>
                                  <w:tcBorders>
                                    <w:top w:val="nil"/>
                                    <w:left w:val="nil"/>
                                    <w:bottom w:val="nil"/>
                                    <w:right w:val="nil"/>
                                  </w:tcBorders>
                                  <w:hideMark/>
                                </w:tcPr>
                                <w:p w14:paraId="6588D3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7.4 </w:t>
                                  </w:r>
                                </w:p>
                              </w:tc>
                              <w:tc>
                                <w:tcPr>
                                  <w:tcW w:w="565" w:type="pct"/>
                                  <w:tcBorders>
                                    <w:top w:val="nil"/>
                                    <w:left w:val="nil"/>
                                    <w:bottom w:val="nil"/>
                                    <w:right w:val="nil"/>
                                  </w:tcBorders>
                                  <w:hideMark/>
                                </w:tcPr>
                                <w:p w14:paraId="4D35E55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7.6 </w:t>
                                  </w:r>
                                </w:p>
                              </w:tc>
                            </w:tr>
                            <w:tr w:rsidR="003C2F53" w:rsidRPr="008C1A62" w14:paraId="69208FA2" w14:textId="77777777" w:rsidTr="008C1A62">
                              <w:trPr>
                                <w:trHeight w:val="204"/>
                              </w:trPr>
                              <w:tc>
                                <w:tcPr>
                                  <w:tcW w:w="1045" w:type="pct"/>
                                  <w:tcBorders>
                                    <w:top w:val="nil"/>
                                    <w:left w:val="nil"/>
                                    <w:bottom w:val="nil"/>
                                    <w:right w:val="nil"/>
                                  </w:tcBorders>
                                  <w:noWrap/>
                                  <w:hideMark/>
                                </w:tcPr>
                                <w:p w14:paraId="301514F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Depreciation &amp; Amort.</w:t>
                                  </w:r>
                                </w:p>
                              </w:tc>
                              <w:tc>
                                <w:tcPr>
                                  <w:tcW w:w="565" w:type="pct"/>
                                  <w:tcBorders>
                                    <w:top w:val="nil"/>
                                    <w:left w:val="nil"/>
                                    <w:bottom w:val="nil"/>
                                    <w:right w:val="nil"/>
                                  </w:tcBorders>
                                  <w:hideMark/>
                                </w:tcPr>
                                <w:p w14:paraId="33D16A1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03DF0C6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 </w:t>
                                  </w:r>
                                </w:p>
                              </w:tc>
                              <w:tc>
                                <w:tcPr>
                                  <w:tcW w:w="565" w:type="pct"/>
                                  <w:tcBorders>
                                    <w:top w:val="nil"/>
                                    <w:left w:val="nil"/>
                                    <w:bottom w:val="nil"/>
                                    <w:right w:val="nil"/>
                                  </w:tcBorders>
                                  <w:hideMark/>
                                </w:tcPr>
                                <w:p w14:paraId="1EECB4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65" w:type="pct"/>
                                  <w:tcBorders>
                                    <w:top w:val="nil"/>
                                    <w:left w:val="nil"/>
                                    <w:bottom w:val="nil"/>
                                    <w:right w:val="nil"/>
                                  </w:tcBorders>
                                  <w:hideMark/>
                                </w:tcPr>
                                <w:p w14:paraId="79CCB2E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3CF726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c>
                                <w:tcPr>
                                  <w:tcW w:w="565" w:type="pct"/>
                                  <w:tcBorders>
                                    <w:top w:val="nil"/>
                                    <w:left w:val="nil"/>
                                    <w:bottom w:val="nil"/>
                                    <w:right w:val="nil"/>
                                  </w:tcBorders>
                                  <w:hideMark/>
                                </w:tcPr>
                                <w:p w14:paraId="708233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65" w:type="pct"/>
                                  <w:tcBorders>
                                    <w:top w:val="nil"/>
                                    <w:left w:val="nil"/>
                                    <w:bottom w:val="nil"/>
                                    <w:right w:val="nil"/>
                                  </w:tcBorders>
                                  <w:hideMark/>
                                </w:tcPr>
                                <w:p w14:paraId="4DFC74F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r>
                            <w:tr w:rsidR="003C2F53" w:rsidRPr="008C1A62" w14:paraId="5EF705B6" w14:textId="77777777" w:rsidTr="008C1A62">
                              <w:trPr>
                                <w:trHeight w:val="204"/>
                              </w:trPr>
                              <w:tc>
                                <w:tcPr>
                                  <w:tcW w:w="1045" w:type="pct"/>
                                  <w:tcBorders>
                                    <w:top w:val="nil"/>
                                    <w:left w:val="nil"/>
                                    <w:bottom w:val="nil"/>
                                    <w:right w:val="nil"/>
                                  </w:tcBorders>
                                  <w:noWrap/>
                                  <w:hideMark/>
                                </w:tcPr>
                                <w:p w14:paraId="21331A8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Depreciation &amp; Amort., Total</w:t>
                                  </w:r>
                                </w:p>
                              </w:tc>
                              <w:tc>
                                <w:tcPr>
                                  <w:tcW w:w="565" w:type="pct"/>
                                  <w:tcBorders>
                                    <w:top w:val="single" w:sz="4" w:space="0" w:color="000000"/>
                                    <w:left w:val="nil"/>
                                    <w:bottom w:val="nil"/>
                                    <w:right w:val="nil"/>
                                  </w:tcBorders>
                                  <w:hideMark/>
                                </w:tcPr>
                                <w:p w14:paraId="408CD33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758F53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1.6 </w:t>
                                  </w:r>
                                </w:p>
                              </w:tc>
                              <w:tc>
                                <w:tcPr>
                                  <w:tcW w:w="565" w:type="pct"/>
                                  <w:tcBorders>
                                    <w:top w:val="single" w:sz="4" w:space="0" w:color="000000"/>
                                    <w:left w:val="nil"/>
                                    <w:bottom w:val="nil"/>
                                    <w:right w:val="nil"/>
                                  </w:tcBorders>
                                  <w:hideMark/>
                                </w:tcPr>
                                <w:p w14:paraId="1692688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 </w:t>
                                  </w:r>
                                </w:p>
                              </w:tc>
                              <w:tc>
                                <w:tcPr>
                                  <w:tcW w:w="565" w:type="pct"/>
                                  <w:tcBorders>
                                    <w:top w:val="single" w:sz="4" w:space="0" w:color="000000"/>
                                    <w:left w:val="nil"/>
                                    <w:bottom w:val="nil"/>
                                    <w:right w:val="nil"/>
                                  </w:tcBorders>
                                  <w:hideMark/>
                                </w:tcPr>
                                <w:p w14:paraId="09C027D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1.9 </w:t>
                                  </w:r>
                                </w:p>
                              </w:tc>
                              <w:tc>
                                <w:tcPr>
                                  <w:tcW w:w="565" w:type="pct"/>
                                  <w:tcBorders>
                                    <w:top w:val="single" w:sz="4" w:space="0" w:color="000000"/>
                                    <w:left w:val="nil"/>
                                    <w:bottom w:val="nil"/>
                                    <w:right w:val="nil"/>
                                  </w:tcBorders>
                                  <w:hideMark/>
                                </w:tcPr>
                                <w:p w14:paraId="2BC5D43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c>
                                <w:tcPr>
                                  <w:tcW w:w="565" w:type="pct"/>
                                  <w:tcBorders>
                                    <w:top w:val="single" w:sz="4" w:space="0" w:color="000000"/>
                                    <w:left w:val="nil"/>
                                    <w:bottom w:val="nil"/>
                                    <w:right w:val="nil"/>
                                  </w:tcBorders>
                                  <w:hideMark/>
                                </w:tcPr>
                                <w:p w14:paraId="5F6B7C7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2.2 </w:t>
                                  </w:r>
                                </w:p>
                              </w:tc>
                              <w:tc>
                                <w:tcPr>
                                  <w:tcW w:w="565" w:type="pct"/>
                                  <w:tcBorders>
                                    <w:top w:val="single" w:sz="4" w:space="0" w:color="000000"/>
                                    <w:left w:val="nil"/>
                                    <w:bottom w:val="nil"/>
                                    <w:right w:val="nil"/>
                                  </w:tcBorders>
                                  <w:hideMark/>
                                </w:tcPr>
                                <w:p w14:paraId="3993322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 </w:t>
                                  </w:r>
                                </w:p>
                              </w:tc>
                            </w:tr>
                            <w:tr w:rsidR="003C2F53" w:rsidRPr="008C1A62" w14:paraId="073E0A47" w14:textId="77777777" w:rsidTr="008C1A62">
                              <w:trPr>
                                <w:trHeight w:val="204"/>
                              </w:trPr>
                              <w:tc>
                                <w:tcPr>
                                  <w:tcW w:w="1045" w:type="pct"/>
                                  <w:tcBorders>
                                    <w:top w:val="nil"/>
                                    <w:left w:val="nil"/>
                                    <w:bottom w:val="nil"/>
                                    <w:right w:val="nil"/>
                                  </w:tcBorders>
                                  <w:noWrap/>
                                  <w:hideMark/>
                                </w:tcPr>
                                <w:p w14:paraId="45A2FC4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Asset </w:t>
                                  </w:r>
                                  <w:r w:rsidRPr="008C1A62">
                                    <w:rPr>
                                      <w:rFonts w:ascii="Cambria" w:eastAsia="Times New Roman" w:hAnsi="Cambria" w:cs="Arial"/>
                                      <w:color w:val="000000"/>
                                      <w:kern w:val="0"/>
                                      <w:sz w:val="14"/>
                                      <w:szCs w:val="14"/>
                                      <w:lang w:eastAsia="en-IN"/>
                                      <w14:ligatures w14:val="none"/>
                                    </w:rPr>
                                    <w:t>Writedown &amp; Restructuring Costs</w:t>
                                  </w:r>
                                </w:p>
                              </w:tc>
                              <w:tc>
                                <w:tcPr>
                                  <w:tcW w:w="565" w:type="pct"/>
                                  <w:tcBorders>
                                    <w:top w:val="nil"/>
                                    <w:left w:val="nil"/>
                                    <w:bottom w:val="nil"/>
                                    <w:right w:val="nil"/>
                                  </w:tcBorders>
                                  <w:hideMark/>
                                </w:tcPr>
                                <w:p w14:paraId="18B4C52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9FC13B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68DA70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34CA2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2E006AB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6109F7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5668A2E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r>
                            <w:tr w:rsidR="003C2F53" w:rsidRPr="008C1A62" w14:paraId="18ED12F7" w14:textId="77777777" w:rsidTr="008C1A62">
                              <w:trPr>
                                <w:trHeight w:val="204"/>
                              </w:trPr>
                              <w:tc>
                                <w:tcPr>
                                  <w:tcW w:w="1045" w:type="pct"/>
                                  <w:tcBorders>
                                    <w:top w:val="nil"/>
                                    <w:left w:val="nil"/>
                                    <w:bottom w:val="nil"/>
                                    <w:right w:val="nil"/>
                                  </w:tcBorders>
                                  <w:noWrap/>
                                  <w:hideMark/>
                                </w:tcPr>
                                <w:p w14:paraId="721D0C8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Stock-Based Compensation</w:t>
                                  </w:r>
                                </w:p>
                              </w:tc>
                              <w:tc>
                                <w:tcPr>
                                  <w:tcW w:w="565" w:type="pct"/>
                                  <w:tcBorders>
                                    <w:top w:val="nil"/>
                                    <w:left w:val="nil"/>
                                    <w:bottom w:val="nil"/>
                                    <w:right w:val="nil"/>
                                  </w:tcBorders>
                                  <w:hideMark/>
                                </w:tcPr>
                                <w:p w14:paraId="5F765C8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5AC783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32FA65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4B2532C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6D18E10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6E7E2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79DFC74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r>
                            <w:tr w:rsidR="003C2F53" w:rsidRPr="008C1A62" w14:paraId="2767B92F" w14:textId="77777777" w:rsidTr="008C1A62">
                              <w:trPr>
                                <w:trHeight w:val="204"/>
                              </w:trPr>
                              <w:tc>
                                <w:tcPr>
                                  <w:tcW w:w="1045" w:type="pct"/>
                                  <w:tcBorders>
                                    <w:top w:val="nil"/>
                                    <w:left w:val="nil"/>
                                    <w:bottom w:val="nil"/>
                                    <w:right w:val="nil"/>
                                  </w:tcBorders>
                                  <w:noWrap/>
                                  <w:hideMark/>
                                </w:tcPr>
                                <w:p w14:paraId="59FD404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Operating Activities</w:t>
                                  </w:r>
                                </w:p>
                              </w:tc>
                              <w:tc>
                                <w:tcPr>
                                  <w:tcW w:w="565" w:type="pct"/>
                                  <w:tcBorders>
                                    <w:top w:val="nil"/>
                                    <w:left w:val="nil"/>
                                    <w:bottom w:val="nil"/>
                                    <w:right w:val="nil"/>
                                  </w:tcBorders>
                                  <w:hideMark/>
                                </w:tcPr>
                                <w:p w14:paraId="6398E17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7B0EE9C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062C27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6E8C58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0AEF1C3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1219749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7599C6A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r>
                            <w:tr w:rsidR="003C2F53" w:rsidRPr="008C1A62" w14:paraId="21ADC0CF" w14:textId="77777777" w:rsidTr="008C1A62">
                              <w:trPr>
                                <w:trHeight w:val="204"/>
                              </w:trPr>
                              <w:tc>
                                <w:tcPr>
                                  <w:tcW w:w="1045" w:type="pct"/>
                                  <w:tcBorders>
                                    <w:top w:val="nil"/>
                                    <w:left w:val="nil"/>
                                    <w:bottom w:val="nil"/>
                                    <w:right w:val="nil"/>
                                  </w:tcBorders>
                                  <w:noWrap/>
                                  <w:hideMark/>
                                </w:tcPr>
                                <w:p w14:paraId="51380DE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Inventories</w:t>
                                  </w:r>
                                </w:p>
                              </w:tc>
                              <w:tc>
                                <w:tcPr>
                                  <w:tcW w:w="565" w:type="pct"/>
                                  <w:tcBorders>
                                    <w:top w:val="nil"/>
                                    <w:left w:val="nil"/>
                                    <w:bottom w:val="nil"/>
                                    <w:right w:val="nil"/>
                                  </w:tcBorders>
                                  <w:hideMark/>
                                </w:tcPr>
                                <w:p w14:paraId="6E7B0C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0196791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04B06C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7F4AE19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c>
                                <w:tcPr>
                                  <w:tcW w:w="565" w:type="pct"/>
                                  <w:tcBorders>
                                    <w:top w:val="nil"/>
                                    <w:left w:val="nil"/>
                                    <w:bottom w:val="nil"/>
                                    <w:right w:val="nil"/>
                                  </w:tcBorders>
                                  <w:hideMark/>
                                </w:tcPr>
                                <w:p w14:paraId="76BC6E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35FAF5D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c>
                                <w:tcPr>
                                  <w:tcW w:w="565" w:type="pct"/>
                                  <w:tcBorders>
                                    <w:top w:val="nil"/>
                                    <w:left w:val="nil"/>
                                    <w:bottom w:val="nil"/>
                                    <w:right w:val="nil"/>
                                  </w:tcBorders>
                                  <w:hideMark/>
                                </w:tcPr>
                                <w:p w14:paraId="77B624C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r>
                            <w:tr w:rsidR="003C2F53" w:rsidRPr="008C1A62" w14:paraId="421FC876" w14:textId="77777777" w:rsidTr="008C1A62">
                              <w:trPr>
                                <w:trHeight w:val="204"/>
                              </w:trPr>
                              <w:tc>
                                <w:tcPr>
                                  <w:tcW w:w="1045" w:type="pct"/>
                                  <w:tcBorders>
                                    <w:top w:val="nil"/>
                                    <w:left w:val="nil"/>
                                    <w:bottom w:val="nil"/>
                                    <w:right w:val="nil"/>
                                  </w:tcBorders>
                                  <w:noWrap/>
                                  <w:hideMark/>
                                </w:tcPr>
                                <w:p w14:paraId="21CA88D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Acc. Payable</w:t>
                                  </w:r>
                                </w:p>
                              </w:tc>
                              <w:tc>
                                <w:tcPr>
                                  <w:tcW w:w="565" w:type="pct"/>
                                  <w:tcBorders>
                                    <w:top w:val="nil"/>
                                    <w:left w:val="nil"/>
                                    <w:bottom w:val="nil"/>
                                    <w:right w:val="nil"/>
                                  </w:tcBorders>
                                  <w:hideMark/>
                                </w:tcPr>
                                <w:p w14:paraId="71F13A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4E615E1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65" w:type="pct"/>
                                  <w:tcBorders>
                                    <w:top w:val="nil"/>
                                    <w:left w:val="nil"/>
                                    <w:bottom w:val="nil"/>
                                    <w:right w:val="nil"/>
                                  </w:tcBorders>
                                  <w:hideMark/>
                                </w:tcPr>
                                <w:p w14:paraId="08636A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65" w:type="pct"/>
                                  <w:tcBorders>
                                    <w:top w:val="nil"/>
                                    <w:left w:val="nil"/>
                                    <w:bottom w:val="nil"/>
                                    <w:right w:val="nil"/>
                                  </w:tcBorders>
                                  <w:hideMark/>
                                </w:tcPr>
                                <w:p w14:paraId="6907068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4D9196D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554D2B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022435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r>
                            <w:tr w:rsidR="003C2F53" w:rsidRPr="008C1A62" w14:paraId="5F9C9C68" w14:textId="77777777" w:rsidTr="008C1A62">
                              <w:trPr>
                                <w:trHeight w:val="204"/>
                              </w:trPr>
                              <w:tc>
                                <w:tcPr>
                                  <w:tcW w:w="1045" w:type="pct"/>
                                  <w:tcBorders>
                                    <w:top w:val="nil"/>
                                    <w:left w:val="nil"/>
                                    <w:bottom w:val="nil"/>
                                    <w:right w:val="nil"/>
                                  </w:tcBorders>
                                  <w:noWrap/>
                                  <w:hideMark/>
                                </w:tcPr>
                                <w:p w14:paraId="585A3FF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Other Net Operating Assets</w:t>
                                  </w:r>
                                </w:p>
                              </w:tc>
                              <w:tc>
                                <w:tcPr>
                                  <w:tcW w:w="565" w:type="pct"/>
                                  <w:tcBorders>
                                    <w:top w:val="nil"/>
                                    <w:left w:val="nil"/>
                                    <w:bottom w:val="nil"/>
                                    <w:right w:val="nil"/>
                                  </w:tcBorders>
                                  <w:hideMark/>
                                </w:tcPr>
                                <w:p w14:paraId="1955DE0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0E3445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066D7CF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65" w:type="pct"/>
                                  <w:tcBorders>
                                    <w:top w:val="nil"/>
                                    <w:left w:val="nil"/>
                                    <w:bottom w:val="nil"/>
                                    <w:right w:val="nil"/>
                                  </w:tcBorders>
                                  <w:hideMark/>
                                </w:tcPr>
                                <w:p w14:paraId="315EB2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19058F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56935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303E42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r>
                            <w:tr w:rsidR="003C2F53" w:rsidRPr="008C1A62" w14:paraId="50816BBD" w14:textId="77777777" w:rsidTr="008C1A62">
                              <w:trPr>
                                <w:trHeight w:val="204"/>
                              </w:trPr>
                              <w:tc>
                                <w:tcPr>
                                  <w:tcW w:w="1045" w:type="pct"/>
                                  <w:tcBorders>
                                    <w:top w:val="nil"/>
                                    <w:left w:val="nil"/>
                                    <w:bottom w:val="nil"/>
                                    <w:right w:val="nil"/>
                                  </w:tcBorders>
                                  <w:noWrap/>
                                  <w:hideMark/>
                                </w:tcPr>
                                <w:p w14:paraId="162919F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Ops.</w:t>
                                  </w:r>
                                </w:p>
                              </w:tc>
                              <w:tc>
                                <w:tcPr>
                                  <w:tcW w:w="565" w:type="pct"/>
                                  <w:tcBorders>
                                    <w:top w:val="single" w:sz="4" w:space="0" w:color="000000"/>
                                    <w:left w:val="nil"/>
                                    <w:bottom w:val="nil"/>
                                    <w:right w:val="nil"/>
                                  </w:tcBorders>
                                  <w:hideMark/>
                                </w:tcPr>
                                <w:p w14:paraId="41D6374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6.4 </w:t>
                                  </w:r>
                                </w:p>
                              </w:tc>
                              <w:tc>
                                <w:tcPr>
                                  <w:tcW w:w="565" w:type="pct"/>
                                  <w:tcBorders>
                                    <w:top w:val="single" w:sz="4" w:space="0" w:color="000000"/>
                                    <w:left w:val="nil"/>
                                    <w:bottom w:val="nil"/>
                                    <w:right w:val="nil"/>
                                  </w:tcBorders>
                                  <w:hideMark/>
                                </w:tcPr>
                                <w:p w14:paraId="5213861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8.9 </w:t>
                                  </w:r>
                                </w:p>
                              </w:tc>
                              <w:tc>
                                <w:tcPr>
                                  <w:tcW w:w="565" w:type="pct"/>
                                  <w:tcBorders>
                                    <w:top w:val="single" w:sz="4" w:space="0" w:color="000000"/>
                                    <w:left w:val="nil"/>
                                    <w:bottom w:val="nil"/>
                                    <w:right w:val="nil"/>
                                  </w:tcBorders>
                                  <w:hideMark/>
                                </w:tcPr>
                                <w:p w14:paraId="520D193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9.0 </w:t>
                                  </w:r>
                                </w:p>
                              </w:tc>
                              <w:tc>
                                <w:tcPr>
                                  <w:tcW w:w="565" w:type="pct"/>
                                  <w:tcBorders>
                                    <w:top w:val="single" w:sz="4" w:space="0" w:color="000000"/>
                                    <w:left w:val="nil"/>
                                    <w:bottom w:val="nil"/>
                                    <w:right w:val="nil"/>
                                  </w:tcBorders>
                                  <w:hideMark/>
                                </w:tcPr>
                                <w:p w14:paraId="5B8E526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7.4 </w:t>
                                  </w:r>
                                </w:p>
                              </w:tc>
                              <w:tc>
                                <w:tcPr>
                                  <w:tcW w:w="565" w:type="pct"/>
                                  <w:tcBorders>
                                    <w:top w:val="single" w:sz="4" w:space="0" w:color="000000"/>
                                    <w:left w:val="nil"/>
                                    <w:bottom w:val="nil"/>
                                    <w:right w:val="nil"/>
                                  </w:tcBorders>
                                  <w:hideMark/>
                                </w:tcPr>
                                <w:p w14:paraId="7DFB8B4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11.1 </w:t>
                                  </w:r>
                                </w:p>
                              </w:tc>
                              <w:tc>
                                <w:tcPr>
                                  <w:tcW w:w="565" w:type="pct"/>
                                  <w:tcBorders>
                                    <w:top w:val="single" w:sz="4" w:space="0" w:color="000000"/>
                                    <w:left w:val="nil"/>
                                    <w:bottom w:val="nil"/>
                                    <w:right w:val="nil"/>
                                  </w:tcBorders>
                                  <w:hideMark/>
                                </w:tcPr>
                                <w:p w14:paraId="361A676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11.3 </w:t>
                                  </w:r>
                                </w:p>
                              </w:tc>
                              <w:tc>
                                <w:tcPr>
                                  <w:tcW w:w="565" w:type="pct"/>
                                  <w:tcBorders>
                                    <w:top w:val="single" w:sz="4" w:space="0" w:color="000000"/>
                                    <w:left w:val="nil"/>
                                    <w:bottom w:val="nil"/>
                                    <w:right w:val="nil"/>
                                  </w:tcBorders>
                                  <w:hideMark/>
                                </w:tcPr>
                                <w:p w14:paraId="2DFCA63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12.0 </w:t>
                                  </w:r>
                                </w:p>
                              </w:tc>
                            </w:tr>
                            <w:tr w:rsidR="003C2F53" w:rsidRPr="008C1A62" w14:paraId="621BD5C5" w14:textId="77777777" w:rsidTr="008C1A62">
                              <w:trPr>
                                <w:trHeight w:val="204"/>
                              </w:trPr>
                              <w:tc>
                                <w:tcPr>
                                  <w:tcW w:w="1045" w:type="pct"/>
                                  <w:tcBorders>
                                    <w:top w:val="nil"/>
                                    <w:left w:val="nil"/>
                                    <w:bottom w:val="nil"/>
                                    <w:right w:val="nil"/>
                                  </w:tcBorders>
                                  <w:noWrap/>
                                  <w:hideMark/>
                                </w:tcPr>
                                <w:p w14:paraId="100F10B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Capital Expenditure</w:t>
                                  </w:r>
                                </w:p>
                              </w:tc>
                              <w:tc>
                                <w:tcPr>
                                  <w:tcW w:w="565" w:type="pct"/>
                                  <w:tcBorders>
                                    <w:top w:val="nil"/>
                                    <w:left w:val="nil"/>
                                    <w:bottom w:val="nil"/>
                                    <w:right w:val="nil"/>
                                  </w:tcBorders>
                                  <w:hideMark/>
                                </w:tcPr>
                                <w:p w14:paraId="2D02361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(3.0)  </w:t>
                                  </w:r>
                                </w:p>
                              </w:tc>
                              <w:tc>
                                <w:tcPr>
                                  <w:tcW w:w="565" w:type="pct"/>
                                  <w:tcBorders>
                                    <w:top w:val="nil"/>
                                    <w:left w:val="nil"/>
                                    <w:bottom w:val="nil"/>
                                    <w:right w:val="nil"/>
                                  </w:tcBorders>
                                  <w:hideMark/>
                                </w:tcPr>
                                <w:p w14:paraId="48E308B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(2.8)  </w:t>
                                  </w:r>
                                </w:p>
                              </w:tc>
                              <w:tc>
                                <w:tcPr>
                                  <w:tcW w:w="565" w:type="pct"/>
                                  <w:tcBorders>
                                    <w:top w:val="nil"/>
                                    <w:left w:val="nil"/>
                                    <w:bottom w:val="nil"/>
                                    <w:right w:val="nil"/>
                                  </w:tcBorders>
                                  <w:hideMark/>
                                </w:tcPr>
                                <w:p w14:paraId="48D2634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(3.6)  </w:t>
                                  </w:r>
                                </w:p>
                              </w:tc>
                              <w:tc>
                                <w:tcPr>
                                  <w:tcW w:w="565" w:type="pct"/>
                                  <w:tcBorders>
                                    <w:top w:val="nil"/>
                                    <w:left w:val="nil"/>
                                    <w:bottom w:val="nil"/>
                                    <w:right w:val="nil"/>
                                  </w:tcBorders>
                                  <w:hideMark/>
                                </w:tcPr>
                                <w:p w14:paraId="4A3816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(3.9)  </w:t>
                                  </w:r>
                                </w:p>
                              </w:tc>
                              <w:tc>
                                <w:tcPr>
                                  <w:tcW w:w="565" w:type="pct"/>
                                  <w:tcBorders>
                                    <w:top w:val="nil"/>
                                    <w:left w:val="nil"/>
                                    <w:bottom w:val="nil"/>
                                    <w:right w:val="nil"/>
                                  </w:tcBorders>
                                  <w:hideMark/>
                                </w:tcPr>
                                <w:p w14:paraId="64B1E5F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(4.3)  </w:t>
                                  </w:r>
                                </w:p>
                              </w:tc>
                              <w:tc>
                                <w:tcPr>
                                  <w:tcW w:w="565" w:type="pct"/>
                                  <w:tcBorders>
                                    <w:top w:val="nil"/>
                                    <w:left w:val="nil"/>
                                    <w:bottom w:val="nil"/>
                                    <w:right w:val="nil"/>
                                  </w:tcBorders>
                                  <w:hideMark/>
                                </w:tcPr>
                                <w:p w14:paraId="17CFB28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(4.7)  </w:t>
                                  </w:r>
                                </w:p>
                              </w:tc>
                              <w:tc>
                                <w:tcPr>
                                  <w:tcW w:w="565" w:type="pct"/>
                                  <w:tcBorders>
                                    <w:top w:val="nil"/>
                                    <w:left w:val="nil"/>
                                    <w:bottom w:val="nil"/>
                                    <w:right w:val="nil"/>
                                  </w:tcBorders>
                                  <w:hideMark/>
                                </w:tcPr>
                                <w:p w14:paraId="1601E7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(5.0)  </w:t>
                                  </w:r>
                                </w:p>
                              </w:tc>
                            </w:tr>
                            <w:tr w:rsidR="003C2F53" w:rsidRPr="008C1A62" w14:paraId="376792D9" w14:textId="77777777" w:rsidTr="008C1A62">
                              <w:trPr>
                                <w:trHeight w:val="204"/>
                              </w:trPr>
                              <w:tc>
                                <w:tcPr>
                                  <w:tcW w:w="1045" w:type="pct"/>
                                  <w:tcBorders>
                                    <w:top w:val="nil"/>
                                    <w:left w:val="nil"/>
                                    <w:bottom w:val="nil"/>
                                    <w:right w:val="nil"/>
                                  </w:tcBorders>
                                  <w:noWrap/>
                                  <w:hideMark/>
                                </w:tcPr>
                                <w:p w14:paraId="60E4DB7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Cash Acquisitions</w:t>
                                  </w:r>
                                </w:p>
                              </w:tc>
                              <w:tc>
                                <w:tcPr>
                                  <w:tcW w:w="565" w:type="pct"/>
                                  <w:tcBorders>
                                    <w:top w:val="nil"/>
                                    <w:left w:val="nil"/>
                                    <w:bottom w:val="nil"/>
                                    <w:right w:val="nil"/>
                                  </w:tcBorders>
                                  <w:hideMark/>
                                </w:tcPr>
                                <w:p w14:paraId="46C3D8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25FB9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0D4B56D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E4EEFD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552CE8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4C94A2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92EE72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F0FD27A" w14:textId="77777777" w:rsidTr="008C1A62">
                              <w:trPr>
                                <w:trHeight w:val="204"/>
                              </w:trPr>
                              <w:tc>
                                <w:tcPr>
                                  <w:tcW w:w="1045" w:type="pct"/>
                                  <w:tcBorders>
                                    <w:top w:val="nil"/>
                                    <w:left w:val="nil"/>
                                    <w:bottom w:val="nil"/>
                                    <w:right w:val="nil"/>
                                  </w:tcBorders>
                                  <w:noWrap/>
                                  <w:hideMark/>
                                </w:tcPr>
                                <w:p w14:paraId="1B795F1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Divestitures</w:t>
                                  </w:r>
                                </w:p>
                              </w:tc>
                              <w:tc>
                                <w:tcPr>
                                  <w:tcW w:w="565" w:type="pct"/>
                                  <w:tcBorders>
                                    <w:top w:val="nil"/>
                                    <w:left w:val="nil"/>
                                    <w:bottom w:val="nil"/>
                                    <w:right w:val="nil"/>
                                  </w:tcBorders>
                                  <w:hideMark/>
                                </w:tcPr>
                                <w:p w14:paraId="1A4170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B8DC5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8EE8D0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2A447E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366B83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6B5ED4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C5C615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8898BB7" w14:textId="77777777" w:rsidTr="008C1A62">
                              <w:trPr>
                                <w:trHeight w:val="204"/>
                              </w:trPr>
                              <w:tc>
                                <w:tcPr>
                                  <w:tcW w:w="1045" w:type="pct"/>
                                  <w:tcBorders>
                                    <w:top w:val="nil"/>
                                    <w:left w:val="nil"/>
                                    <w:bottom w:val="nil"/>
                                    <w:right w:val="nil"/>
                                  </w:tcBorders>
                                  <w:noWrap/>
                                  <w:hideMark/>
                                </w:tcPr>
                                <w:p w14:paraId="0D0A53E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Invest. in Marketable &amp; Equity Securt.</w:t>
                                  </w:r>
                                </w:p>
                              </w:tc>
                              <w:tc>
                                <w:tcPr>
                                  <w:tcW w:w="565" w:type="pct"/>
                                  <w:tcBorders>
                                    <w:top w:val="nil"/>
                                    <w:left w:val="nil"/>
                                    <w:bottom w:val="nil"/>
                                    <w:right w:val="nil"/>
                                  </w:tcBorders>
                                  <w:hideMark/>
                                </w:tcPr>
                                <w:p w14:paraId="6040DC7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3356B97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2116DEB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56A879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62E185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00C2B6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48D4D8A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r>
                            <w:tr w:rsidR="003C2F53" w:rsidRPr="008C1A62" w14:paraId="6A13C045" w14:textId="77777777" w:rsidTr="008C1A62">
                              <w:trPr>
                                <w:trHeight w:val="204"/>
                              </w:trPr>
                              <w:tc>
                                <w:tcPr>
                                  <w:tcW w:w="1045" w:type="pct"/>
                                  <w:tcBorders>
                                    <w:top w:val="nil"/>
                                    <w:left w:val="nil"/>
                                    <w:bottom w:val="nil"/>
                                    <w:right w:val="nil"/>
                                  </w:tcBorders>
                                  <w:noWrap/>
                                  <w:hideMark/>
                                </w:tcPr>
                                <w:p w14:paraId="3FC1BE20"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Net (Inc.) Dec. in Loans Originated/Sold</w:t>
                                  </w:r>
                                </w:p>
                              </w:tc>
                              <w:tc>
                                <w:tcPr>
                                  <w:tcW w:w="565" w:type="pct"/>
                                  <w:tcBorders>
                                    <w:top w:val="nil"/>
                                    <w:left w:val="nil"/>
                                    <w:bottom w:val="nil"/>
                                    <w:right w:val="nil"/>
                                  </w:tcBorders>
                                  <w:hideMark/>
                                </w:tcPr>
                                <w:p w14:paraId="06A7B8E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B6C4EC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51612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AD9A1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7A0AC2E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9E3DE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5D8D29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0E0CEF8B" w14:textId="77777777" w:rsidTr="008C1A62">
                              <w:trPr>
                                <w:trHeight w:val="204"/>
                              </w:trPr>
                              <w:tc>
                                <w:tcPr>
                                  <w:tcW w:w="1045" w:type="pct"/>
                                  <w:tcBorders>
                                    <w:top w:val="nil"/>
                                    <w:left w:val="nil"/>
                                    <w:bottom w:val="nil"/>
                                    <w:right w:val="nil"/>
                                  </w:tcBorders>
                                  <w:noWrap/>
                                  <w:hideMark/>
                                </w:tcPr>
                                <w:p w14:paraId="12C419F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Investing Activities</w:t>
                                  </w:r>
                                </w:p>
                              </w:tc>
                              <w:tc>
                                <w:tcPr>
                                  <w:tcW w:w="565" w:type="pct"/>
                                  <w:tcBorders>
                                    <w:top w:val="nil"/>
                                    <w:left w:val="nil"/>
                                    <w:bottom w:val="nil"/>
                                    <w:right w:val="nil"/>
                                  </w:tcBorders>
                                  <w:hideMark/>
                                </w:tcPr>
                                <w:p w14:paraId="0824FF1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E5AA71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46C9DF3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49865A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4243948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35A563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24E8B24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r>
                            <w:tr w:rsidR="003C2F53" w:rsidRPr="008C1A62" w14:paraId="77C2E32B" w14:textId="77777777" w:rsidTr="008C1A62">
                              <w:trPr>
                                <w:trHeight w:val="204"/>
                              </w:trPr>
                              <w:tc>
                                <w:tcPr>
                                  <w:tcW w:w="1045" w:type="pct"/>
                                  <w:tcBorders>
                                    <w:top w:val="nil"/>
                                    <w:left w:val="nil"/>
                                    <w:bottom w:val="nil"/>
                                    <w:right w:val="nil"/>
                                  </w:tcBorders>
                                  <w:noWrap/>
                                  <w:hideMark/>
                                </w:tcPr>
                                <w:p w14:paraId="214E6A7C"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Investing</w:t>
                                  </w:r>
                                </w:p>
                              </w:tc>
                              <w:tc>
                                <w:tcPr>
                                  <w:tcW w:w="565" w:type="pct"/>
                                  <w:tcBorders>
                                    <w:top w:val="single" w:sz="4" w:space="0" w:color="000000"/>
                                    <w:left w:val="nil"/>
                                    <w:bottom w:val="nil"/>
                                    <w:right w:val="nil"/>
                                  </w:tcBorders>
                                  <w:hideMark/>
                                </w:tcPr>
                                <w:p w14:paraId="5857D95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  </w:t>
                                  </w:r>
                                </w:p>
                              </w:tc>
                              <w:tc>
                                <w:tcPr>
                                  <w:tcW w:w="565" w:type="pct"/>
                                  <w:tcBorders>
                                    <w:top w:val="single" w:sz="4" w:space="0" w:color="000000"/>
                                    <w:left w:val="nil"/>
                                    <w:bottom w:val="nil"/>
                                    <w:right w:val="nil"/>
                                  </w:tcBorders>
                                  <w:hideMark/>
                                </w:tcPr>
                                <w:p w14:paraId="3D3A6EB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c>
                                <w:tcPr>
                                  <w:tcW w:w="565" w:type="pct"/>
                                  <w:tcBorders>
                                    <w:top w:val="single" w:sz="4" w:space="0" w:color="000000"/>
                                    <w:left w:val="nil"/>
                                    <w:bottom w:val="nil"/>
                                    <w:right w:val="nil"/>
                                  </w:tcBorders>
                                  <w:hideMark/>
                                </w:tcPr>
                                <w:p w14:paraId="05B7647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  </w:t>
                                  </w:r>
                                </w:p>
                              </w:tc>
                              <w:tc>
                                <w:tcPr>
                                  <w:tcW w:w="565" w:type="pct"/>
                                  <w:tcBorders>
                                    <w:top w:val="single" w:sz="4" w:space="0" w:color="000000"/>
                                    <w:left w:val="nil"/>
                                    <w:bottom w:val="nil"/>
                                    <w:right w:val="nil"/>
                                  </w:tcBorders>
                                  <w:hideMark/>
                                </w:tcPr>
                                <w:p w14:paraId="6794E85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c>
                                <w:tcPr>
                                  <w:tcW w:w="565" w:type="pct"/>
                                  <w:tcBorders>
                                    <w:top w:val="single" w:sz="4" w:space="0" w:color="000000"/>
                                    <w:left w:val="nil"/>
                                    <w:bottom w:val="nil"/>
                                    <w:right w:val="nil"/>
                                  </w:tcBorders>
                                  <w:hideMark/>
                                </w:tcPr>
                                <w:p w14:paraId="56A3232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(5.0)  </w:t>
                                  </w:r>
                                </w:p>
                              </w:tc>
                              <w:tc>
                                <w:tcPr>
                                  <w:tcW w:w="565" w:type="pct"/>
                                  <w:tcBorders>
                                    <w:top w:val="single" w:sz="4" w:space="0" w:color="000000"/>
                                    <w:left w:val="nil"/>
                                    <w:bottom w:val="nil"/>
                                    <w:right w:val="nil"/>
                                  </w:tcBorders>
                                  <w:hideMark/>
                                </w:tcPr>
                                <w:p w14:paraId="4B889A8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(4.4)  </w:t>
                                  </w:r>
                                </w:p>
                              </w:tc>
                              <w:tc>
                                <w:tcPr>
                                  <w:tcW w:w="565" w:type="pct"/>
                                  <w:tcBorders>
                                    <w:top w:val="single" w:sz="4" w:space="0" w:color="000000"/>
                                    <w:left w:val="nil"/>
                                    <w:bottom w:val="nil"/>
                                    <w:right w:val="nil"/>
                                  </w:tcBorders>
                                  <w:hideMark/>
                                </w:tcPr>
                                <w:p w14:paraId="529D4DE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(4.7)  </w:t>
                                  </w:r>
                                </w:p>
                              </w:tc>
                            </w:tr>
                            <w:tr w:rsidR="003C2F53" w:rsidRPr="008C1A62" w14:paraId="65F8EA46" w14:textId="77777777" w:rsidTr="008C1A62">
                              <w:trPr>
                                <w:trHeight w:val="204"/>
                              </w:trPr>
                              <w:tc>
                                <w:tcPr>
                                  <w:tcW w:w="1045" w:type="pct"/>
                                  <w:tcBorders>
                                    <w:top w:val="nil"/>
                                    <w:left w:val="nil"/>
                                    <w:bottom w:val="nil"/>
                                    <w:right w:val="nil"/>
                                  </w:tcBorders>
                                  <w:noWrap/>
                                  <w:hideMark/>
                                </w:tcPr>
                                <w:p w14:paraId="0A91EEAC"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Debt Issued</w:t>
                                  </w:r>
                                </w:p>
                              </w:tc>
                              <w:tc>
                                <w:tcPr>
                                  <w:tcW w:w="565" w:type="pct"/>
                                  <w:tcBorders>
                                    <w:top w:val="nil"/>
                                    <w:left w:val="nil"/>
                                    <w:bottom w:val="nil"/>
                                    <w:right w:val="nil"/>
                                  </w:tcBorders>
                                  <w:hideMark/>
                                </w:tcPr>
                                <w:p w14:paraId="1B7DEE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92C44E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25B79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4A4E36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359EAE6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239603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4D1CD3D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63892823" w14:textId="77777777" w:rsidTr="008C1A62">
                              <w:trPr>
                                <w:trHeight w:val="204"/>
                              </w:trPr>
                              <w:tc>
                                <w:tcPr>
                                  <w:tcW w:w="1045" w:type="pct"/>
                                  <w:tcBorders>
                                    <w:top w:val="nil"/>
                                    <w:left w:val="nil"/>
                                    <w:bottom w:val="nil"/>
                                    <w:right w:val="nil"/>
                                  </w:tcBorders>
                                  <w:noWrap/>
                                  <w:hideMark/>
                                </w:tcPr>
                                <w:p w14:paraId="19407E9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 Issued</w:t>
                                  </w:r>
                                </w:p>
                              </w:tc>
                              <w:tc>
                                <w:tcPr>
                                  <w:tcW w:w="565" w:type="pct"/>
                                  <w:tcBorders>
                                    <w:top w:val="nil"/>
                                    <w:left w:val="nil"/>
                                    <w:bottom w:val="nil"/>
                                    <w:right w:val="nil"/>
                                  </w:tcBorders>
                                  <w:hideMark/>
                                </w:tcPr>
                                <w:p w14:paraId="5A44FD5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23B7929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c>
                                <w:tcPr>
                                  <w:tcW w:w="565" w:type="pct"/>
                                  <w:tcBorders>
                                    <w:top w:val="nil"/>
                                    <w:left w:val="nil"/>
                                    <w:bottom w:val="nil"/>
                                    <w:right w:val="nil"/>
                                  </w:tcBorders>
                                  <w:hideMark/>
                                </w:tcPr>
                                <w:p w14:paraId="547FE6E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9CAE8C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8516D4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6DA9CE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7BC22E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6B3E1D41" w14:textId="77777777" w:rsidTr="008C1A62">
                              <w:trPr>
                                <w:trHeight w:val="204"/>
                              </w:trPr>
                              <w:tc>
                                <w:tcPr>
                                  <w:tcW w:w="1045" w:type="pct"/>
                                  <w:tcBorders>
                                    <w:top w:val="nil"/>
                                    <w:left w:val="nil"/>
                                    <w:bottom w:val="nil"/>
                                    <w:right w:val="nil"/>
                                  </w:tcBorders>
                                  <w:noWrap/>
                                  <w:hideMark/>
                                </w:tcPr>
                                <w:p w14:paraId="1FD5A83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Debt Issued</w:t>
                                  </w:r>
                                </w:p>
                              </w:tc>
                              <w:tc>
                                <w:tcPr>
                                  <w:tcW w:w="565" w:type="pct"/>
                                  <w:tcBorders>
                                    <w:top w:val="single" w:sz="4" w:space="0" w:color="000000"/>
                                    <w:left w:val="nil"/>
                                    <w:bottom w:val="nil"/>
                                    <w:right w:val="nil"/>
                                  </w:tcBorders>
                                  <w:hideMark/>
                                </w:tcPr>
                                <w:p w14:paraId="62A26C1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0.5 </w:t>
                                  </w:r>
                                </w:p>
                              </w:tc>
                              <w:tc>
                                <w:tcPr>
                                  <w:tcW w:w="565" w:type="pct"/>
                                  <w:tcBorders>
                                    <w:top w:val="single" w:sz="4" w:space="0" w:color="000000"/>
                                    <w:left w:val="nil"/>
                                    <w:bottom w:val="nil"/>
                                    <w:right w:val="nil"/>
                                  </w:tcBorders>
                                  <w:hideMark/>
                                </w:tcPr>
                                <w:p w14:paraId="0C18A33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4.0 </w:t>
                                  </w:r>
                                </w:p>
                              </w:tc>
                              <w:tc>
                                <w:tcPr>
                                  <w:tcW w:w="565" w:type="pct"/>
                                  <w:tcBorders>
                                    <w:top w:val="single" w:sz="4" w:space="0" w:color="000000"/>
                                    <w:left w:val="nil"/>
                                    <w:bottom w:val="nil"/>
                                    <w:right w:val="nil"/>
                                  </w:tcBorders>
                                  <w:hideMark/>
                                </w:tcPr>
                                <w:p w14:paraId="283A430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0.0 </w:t>
                                  </w:r>
                                </w:p>
                              </w:tc>
                              <w:tc>
                                <w:tcPr>
                                  <w:tcW w:w="565" w:type="pct"/>
                                  <w:tcBorders>
                                    <w:top w:val="single" w:sz="4" w:space="0" w:color="000000"/>
                                    <w:left w:val="nil"/>
                                    <w:bottom w:val="nil"/>
                                    <w:right w:val="nil"/>
                                  </w:tcBorders>
                                  <w:hideMark/>
                                </w:tcPr>
                                <w:p w14:paraId="5E2B544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0.1 </w:t>
                                  </w:r>
                                </w:p>
                              </w:tc>
                              <w:tc>
                                <w:tcPr>
                                  <w:tcW w:w="565" w:type="pct"/>
                                  <w:tcBorders>
                                    <w:top w:val="single" w:sz="4" w:space="0" w:color="000000"/>
                                    <w:left w:val="nil"/>
                                    <w:bottom w:val="nil"/>
                                    <w:right w:val="nil"/>
                                  </w:tcBorders>
                                  <w:hideMark/>
                                </w:tcPr>
                                <w:p w14:paraId="3F4C88E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0.9 </w:t>
                                  </w:r>
                                </w:p>
                              </w:tc>
                              <w:tc>
                                <w:tcPr>
                                  <w:tcW w:w="565" w:type="pct"/>
                                  <w:tcBorders>
                                    <w:top w:val="single" w:sz="4" w:space="0" w:color="000000"/>
                                    <w:left w:val="nil"/>
                                    <w:bottom w:val="nil"/>
                                    <w:right w:val="nil"/>
                                  </w:tcBorders>
                                  <w:hideMark/>
                                </w:tcPr>
                                <w:p w14:paraId="762DA5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1.4 </w:t>
                                  </w:r>
                                </w:p>
                              </w:tc>
                              <w:tc>
                                <w:tcPr>
                                  <w:tcW w:w="565" w:type="pct"/>
                                  <w:tcBorders>
                                    <w:top w:val="single" w:sz="4" w:space="0" w:color="000000"/>
                                    <w:left w:val="nil"/>
                                    <w:bottom w:val="nil"/>
                                    <w:right w:val="nil"/>
                                  </w:tcBorders>
                                  <w:hideMark/>
                                </w:tcPr>
                                <w:p w14:paraId="5041113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0.9 </w:t>
                                  </w:r>
                                </w:p>
                              </w:tc>
                            </w:tr>
                            <w:tr w:rsidR="003C2F53" w:rsidRPr="008C1A62" w14:paraId="79B23E0B" w14:textId="77777777" w:rsidTr="008C1A62">
                              <w:trPr>
                                <w:trHeight w:val="204"/>
                              </w:trPr>
                              <w:tc>
                                <w:tcPr>
                                  <w:tcW w:w="1045" w:type="pct"/>
                                  <w:tcBorders>
                                    <w:top w:val="nil"/>
                                    <w:left w:val="nil"/>
                                    <w:bottom w:val="nil"/>
                                    <w:right w:val="nil"/>
                                  </w:tcBorders>
                                  <w:noWrap/>
                                  <w:hideMark/>
                                </w:tcPr>
                                <w:p w14:paraId="48F5423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Debt Repaid</w:t>
                                  </w:r>
                                </w:p>
                              </w:tc>
                              <w:tc>
                                <w:tcPr>
                                  <w:tcW w:w="565" w:type="pct"/>
                                  <w:tcBorders>
                                    <w:top w:val="nil"/>
                                    <w:left w:val="nil"/>
                                    <w:bottom w:val="nil"/>
                                    <w:right w:val="nil"/>
                                  </w:tcBorders>
                                  <w:hideMark/>
                                </w:tcPr>
                                <w:p w14:paraId="03FB39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7DEF8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FEB9D1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CF6853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861BDF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28C07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7BD6C7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7171C65A" w14:textId="77777777" w:rsidTr="008C1A62">
                              <w:trPr>
                                <w:trHeight w:val="204"/>
                              </w:trPr>
                              <w:tc>
                                <w:tcPr>
                                  <w:tcW w:w="1045" w:type="pct"/>
                                  <w:tcBorders>
                                    <w:top w:val="nil"/>
                                    <w:left w:val="nil"/>
                                    <w:bottom w:val="nil"/>
                                    <w:right w:val="nil"/>
                                  </w:tcBorders>
                                  <w:noWrap/>
                                  <w:hideMark/>
                                </w:tcPr>
                                <w:p w14:paraId="46031352"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 Repaid</w:t>
                                  </w:r>
                                </w:p>
                              </w:tc>
                              <w:tc>
                                <w:tcPr>
                                  <w:tcW w:w="565" w:type="pct"/>
                                  <w:tcBorders>
                                    <w:top w:val="nil"/>
                                    <w:left w:val="nil"/>
                                    <w:bottom w:val="nil"/>
                                    <w:right w:val="nil"/>
                                  </w:tcBorders>
                                  <w:hideMark/>
                                </w:tcPr>
                                <w:p w14:paraId="7F091D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1BB2741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  </w:t>
                                  </w:r>
                                </w:p>
                              </w:tc>
                              <w:tc>
                                <w:tcPr>
                                  <w:tcW w:w="565" w:type="pct"/>
                                  <w:tcBorders>
                                    <w:top w:val="nil"/>
                                    <w:left w:val="nil"/>
                                    <w:bottom w:val="nil"/>
                                    <w:right w:val="nil"/>
                                  </w:tcBorders>
                                  <w:hideMark/>
                                </w:tcPr>
                                <w:p w14:paraId="281C57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624EAA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7EFA3A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0A079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0758B7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03242AE8" w14:textId="77777777" w:rsidTr="008C1A62">
                              <w:trPr>
                                <w:trHeight w:val="204"/>
                              </w:trPr>
                              <w:tc>
                                <w:tcPr>
                                  <w:tcW w:w="1045" w:type="pct"/>
                                  <w:tcBorders>
                                    <w:top w:val="nil"/>
                                    <w:left w:val="nil"/>
                                    <w:bottom w:val="nil"/>
                                    <w:right w:val="nil"/>
                                  </w:tcBorders>
                                  <w:noWrap/>
                                  <w:hideMark/>
                                </w:tcPr>
                                <w:p w14:paraId="34D369D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Debt Repaid</w:t>
                                  </w:r>
                                </w:p>
                              </w:tc>
                              <w:tc>
                                <w:tcPr>
                                  <w:tcW w:w="565" w:type="pct"/>
                                  <w:tcBorders>
                                    <w:top w:val="single" w:sz="4" w:space="0" w:color="000000"/>
                                    <w:left w:val="nil"/>
                                    <w:bottom w:val="nil"/>
                                    <w:right w:val="nil"/>
                                  </w:tcBorders>
                                  <w:hideMark/>
                                </w:tcPr>
                                <w:p w14:paraId="2D908D1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(0.1)  </w:t>
                                  </w:r>
                                </w:p>
                              </w:tc>
                              <w:tc>
                                <w:tcPr>
                                  <w:tcW w:w="565" w:type="pct"/>
                                  <w:tcBorders>
                                    <w:top w:val="single" w:sz="4" w:space="0" w:color="000000"/>
                                    <w:left w:val="nil"/>
                                    <w:bottom w:val="nil"/>
                                    <w:right w:val="nil"/>
                                  </w:tcBorders>
                                  <w:hideMark/>
                                </w:tcPr>
                                <w:p w14:paraId="1D825E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  </w:t>
                                  </w:r>
                                </w:p>
                              </w:tc>
                              <w:tc>
                                <w:tcPr>
                                  <w:tcW w:w="565" w:type="pct"/>
                                  <w:tcBorders>
                                    <w:top w:val="single" w:sz="4" w:space="0" w:color="000000"/>
                                    <w:left w:val="nil"/>
                                    <w:bottom w:val="nil"/>
                                    <w:right w:val="nil"/>
                                  </w:tcBorders>
                                  <w:hideMark/>
                                </w:tcPr>
                                <w:p w14:paraId="2D7E092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(0.2)  </w:t>
                                  </w:r>
                                </w:p>
                              </w:tc>
                              <w:tc>
                                <w:tcPr>
                                  <w:tcW w:w="565" w:type="pct"/>
                                  <w:tcBorders>
                                    <w:top w:val="single" w:sz="4" w:space="0" w:color="000000"/>
                                    <w:left w:val="nil"/>
                                    <w:bottom w:val="nil"/>
                                    <w:right w:val="nil"/>
                                  </w:tcBorders>
                                  <w:hideMark/>
                                </w:tcPr>
                                <w:p w14:paraId="5731A78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  </w:t>
                                  </w:r>
                                </w:p>
                              </w:tc>
                              <w:tc>
                                <w:tcPr>
                                  <w:tcW w:w="565" w:type="pct"/>
                                  <w:tcBorders>
                                    <w:top w:val="single" w:sz="4" w:space="0" w:color="000000"/>
                                    <w:left w:val="nil"/>
                                    <w:bottom w:val="nil"/>
                                    <w:right w:val="nil"/>
                                  </w:tcBorders>
                                  <w:hideMark/>
                                </w:tcPr>
                                <w:p w14:paraId="26F4029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  </w:t>
                                  </w:r>
                                </w:p>
                              </w:tc>
                              <w:tc>
                                <w:tcPr>
                                  <w:tcW w:w="565" w:type="pct"/>
                                  <w:tcBorders>
                                    <w:top w:val="single" w:sz="4" w:space="0" w:color="000000"/>
                                    <w:left w:val="nil"/>
                                    <w:bottom w:val="nil"/>
                                    <w:right w:val="nil"/>
                                  </w:tcBorders>
                                  <w:hideMark/>
                                </w:tcPr>
                                <w:p w14:paraId="7A15197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c>
                                <w:tcPr>
                                  <w:tcW w:w="565" w:type="pct"/>
                                  <w:tcBorders>
                                    <w:top w:val="single" w:sz="4" w:space="0" w:color="000000"/>
                                    <w:left w:val="nil"/>
                                    <w:bottom w:val="nil"/>
                                    <w:right w:val="nil"/>
                                  </w:tcBorders>
                                  <w:hideMark/>
                                </w:tcPr>
                                <w:p w14:paraId="167E378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r>
                            <w:tr w:rsidR="003C2F53" w:rsidRPr="008C1A62" w14:paraId="2CE4C898" w14:textId="77777777" w:rsidTr="008C1A62">
                              <w:trPr>
                                <w:trHeight w:val="204"/>
                              </w:trPr>
                              <w:tc>
                                <w:tcPr>
                                  <w:tcW w:w="1045" w:type="pct"/>
                                  <w:tcBorders>
                                    <w:top w:val="nil"/>
                                    <w:left w:val="nil"/>
                                    <w:bottom w:val="nil"/>
                                    <w:right w:val="nil"/>
                                  </w:tcBorders>
                                  <w:noWrap/>
                                  <w:hideMark/>
                                </w:tcPr>
                                <w:p w14:paraId="1D8EADF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Repurchase of Common Stock</w:t>
                                  </w:r>
                                </w:p>
                              </w:tc>
                              <w:tc>
                                <w:tcPr>
                                  <w:tcW w:w="565" w:type="pct"/>
                                  <w:tcBorders>
                                    <w:top w:val="nil"/>
                                    <w:left w:val="nil"/>
                                    <w:bottom w:val="nil"/>
                                    <w:right w:val="nil"/>
                                  </w:tcBorders>
                                  <w:hideMark/>
                                </w:tcPr>
                                <w:p w14:paraId="05B5CD7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2A97C6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1BA1B4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25A3EB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1C918B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16A33A3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0EFD77A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r>
                            <w:tr w:rsidR="003C2F53" w:rsidRPr="008C1A62" w14:paraId="63E2DCB8" w14:textId="77777777" w:rsidTr="008C1A62">
                              <w:trPr>
                                <w:trHeight w:val="204"/>
                              </w:trPr>
                              <w:tc>
                                <w:tcPr>
                                  <w:tcW w:w="1045" w:type="pct"/>
                                  <w:tcBorders>
                                    <w:top w:val="nil"/>
                                    <w:left w:val="nil"/>
                                    <w:bottom w:val="nil"/>
                                    <w:right w:val="nil"/>
                                  </w:tcBorders>
                                  <w:noWrap/>
                                  <w:hideMark/>
                                </w:tcPr>
                                <w:p w14:paraId="5FF03127"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Common Dividends Paid</w:t>
                                  </w:r>
                                </w:p>
                              </w:tc>
                              <w:tc>
                                <w:tcPr>
                                  <w:tcW w:w="565" w:type="pct"/>
                                  <w:tcBorders>
                                    <w:top w:val="nil"/>
                                    <w:left w:val="nil"/>
                                    <w:bottom w:val="nil"/>
                                    <w:right w:val="nil"/>
                                  </w:tcBorders>
                                  <w:hideMark/>
                                </w:tcPr>
                                <w:p w14:paraId="1C9A9F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72E109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3E3770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(5.7)  </w:t>
                                  </w:r>
                                </w:p>
                              </w:tc>
                              <w:tc>
                                <w:tcPr>
                                  <w:tcW w:w="565" w:type="pct"/>
                                  <w:tcBorders>
                                    <w:top w:val="nil"/>
                                    <w:left w:val="nil"/>
                                    <w:bottom w:val="nil"/>
                                    <w:right w:val="nil"/>
                                  </w:tcBorders>
                                  <w:hideMark/>
                                </w:tcPr>
                                <w:p w14:paraId="6FD89E4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643E1C9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65" w:type="pct"/>
                                  <w:tcBorders>
                                    <w:top w:val="nil"/>
                                    <w:left w:val="nil"/>
                                    <w:bottom w:val="nil"/>
                                    <w:right w:val="nil"/>
                                  </w:tcBorders>
                                  <w:hideMark/>
                                </w:tcPr>
                                <w:p w14:paraId="3DDC535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(2.4)  </w:t>
                                  </w:r>
                                </w:p>
                              </w:tc>
                              <w:tc>
                                <w:tcPr>
                                  <w:tcW w:w="565" w:type="pct"/>
                                  <w:tcBorders>
                                    <w:top w:val="nil"/>
                                    <w:left w:val="nil"/>
                                    <w:bottom w:val="nil"/>
                                    <w:right w:val="nil"/>
                                  </w:tcBorders>
                                  <w:hideMark/>
                                </w:tcPr>
                                <w:p w14:paraId="4875A25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1139BCF" w14:textId="77777777" w:rsidTr="008C1A62">
                              <w:trPr>
                                <w:trHeight w:val="204"/>
                              </w:trPr>
                              <w:tc>
                                <w:tcPr>
                                  <w:tcW w:w="1045" w:type="pct"/>
                                  <w:tcBorders>
                                    <w:top w:val="nil"/>
                                    <w:left w:val="nil"/>
                                    <w:bottom w:val="nil"/>
                                    <w:right w:val="nil"/>
                                  </w:tcBorders>
                                  <w:noWrap/>
                                  <w:hideMark/>
                                </w:tcPr>
                                <w:p w14:paraId="113A604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Dividends Paid</w:t>
                                  </w:r>
                                </w:p>
                              </w:tc>
                              <w:tc>
                                <w:tcPr>
                                  <w:tcW w:w="565" w:type="pct"/>
                                  <w:tcBorders>
                                    <w:top w:val="single" w:sz="4" w:space="0" w:color="000000"/>
                                    <w:left w:val="nil"/>
                                    <w:bottom w:val="nil"/>
                                    <w:right w:val="nil"/>
                                  </w:tcBorders>
                                  <w:hideMark/>
                                </w:tcPr>
                                <w:p w14:paraId="078B563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  </w:t>
                                  </w:r>
                                </w:p>
                              </w:tc>
                              <w:tc>
                                <w:tcPr>
                                  <w:tcW w:w="565" w:type="pct"/>
                                  <w:tcBorders>
                                    <w:top w:val="single" w:sz="4" w:space="0" w:color="000000"/>
                                    <w:left w:val="nil"/>
                                    <w:bottom w:val="nil"/>
                                    <w:right w:val="nil"/>
                                  </w:tcBorders>
                                  <w:hideMark/>
                                </w:tcPr>
                                <w:p w14:paraId="0776283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5AF2537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(5.7)  </w:t>
                                  </w:r>
                                </w:p>
                              </w:tc>
                              <w:tc>
                                <w:tcPr>
                                  <w:tcW w:w="565" w:type="pct"/>
                                  <w:tcBorders>
                                    <w:top w:val="single" w:sz="4" w:space="0" w:color="000000"/>
                                    <w:left w:val="nil"/>
                                    <w:bottom w:val="nil"/>
                                    <w:right w:val="nil"/>
                                  </w:tcBorders>
                                  <w:hideMark/>
                                </w:tcPr>
                                <w:p w14:paraId="1D7A16D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6FCAF89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  </w:t>
                                  </w:r>
                                </w:p>
                              </w:tc>
                              <w:tc>
                                <w:tcPr>
                                  <w:tcW w:w="565" w:type="pct"/>
                                  <w:tcBorders>
                                    <w:top w:val="single" w:sz="4" w:space="0" w:color="000000"/>
                                    <w:left w:val="nil"/>
                                    <w:bottom w:val="nil"/>
                                    <w:right w:val="nil"/>
                                  </w:tcBorders>
                                  <w:hideMark/>
                                </w:tcPr>
                                <w:p w14:paraId="58AEB0E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(2.4)  </w:t>
                                  </w:r>
                                </w:p>
                              </w:tc>
                              <w:tc>
                                <w:tcPr>
                                  <w:tcW w:w="565" w:type="pct"/>
                                  <w:tcBorders>
                                    <w:top w:val="single" w:sz="4" w:space="0" w:color="000000"/>
                                    <w:left w:val="nil"/>
                                    <w:bottom w:val="nil"/>
                                    <w:right w:val="nil"/>
                                  </w:tcBorders>
                                  <w:hideMark/>
                                </w:tcPr>
                                <w:p w14:paraId="40C6AE2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w:t>
                                  </w:r>
                                </w:p>
                              </w:tc>
                            </w:tr>
                            <w:tr w:rsidR="003C2F53" w:rsidRPr="008C1A62" w14:paraId="52CDE92B" w14:textId="77777777" w:rsidTr="008C1A62">
                              <w:trPr>
                                <w:trHeight w:val="204"/>
                              </w:trPr>
                              <w:tc>
                                <w:tcPr>
                                  <w:tcW w:w="1045" w:type="pct"/>
                                  <w:tcBorders>
                                    <w:top w:val="nil"/>
                                    <w:left w:val="nil"/>
                                    <w:bottom w:val="nil"/>
                                    <w:right w:val="nil"/>
                                  </w:tcBorders>
                                  <w:noWrap/>
                                  <w:hideMark/>
                                </w:tcPr>
                                <w:p w14:paraId="084D09E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Special Dividend Paid</w:t>
                                  </w:r>
                                </w:p>
                              </w:tc>
                              <w:tc>
                                <w:tcPr>
                                  <w:tcW w:w="565" w:type="pct"/>
                                  <w:tcBorders>
                                    <w:top w:val="nil"/>
                                    <w:left w:val="nil"/>
                                    <w:bottom w:val="nil"/>
                                    <w:right w:val="nil"/>
                                  </w:tcBorders>
                                  <w:hideMark/>
                                </w:tcPr>
                                <w:p w14:paraId="0E8285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04DB5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035F01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0476B0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EE0F3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6E4EB2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65" w:type="pct"/>
                                  <w:tcBorders>
                                    <w:top w:val="nil"/>
                                    <w:left w:val="nil"/>
                                    <w:bottom w:val="nil"/>
                                    <w:right w:val="nil"/>
                                  </w:tcBorders>
                                  <w:hideMark/>
                                </w:tcPr>
                                <w:p w14:paraId="271E5C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r>
                            <w:tr w:rsidR="003C2F53" w:rsidRPr="008C1A62" w14:paraId="2E702F03" w14:textId="77777777" w:rsidTr="008C1A62">
                              <w:trPr>
                                <w:trHeight w:val="204"/>
                              </w:trPr>
                              <w:tc>
                                <w:tcPr>
                                  <w:tcW w:w="1045" w:type="pct"/>
                                  <w:tcBorders>
                                    <w:top w:val="nil"/>
                                    <w:left w:val="nil"/>
                                    <w:bottom w:val="nil"/>
                                    <w:right w:val="nil"/>
                                  </w:tcBorders>
                                  <w:noWrap/>
                                  <w:hideMark/>
                                </w:tcPr>
                                <w:p w14:paraId="4076E95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Financing Activities</w:t>
                                  </w:r>
                                </w:p>
                              </w:tc>
                              <w:tc>
                                <w:tcPr>
                                  <w:tcW w:w="565" w:type="pct"/>
                                  <w:tcBorders>
                                    <w:top w:val="nil"/>
                                    <w:left w:val="nil"/>
                                    <w:bottom w:val="nil"/>
                                    <w:right w:val="nil"/>
                                  </w:tcBorders>
                                  <w:hideMark/>
                                </w:tcPr>
                                <w:p w14:paraId="2CE29CD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CA72B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44C5A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03E2C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65" w:type="pct"/>
                                  <w:tcBorders>
                                    <w:top w:val="nil"/>
                                    <w:left w:val="nil"/>
                                    <w:bottom w:val="nil"/>
                                    <w:right w:val="nil"/>
                                  </w:tcBorders>
                                  <w:hideMark/>
                                </w:tcPr>
                                <w:p w14:paraId="6C50662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36B151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E1533C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r>
                            <w:tr w:rsidR="003C2F53" w:rsidRPr="008C1A62" w14:paraId="63008E21" w14:textId="77777777" w:rsidTr="008C1A62">
                              <w:trPr>
                                <w:trHeight w:val="204"/>
                              </w:trPr>
                              <w:tc>
                                <w:tcPr>
                                  <w:tcW w:w="1045" w:type="pct"/>
                                  <w:tcBorders>
                                    <w:top w:val="nil"/>
                                    <w:left w:val="nil"/>
                                    <w:bottom w:val="nil"/>
                                    <w:right w:val="nil"/>
                                  </w:tcBorders>
                                  <w:noWrap/>
                                  <w:hideMark/>
                                </w:tcPr>
                                <w:p w14:paraId="20C8582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Financing</w:t>
                                  </w:r>
                                </w:p>
                              </w:tc>
                              <w:tc>
                                <w:tcPr>
                                  <w:tcW w:w="565" w:type="pct"/>
                                  <w:tcBorders>
                                    <w:top w:val="single" w:sz="4" w:space="0" w:color="000000"/>
                                    <w:left w:val="nil"/>
                                    <w:bottom w:val="nil"/>
                                    <w:right w:val="nil"/>
                                  </w:tcBorders>
                                  <w:hideMark/>
                                </w:tcPr>
                                <w:p w14:paraId="40EA0C9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  </w:t>
                                  </w:r>
                                </w:p>
                              </w:tc>
                              <w:tc>
                                <w:tcPr>
                                  <w:tcW w:w="565" w:type="pct"/>
                                  <w:tcBorders>
                                    <w:top w:val="single" w:sz="4" w:space="0" w:color="000000"/>
                                    <w:left w:val="nil"/>
                                    <w:bottom w:val="nil"/>
                                    <w:right w:val="nil"/>
                                  </w:tcBorders>
                                  <w:hideMark/>
                                </w:tcPr>
                                <w:p w14:paraId="6DF1901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  </w:t>
                                  </w:r>
                                </w:p>
                              </w:tc>
                              <w:tc>
                                <w:tcPr>
                                  <w:tcW w:w="565" w:type="pct"/>
                                  <w:tcBorders>
                                    <w:top w:val="single" w:sz="4" w:space="0" w:color="000000"/>
                                    <w:left w:val="nil"/>
                                    <w:bottom w:val="nil"/>
                                    <w:right w:val="nil"/>
                                  </w:tcBorders>
                                  <w:hideMark/>
                                </w:tcPr>
                                <w:p w14:paraId="6732762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(6.5)  </w:t>
                                  </w:r>
                                </w:p>
                              </w:tc>
                              <w:tc>
                                <w:tcPr>
                                  <w:tcW w:w="565" w:type="pct"/>
                                  <w:tcBorders>
                                    <w:top w:val="single" w:sz="4" w:space="0" w:color="000000"/>
                                    <w:left w:val="nil"/>
                                    <w:bottom w:val="nil"/>
                                    <w:right w:val="nil"/>
                                  </w:tcBorders>
                                  <w:hideMark/>
                                </w:tcPr>
                                <w:p w14:paraId="15EBE3A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  </w:t>
                                  </w:r>
                                </w:p>
                              </w:tc>
                              <w:tc>
                                <w:tcPr>
                                  <w:tcW w:w="565" w:type="pct"/>
                                  <w:tcBorders>
                                    <w:top w:val="single" w:sz="4" w:space="0" w:color="000000"/>
                                    <w:left w:val="nil"/>
                                    <w:bottom w:val="nil"/>
                                    <w:right w:val="nil"/>
                                  </w:tcBorders>
                                  <w:hideMark/>
                                </w:tcPr>
                                <w:p w14:paraId="15885E1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(2.6)  </w:t>
                                  </w:r>
                                </w:p>
                              </w:tc>
                              <w:tc>
                                <w:tcPr>
                                  <w:tcW w:w="565" w:type="pct"/>
                                  <w:tcBorders>
                                    <w:top w:val="single" w:sz="4" w:space="0" w:color="000000"/>
                                    <w:left w:val="nil"/>
                                    <w:bottom w:val="nil"/>
                                    <w:right w:val="nil"/>
                                  </w:tcBorders>
                                  <w:hideMark/>
                                </w:tcPr>
                                <w:p w14:paraId="2B8DB6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(10.8)  </w:t>
                                  </w:r>
                                </w:p>
                              </w:tc>
                              <w:tc>
                                <w:tcPr>
                                  <w:tcW w:w="565" w:type="pct"/>
                                  <w:tcBorders>
                                    <w:top w:val="single" w:sz="4" w:space="0" w:color="000000"/>
                                    <w:left w:val="nil"/>
                                    <w:bottom w:val="nil"/>
                                    <w:right w:val="nil"/>
                                  </w:tcBorders>
                                  <w:hideMark/>
                                </w:tcPr>
                                <w:p w14:paraId="769C3DE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r>
                            <w:tr w:rsidR="003C2F53" w:rsidRPr="008C1A62" w14:paraId="53E49B81" w14:textId="77777777" w:rsidTr="008C1A62">
                              <w:trPr>
                                <w:trHeight w:val="204"/>
                              </w:trPr>
                              <w:tc>
                                <w:tcPr>
                                  <w:tcW w:w="1045" w:type="pct"/>
                                  <w:tcBorders>
                                    <w:top w:val="nil"/>
                                    <w:left w:val="nil"/>
                                    <w:bottom w:val="nil"/>
                                    <w:right w:val="nil"/>
                                  </w:tcBorders>
                                  <w:noWrap/>
                                  <w:hideMark/>
                                </w:tcPr>
                                <w:p w14:paraId="27596A8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Foreign Exchange Rate Adj.</w:t>
                                  </w:r>
                                </w:p>
                              </w:tc>
                              <w:tc>
                                <w:tcPr>
                                  <w:tcW w:w="565" w:type="pct"/>
                                  <w:tcBorders>
                                    <w:top w:val="nil"/>
                                    <w:left w:val="nil"/>
                                    <w:bottom w:val="nil"/>
                                    <w:right w:val="nil"/>
                                  </w:tcBorders>
                                  <w:hideMark/>
                                </w:tcPr>
                                <w:p w14:paraId="2C5844B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514FDB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7FAA1C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3C0B0F9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F6187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2B97C7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78D664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r>
                            <w:tr w:rsidR="003C2F53" w:rsidRPr="008C1A62" w14:paraId="2BE3E2CD" w14:textId="77777777" w:rsidTr="008C1A62">
                              <w:trPr>
                                <w:trHeight w:val="204"/>
                              </w:trPr>
                              <w:tc>
                                <w:tcPr>
                                  <w:tcW w:w="1045" w:type="pct"/>
                                  <w:tcBorders>
                                    <w:top w:val="nil"/>
                                    <w:left w:val="nil"/>
                                    <w:bottom w:val="nil"/>
                                    <w:right w:val="nil"/>
                                  </w:tcBorders>
                                  <w:noWrap/>
                                  <w:hideMark/>
                                </w:tcPr>
                                <w:p w14:paraId="042E77B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Net Change in Cash</w:t>
                                  </w:r>
                                </w:p>
                              </w:tc>
                              <w:tc>
                                <w:tcPr>
                                  <w:tcW w:w="565" w:type="pct"/>
                                  <w:tcBorders>
                                    <w:top w:val="single" w:sz="4" w:space="0" w:color="000000"/>
                                    <w:left w:val="nil"/>
                                    <w:bottom w:val="nil"/>
                                    <w:right w:val="nil"/>
                                  </w:tcBorders>
                                  <w:hideMark/>
                                </w:tcPr>
                                <w:p w14:paraId="05B33E6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2.3 </w:t>
                                  </w:r>
                                </w:p>
                              </w:tc>
                              <w:tc>
                                <w:tcPr>
                                  <w:tcW w:w="565" w:type="pct"/>
                                  <w:tcBorders>
                                    <w:top w:val="single" w:sz="4" w:space="0" w:color="000000"/>
                                    <w:left w:val="nil"/>
                                    <w:bottom w:val="nil"/>
                                    <w:right w:val="nil"/>
                                  </w:tcBorders>
                                  <w:hideMark/>
                                </w:tcPr>
                                <w:p w14:paraId="486E0BF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3.9 </w:t>
                                  </w:r>
                                </w:p>
                              </w:tc>
                              <w:tc>
                                <w:tcPr>
                                  <w:tcW w:w="565" w:type="pct"/>
                                  <w:tcBorders>
                                    <w:top w:val="single" w:sz="4" w:space="0" w:color="000000"/>
                                    <w:left w:val="nil"/>
                                    <w:bottom w:val="nil"/>
                                    <w:right w:val="nil"/>
                                  </w:tcBorders>
                                  <w:hideMark/>
                                </w:tcPr>
                                <w:p w14:paraId="40CD3F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(1.0)  </w:t>
                                  </w:r>
                                </w:p>
                              </w:tc>
                              <w:tc>
                                <w:tcPr>
                                  <w:tcW w:w="565" w:type="pct"/>
                                  <w:tcBorders>
                                    <w:top w:val="single" w:sz="4" w:space="0" w:color="000000"/>
                                    <w:left w:val="nil"/>
                                    <w:bottom w:val="nil"/>
                                    <w:right w:val="nil"/>
                                  </w:tcBorders>
                                  <w:hideMark/>
                                </w:tcPr>
                                <w:p w14:paraId="1D190D2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(1.1)  </w:t>
                                  </w:r>
                                </w:p>
                              </w:tc>
                              <w:tc>
                                <w:tcPr>
                                  <w:tcW w:w="565" w:type="pct"/>
                                  <w:tcBorders>
                                    <w:top w:val="single" w:sz="4" w:space="0" w:color="000000"/>
                                    <w:left w:val="nil"/>
                                    <w:bottom w:val="nil"/>
                                    <w:right w:val="nil"/>
                                  </w:tcBorders>
                                  <w:hideMark/>
                                </w:tcPr>
                                <w:p w14:paraId="65199C2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3.5 </w:t>
                                  </w:r>
                                </w:p>
                              </w:tc>
                              <w:tc>
                                <w:tcPr>
                                  <w:tcW w:w="565" w:type="pct"/>
                                  <w:tcBorders>
                                    <w:top w:val="single" w:sz="4" w:space="0" w:color="000000"/>
                                    <w:left w:val="nil"/>
                                    <w:bottom w:val="nil"/>
                                    <w:right w:val="nil"/>
                                  </w:tcBorders>
                                  <w:hideMark/>
                                </w:tcPr>
                                <w:p w14:paraId="2287827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(3.8)  </w:t>
                                  </w:r>
                                </w:p>
                              </w:tc>
                              <w:tc>
                                <w:tcPr>
                                  <w:tcW w:w="565" w:type="pct"/>
                                  <w:tcBorders>
                                    <w:top w:val="single" w:sz="4" w:space="0" w:color="000000"/>
                                    <w:left w:val="nil"/>
                                    <w:bottom w:val="nil"/>
                                    <w:right w:val="nil"/>
                                  </w:tcBorders>
                                  <w:hideMark/>
                                </w:tcPr>
                                <w:p w14:paraId="43A4FF5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3.3 </w:t>
                                  </w:r>
                                </w:p>
                              </w:tc>
                            </w:tr>
                          </w:tbl>
                          <w:p w14:paraId="6E88924D" w14:textId="27EA7E93" w:rsidR="008C1A62" w:rsidRDefault="008C1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AE02" id="_x0000_s1055" type="#_x0000_t202" style="position:absolute;left:0;text-align:left;margin-left:434.2pt;margin-top:0;width:485.4pt;height:601.2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shFAIAAP8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" stroked="f">
                <v:textbox>
                  <w:txbxContent>
                    <w:tbl>
                      <w:tblPr>
                        <w:tblW w:w="5000" w:type="pct"/>
                        <w:tblLook w:val="04A0" w:firstRow="1" w:lastRow="0" w:firstColumn="1" w:lastColumn="0" w:noHBand="0" w:noVBand="1"/>
                      </w:tblPr>
                      <w:tblGrid>
                        <w:gridCol w:w="2591"/>
                        <w:gridCol w:w="975"/>
                        <w:gridCol w:w="975"/>
                        <w:gridCol w:w="976"/>
                        <w:gridCol w:w="976"/>
                        <w:gridCol w:w="976"/>
                        <w:gridCol w:w="976"/>
                        <w:gridCol w:w="976"/>
                      </w:tblGrid>
                      <w:tr w:rsidR="003C2F53" w:rsidRPr="008C1A62" w14:paraId="097EE266" w14:textId="77777777" w:rsidTr="008C1A62">
                        <w:trPr>
                          <w:trHeight w:val="324"/>
                        </w:trPr>
                        <w:tc>
                          <w:tcPr>
                            <w:tcW w:w="4435" w:type="pct"/>
                            <w:gridSpan w:val="7"/>
                            <w:tcBorders>
                              <w:top w:val="nil"/>
                              <w:left w:val="nil"/>
                              <w:bottom w:val="nil"/>
                              <w:right w:val="nil"/>
                            </w:tcBorders>
                            <w:noWrap/>
                            <w:vAlign w:val="bottom"/>
                            <w:hideMark/>
                          </w:tcPr>
                          <w:p w14:paraId="42BE3C5D"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Costco Wholesale Corporation (</w:t>
                            </w:r>
                            <w:r w:rsidRPr="008C1A62">
                              <w:rPr>
                                <w:rFonts w:ascii="Cambria" w:eastAsia="Times New Roman" w:hAnsi="Cambria" w:cs="Arial"/>
                                <w:b/>
                                <w:bCs/>
                                <w:color w:val="000000"/>
                                <w:kern w:val="0"/>
                                <w:sz w:val="14"/>
                                <w:szCs w:val="14"/>
                                <w:lang w:eastAsia="en-IN"/>
                                <w14:ligatures w14:val="none"/>
                              </w:rPr>
                              <w:t>NasdaqGS:COST) &gt; Financials &gt; Cash Flow</w:t>
                            </w:r>
                          </w:p>
                        </w:tc>
                        <w:tc>
                          <w:tcPr>
                            <w:tcW w:w="565" w:type="pct"/>
                            <w:tcBorders>
                              <w:top w:val="nil"/>
                              <w:left w:val="nil"/>
                              <w:bottom w:val="nil"/>
                              <w:right w:val="nil"/>
                            </w:tcBorders>
                            <w:noWrap/>
                            <w:vAlign w:val="bottom"/>
                            <w:hideMark/>
                          </w:tcPr>
                          <w:p w14:paraId="171E891D"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p>
                        </w:tc>
                      </w:tr>
                      <w:tr w:rsidR="008C1A62" w:rsidRPr="008C1A62" w14:paraId="0B5750CF" w14:textId="77777777" w:rsidTr="008C1A62">
                        <w:trPr>
                          <w:trHeight w:val="204"/>
                        </w:trPr>
                        <w:tc>
                          <w:tcPr>
                            <w:tcW w:w="1045" w:type="pct"/>
                            <w:tcBorders>
                              <w:top w:val="nil"/>
                              <w:left w:val="nil"/>
                              <w:bottom w:val="nil"/>
                              <w:right w:val="nil"/>
                            </w:tcBorders>
                            <w:shd w:val="clear" w:color="000000" w:fill="003366"/>
                            <w:noWrap/>
                            <w:vAlign w:val="bottom"/>
                            <w:hideMark/>
                          </w:tcPr>
                          <w:p w14:paraId="63C013C2"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Cash Flow</w:t>
                            </w:r>
                          </w:p>
                        </w:tc>
                        <w:tc>
                          <w:tcPr>
                            <w:tcW w:w="565" w:type="pct"/>
                            <w:tcBorders>
                              <w:top w:val="nil"/>
                              <w:left w:val="nil"/>
                              <w:bottom w:val="nil"/>
                              <w:right w:val="nil"/>
                            </w:tcBorders>
                            <w:shd w:val="clear" w:color="000000" w:fill="003366"/>
                            <w:noWrap/>
                            <w:vAlign w:val="bottom"/>
                            <w:hideMark/>
                          </w:tcPr>
                          <w:p w14:paraId="5AC2D5DD"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7F9357B2"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529854C1"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38F84B27"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2867E53F"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34D25FB4"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c>
                          <w:tcPr>
                            <w:tcW w:w="565" w:type="pct"/>
                            <w:tcBorders>
                              <w:top w:val="nil"/>
                              <w:left w:val="nil"/>
                              <w:bottom w:val="nil"/>
                              <w:right w:val="nil"/>
                            </w:tcBorders>
                            <w:shd w:val="clear" w:color="000000" w:fill="003366"/>
                            <w:noWrap/>
                            <w:vAlign w:val="bottom"/>
                            <w:hideMark/>
                          </w:tcPr>
                          <w:p w14:paraId="05AE509D" w14:textId="77777777" w:rsidR="008C1A62" w:rsidRPr="008C1A62" w:rsidRDefault="008C1A62" w:rsidP="008C1A62">
                            <w:pPr>
                              <w:spacing w:after="0" w:line="240" w:lineRule="auto"/>
                              <w:rPr>
                                <w:rFonts w:ascii="Cambria" w:eastAsia="Times New Roman" w:hAnsi="Cambria" w:cs="Arial"/>
                                <w:b/>
                                <w:bCs/>
                                <w:color w:val="FFFFFF"/>
                                <w:kern w:val="0"/>
                                <w:sz w:val="14"/>
                                <w:szCs w:val="14"/>
                                <w:lang w:eastAsia="en-IN"/>
                                <w14:ligatures w14:val="none"/>
                              </w:rPr>
                            </w:pPr>
                            <w:r w:rsidRPr="008C1A62">
                              <w:rPr>
                                <w:rFonts w:ascii="Cambria" w:eastAsia="Times New Roman" w:hAnsi="Cambria" w:cs="Arial"/>
                                <w:b/>
                                <w:bCs/>
                                <w:color w:val="FFFFFF"/>
                                <w:kern w:val="0"/>
                                <w:sz w:val="14"/>
                                <w:szCs w:val="14"/>
                                <w:lang w:eastAsia="en-IN"/>
                                <w14:ligatures w14:val="none"/>
                              </w:rPr>
                              <w:t> </w:t>
                            </w:r>
                          </w:p>
                        </w:tc>
                      </w:tr>
                      <w:tr w:rsidR="008C1A62" w:rsidRPr="008C1A62" w14:paraId="10FB9694" w14:textId="77777777" w:rsidTr="008C1A62">
                        <w:trPr>
                          <w:trHeight w:val="816"/>
                        </w:trPr>
                        <w:tc>
                          <w:tcPr>
                            <w:tcW w:w="1045" w:type="pct"/>
                            <w:tcBorders>
                              <w:top w:val="nil"/>
                              <w:left w:val="nil"/>
                              <w:bottom w:val="nil"/>
                              <w:right w:val="nil"/>
                            </w:tcBorders>
                            <w:shd w:val="clear" w:color="000000" w:fill="F0F0DC"/>
                            <w:vAlign w:val="bottom"/>
                            <w:hideMark/>
                          </w:tcPr>
                          <w:p w14:paraId="2FC3CA6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For the Fiscal Period Ending</w:t>
                            </w:r>
                          </w:p>
                        </w:tc>
                        <w:tc>
                          <w:tcPr>
                            <w:tcW w:w="565" w:type="pct"/>
                            <w:tcBorders>
                              <w:top w:val="nil"/>
                              <w:left w:val="nil"/>
                              <w:bottom w:val="nil"/>
                              <w:right w:val="nil"/>
                            </w:tcBorders>
                            <w:shd w:val="clear" w:color="000000" w:fill="F0F0DC"/>
                            <w:vAlign w:val="bottom"/>
                            <w:hideMark/>
                          </w:tcPr>
                          <w:p w14:paraId="0538838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Sep-01-2019</w:t>
                            </w:r>
                          </w:p>
                        </w:tc>
                        <w:tc>
                          <w:tcPr>
                            <w:tcW w:w="565" w:type="pct"/>
                            <w:tcBorders>
                              <w:top w:val="nil"/>
                              <w:left w:val="nil"/>
                              <w:bottom w:val="nil"/>
                              <w:right w:val="nil"/>
                            </w:tcBorders>
                            <w:shd w:val="clear" w:color="000000" w:fill="F0F0DC"/>
                            <w:vAlign w:val="bottom"/>
                            <w:hideMark/>
                          </w:tcPr>
                          <w:p w14:paraId="641B593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Aug-30-2020</w:t>
                            </w:r>
                          </w:p>
                        </w:tc>
                        <w:tc>
                          <w:tcPr>
                            <w:tcW w:w="565" w:type="pct"/>
                            <w:tcBorders>
                              <w:top w:val="nil"/>
                              <w:left w:val="nil"/>
                              <w:bottom w:val="nil"/>
                              <w:right w:val="nil"/>
                            </w:tcBorders>
                            <w:shd w:val="clear" w:color="000000" w:fill="F0F0DC"/>
                            <w:vAlign w:val="bottom"/>
                            <w:hideMark/>
                          </w:tcPr>
                          <w:p w14:paraId="083983A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Aug-29-2021</w:t>
                            </w:r>
                          </w:p>
                        </w:tc>
                        <w:tc>
                          <w:tcPr>
                            <w:tcW w:w="565" w:type="pct"/>
                            <w:tcBorders>
                              <w:top w:val="nil"/>
                              <w:left w:val="nil"/>
                              <w:bottom w:val="nil"/>
                              <w:right w:val="nil"/>
                            </w:tcBorders>
                            <w:shd w:val="clear" w:color="000000" w:fill="F0F0DC"/>
                            <w:vAlign w:val="bottom"/>
                            <w:hideMark/>
                          </w:tcPr>
                          <w:p w14:paraId="217C18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Aug-28-2022</w:t>
                            </w:r>
                          </w:p>
                        </w:tc>
                        <w:tc>
                          <w:tcPr>
                            <w:tcW w:w="565" w:type="pct"/>
                            <w:tcBorders>
                              <w:top w:val="nil"/>
                              <w:left w:val="nil"/>
                              <w:bottom w:val="nil"/>
                              <w:right w:val="nil"/>
                            </w:tcBorders>
                            <w:shd w:val="clear" w:color="000000" w:fill="F0F0DC"/>
                            <w:vAlign w:val="bottom"/>
                            <w:hideMark/>
                          </w:tcPr>
                          <w:p w14:paraId="30C1CC0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Sep-03-2023</w:t>
                            </w:r>
                          </w:p>
                        </w:tc>
                        <w:tc>
                          <w:tcPr>
                            <w:tcW w:w="565" w:type="pct"/>
                            <w:tcBorders>
                              <w:top w:val="nil"/>
                              <w:left w:val="nil"/>
                              <w:bottom w:val="nil"/>
                              <w:right w:val="nil"/>
                            </w:tcBorders>
                            <w:shd w:val="clear" w:color="000000" w:fill="F0F0DC"/>
                            <w:vAlign w:val="bottom"/>
                            <w:hideMark/>
                          </w:tcPr>
                          <w:p w14:paraId="15BC74B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12 months</w:t>
                            </w:r>
                            <w:r w:rsidRPr="008C1A62">
                              <w:rPr>
                                <w:rFonts w:ascii="Cambria" w:eastAsia="Times New Roman" w:hAnsi="Cambria" w:cs="Arial"/>
                                <w:b/>
                                <w:bCs/>
                                <w:color w:val="000000"/>
                                <w:kern w:val="0"/>
                                <w:sz w:val="14"/>
                                <w:szCs w:val="14"/>
                                <w:lang w:eastAsia="en-IN"/>
                                <w14:ligatures w14:val="none"/>
                              </w:rPr>
                              <w:br/>
                              <w:t>Sep-01-2024</w:t>
                            </w:r>
                          </w:p>
                        </w:tc>
                        <w:tc>
                          <w:tcPr>
                            <w:tcW w:w="565" w:type="pct"/>
                            <w:tcBorders>
                              <w:top w:val="nil"/>
                              <w:left w:val="nil"/>
                              <w:bottom w:val="nil"/>
                              <w:right w:val="nil"/>
                            </w:tcBorders>
                            <w:shd w:val="clear" w:color="000000" w:fill="F0F0DC"/>
                            <w:vAlign w:val="bottom"/>
                            <w:hideMark/>
                          </w:tcPr>
                          <w:p w14:paraId="79D58FD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LTM</w:t>
                            </w:r>
                            <w:r w:rsidRPr="008C1A62">
                              <w:rPr>
                                <w:rFonts w:ascii="Cambria" w:eastAsia="Times New Roman" w:hAnsi="Cambria" w:cs="Arial"/>
                                <w:b/>
                                <w:bCs/>
                                <w:color w:val="000000"/>
                                <w:kern w:val="0"/>
                                <w:sz w:val="14"/>
                                <w:szCs w:val="14"/>
                                <w:lang w:eastAsia="en-IN"/>
                                <w14:ligatures w14:val="none"/>
                              </w:rPr>
                              <w:br/>
                              <w:t>Press Release</w:t>
                            </w:r>
                            <w:r w:rsidRPr="008C1A62">
                              <w:rPr>
                                <w:rFonts w:ascii="Cambria" w:eastAsia="Times New Roman" w:hAnsi="Cambria" w:cs="Arial"/>
                                <w:b/>
                                <w:bCs/>
                                <w:color w:val="000000"/>
                                <w:kern w:val="0"/>
                                <w:sz w:val="14"/>
                                <w:szCs w:val="14"/>
                                <w:lang w:eastAsia="en-IN"/>
                                <w14:ligatures w14:val="none"/>
                              </w:rPr>
                              <w:br/>
                              <w:t>12 months</w:t>
                            </w:r>
                            <w:r w:rsidRPr="008C1A62">
                              <w:rPr>
                                <w:rFonts w:ascii="Cambria" w:eastAsia="Times New Roman" w:hAnsi="Cambria" w:cs="Arial"/>
                                <w:b/>
                                <w:bCs/>
                                <w:color w:val="000000"/>
                                <w:kern w:val="0"/>
                                <w:sz w:val="14"/>
                                <w:szCs w:val="14"/>
                                <w:lang w:eastAsia="en-IN"/>
                                <w14:ligatures w14:val="none"/>
                              </w:rPr>
                              <w:br/>
                              <w:t>Feb-16-2025</w:t>
                            </w:r>
                          </w:p>
                        </w:tc>
                      </w:tr>
                      <w:tr w:rsidR="008C1A62" w:rsidRPr="008C1A62" w14:paraId="239585F0" w14:textId="77777777" w:rsidTr="008C1A62">
                        <w:trPr>
                          <w:trHeight w:val="204"/>
                        </w:trPr>
                        <w:tc>
                          <w:tcPr>
                            <w:tcW w:w="1045" w:type="pct"/>
                            <w:tcBorders>
                              <w:top w:val="nil"/>
                              <w:left w:val="nil"/>
                              <w:bottom w:val="nil"/>
                              <w:right w:val="nil"/>
                            </w:tcBorders>
                            <w:shd w:val="clear" w:color="000000" w:fill="F0F0DC"/>
                            <w:vAlign w:val="bottom"/>
                            <w:hideMark/>
                          </w:tcPr>
                          <w:p w14:paraId="1ECC683C" w14:textId="77777777" w:rsidR="008C1A62" w:rsidRPr="008C1A62" w:rsidRDefault="008C1A62" w:rsidP="008C1A62">
                            <w:pPr>
                              <w:spacing w:after="0" w:line="240" w:lineRule="auto"/>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Currency</w:t>
                            </w:r>
                          </w:p>
                        </w:tc>
                        <w:tc>
                          <w:tcPr>
                            <w:tcW w:w="565" w:type="pct"/>
                            <w:tcBorders>
                              <w:top w:val="nil"/>
                              <w:left w:val="nil"/>
                              <w:bottom w:val="nil"/>
                              <w:right w:val="nil"/>
                            </w:tcBorders>
                            <w:shd w:val="clear" w:color="000000" w:fill="F0F0DC"/>
                            <w:vAlign w:val="bottom"/>
                            <w:hideMark/>
                          </w:tcPr>
                          <w:p w14:paraId="22C78FAE"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5CDFBD6F"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0E732025"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71A4F697"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6095062D"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501AC7FC"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c>
                          <w:tcPr>
                            <w:tcW w:w="565" w:type="pct"/>
                            <w:tcBorders>
                              <w:top w:val="nil"/>
                              <w:left w:val="nil"/>
                              <w:bottom w:val="nil"/>
                              <w:right w:val="nil"/>
                            </w:tcBorders>
                            <w:shd w:val="clear" w:color="000000" w:fill="F0F0DC"/>
                            <w:vAlign w:val="bottom"/>
                            <w:hideMark/>
                          </w:tcPr>
                          <w:p w14:paraId="2E76EE02" w14:textId="77777777" w:rsidR="008C1A62" w:rsidRPr="008C1A62" w:rsidRDefault="008C1A62" w:rsidP="008C1A62">
                            <w:pPr>
                              <w:spacing w:after="0" w:line="240" w:lineRule="auto"/>
                              <w:jc w:val="right"/>
                              <w:rPr>
                                <w:rFonts w:ascii="Cambria" w:eastAsia="Times New Roman" w:hAnsi="Cambria" w:cs="Arial"/>
                                <w:b/>
                                <w:bCs/>
                                <w:i/>
                                <w:iCs/>
                                <w:color w:val="000000"/>
                                <w:kern w:val="0"/>
                                <w:sz w:val="14"/>
                                <w:szCs w:val="14"/>
                                <w:lang w:eastAsia="en-IN"/>
                                <w14:ligatures w14:val="none"/>
                              </w:rPr>
                            </w:pPr>
                            <w:r w:rsidRPr="008C1A62">
                              <w:rPr>
                                <w:rFonts w:ascii="Cambria" w:eastAsia="Times New Roman" w:hAnsi="Cambria" w:cs="Arial"/>
                                <w:b/>
                                <w:bCs/>
                                <w:i/>
                                <w:iCs/>
                                <w:color w:val="000000"/>
                                <w:kern w:val="0"/>
                                <w:sz w:val="14"/>
                                <w:szCs w:val="14"/>
                                <w:lang w:eastAsia="en-IN"/>
                                <w14:ligatures w14:val="none"/>
                              </w:rPr>
                              <w:t>USD</w:t>
                            </w:r>
                          </w:p>
                        </w:tc>
                      </w:tr>
                      <w:tr w:rsidR="003C2F53" w:rsidRPr="008C1A62" w14:paraId="27ACED37" w14:textId="77777777" w:rsidTr="008C1A62">
                        <w:trPr>
                          <w:trHeight w:val="204"/>
                        </w:trPr>
                        <w:tc>
                          <w:tcPr>
                            <w:tcW w:w="1045" w:type="pct"/>
                            <w:tcBorders>
                              <w:top w:val="nil"/>
                              <w:left w:val="nil"/>
                              <w:bottom w:val="nil"/>
                              <w:right w:val="nil"/>
                            </w:tcBorders>
                            <w:noWrap/>
                            <w:hideMark/>
                          </w:tcPr>
                          <w:p w14:paraId="3A401F68"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Net Income</w:t>
                            </w:r>
                          </w:p>
                        </w:tc>
                        <w:tc>
                          <w:tcPr>
                            <w:tcW w:w="565" w:type="pct"/>
                            <w:tcBorders>
                              <w:top w:val="nil"/>
                              <w:left w:val="nil"/>
                              <w:bottom w:val="nil"/>
                              <w:right w:val="nil"/>
                            </w:tcBorders>
                            <w:hideMark/>
                          </w:tcPr>
                          <w:p w14:paraId="49019CB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3.7 </w:t>
                            </w:r>
                          </w:p>
                        </w:tc>
                        <w:tc>
                          <w:tcPr>
                            <w:tcW w:w="565" w:type="pct"/>
                            <w:tcBorders>
                              <w:top w:val="nil"/>
                              <w:left w:val="nil"/>
                              <w:bottom w:val="nil"/>
                              <w:right w:val="nil"/>
                            </w:tcBorders>
                            <w:hideMark/>
                          </w:tcPr>
                          <w:p w14:paraId="5DE6F53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4.0 </w:t>
                            </w:r>
                          </w:p>
                        </w:tc>
                        <w:tc>
                          <w:tcPr>
                            <w:tcW w:w="565" w:type="pct"/>
                            <w:tcBorders>
                              <w:top w:val="nil"/>
                              <w:left w:val="nil"/>
                              <w:bottom w:val="nil"/>
                              <w:right w:val="nil"/>
                            </w:tcBorders>
                            <w:hideMark/>
                          </w:tcPr>
                          <w:p w14:paraId="005966A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5.0 </w:t>
                            </w:r>
                          </w:p>
                        </w:tc>
                        <w:tc>
                          <w:tcPr>
                            <w:tcW w:w="565" w:type="pct"/>
                            <w:tcBorders>
                              <w:top w:val="nil"/>
                              <w:left w:val="nil"/>
                              <w:bottom w:val="nil"/>
                              <w:right w:val="nil"/>
                            </w:tcBorders>
                            <w:hideMark/>
                          </w:tcPr>
                          <w:p w14:paraId="00C3758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5.8 </w:t>
                            </w:r>
                          </w:p>
                        </w:tc>
                        <w:tc>
                          <w:tcPr>
                            <w:tcW w:w="565" w:type="pct"/>
                            <w:tcBorders>
                              <w:top w:val="nil"/>
                              <w:left w:val="nil"/>
                              <w:bottom w:val="nil"/>
                              <w:right w:val="nil"/>
                            </w:tcBorders>
                            <w:hideMark/>
                          </w:tcPr>
                          <w:p w14:paraId="657F73C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6.3 </w:t>
                            </w:r>
                          </w:p>
                        </w:tc>
                        <w:tc>
                          <w:tcPr>
                            <w:tcW w:w="565" w:type="pct"/>
                            <w:tcBorders>
                              <w:top w:val="nil"/>
                              <w:left w:val="nil"/>
                              <w:bottom w:val="nil"/>
                              <w:right w:val="nil"/>
                            </w:tcBorders>
                            <w:hideMark/>
                          </w:tcPr>
                          <w:p w14:paraId="6588D3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7.4 </w:t>
                            </w:r>
                          </w:p>
                        </w:tc>
                        <w:tc>
                          <w:tcPr>
                            <w:tcW w:w="565" w:type="pct"/>
                            <w:tcBorders>
                              <w:top w:val="nil"/>
                              <w:left w:val="nil"/>
                              <w:bottom w:val="nil"/>
                              <w:right w:val="nil"/>
                            </w:tcBorders>
                            <w:hideMark/>
                          </w:tcPr>
                          <w:p w14:paraId="4D35E55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7.6 </w:t>
                            </w:r>
                          </w:p>
                        </w:tc>
                      </w:tr>
                      <w:tr w:rsidR="003C2F53" w:rsidRPr="008C1A62" w14:paraId="69208FA2" w14:textId="77777777" w:rsidTr="008C1A62">
                        <w:trPr>
                          <w:trHeight w:val="204"/>
                        </w:trPr>
                        <w:tc>
                          <w:tcPr>
                            <w:tcW w:w="1045" w:type="pct"/>
                            <w:tcBorders>
                              <w:top w:val="nil"/>
                              <w:left w:val="nil"/>
                              <w:bottom w:val="nil"/>
                              <w:right w:val="nil"/>
                            </w:tcBorders>
                            <w:noWrap/>
                            <w:hideMark/>
                          </w:tcPr>
                          <w:p w14:paraId="301514F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Depreciation &amp; Amort.</w:t>
                            </w:r>
                          </w:p>
                        </w:tc>
                        <w:tc>
                          <w:tcPr>
                            <w:tcW w:w="565" w:type="pct"/>
                            <w:tcBorders>
                              <w:top w:val="nil"/>
                              <w:left w:val="nil"/>
                              <w:bottom w:val="nil"/>
                              <w:right w:val="nil"/>
                            </w:tcBorders>
                            <w:hideMark/>
                          </w:tcPr>
                          <w:p w14:paraId="33D16A1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03DF0C6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1.6 </w:t>
                            </w:r>
                          </w:p>
                        </w:tc>
                        <w:tc>
                          <w:tcPr>
                            <w:tcW w:w="565" w:type="pct"/>
                            <w:tcBorders>
                              <w:top w:val="nil"/>
                              <w:left w:val="nil"/>
                              <w:bottom w:val="nil"/>
                              <w:right w:val="nil"/>
                            </w:tcBorders>
                            <w:hideMark/>
                          </w:tcPr>
                          <w:p w14:paraId="1EECB4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65" w:type="pct"/>
                            <w:tcBorders>
                              <w:top w:val="nil"/>
                              <w:left w:val="nil"/>
                              <w:bottom w:val="nil"/>
                              <w:right w:val="nil"/>
                            </w:tcBorders>
                            <w:hideMark/>
                          </w:tcPr>
                          <w:p w14:paraId="79CCB2E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3CF726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c>
                          <w:tcPr>
                            <w:tcW w:w="565" w:type="pct"/>
                            <w:tcBorders>
                              <w:top w:val="nil"/>
                              <w:left w:val="nil"/>
                              <w:bottom w:val="nil"/>
                              <w:right w:val="nil"/>
                            </w:tcBorders>
                            <w:hideMark/>
                          </w:tcPr>
                          <w:p w14:paraId="708233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2.2 </w:t>
                            </w:r>
                          </w:p>
                        </w:tc>
                        <w:tc>
                          <w:tcPr>
                            <w:tcW w:w="565" w:type="pct"/>
                            <w:tcBorders>
                              <w:top w:val="nil"/>
                              <w:left w:val="nil"/>
                              <w:bottom w:val="nil"/>
                              <w:right w:val="nil"/>
                            </w:tcBorders>
                            <w:hideMark/>
                          </w:tcPr>
                          <w:p w14:paraId="4DFC74F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r>
                      <w:tr w:rsidR="003C2F53" w:rsidRPr="008C1A62" w14:paraId="5EF705B6" w14:textId="77777777" w:rsidTr="008C1A62">
                        <w:trPr>
                          <w:trHeight w:val="204"/>
                        </w:trPr>
                        <w:tc>
                          <w:tcPr>
                            <w:tcW w:w="1045" w:type="pct"/>
                            <w:tcBorders>
                              <w:top w:val="nil"/>
                              <w:left w:val="nil"/>
                              <w:bottom w:val="nil"/>
                              <w:right w:val="nil"/>
                            </w:tcBorders>
                            <w:noWrap/>
                            <w:hideMark/>
                          </w:tcPr>
                          <w:p w14:paraId="21331A8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Depreciation &amp; Amort., Total</w:t>
                            </w:r>
                          </w:p>
                        </w:tc>
                        <w:tc>
                          <w:tcPr>
                            <w:tcW w:w="565" w:type="pct"/>
                            <w:tcBorders>
                              <w:top w:val="single" w:sz="4" w:space="0" w:color="000000"/>
                              <w:left w:val="nil"/>
                              <w:bottom w:val="nil"/>
                              <w:right w:val="nil"/>
                            </w:tcBorders>
                            <w:hideMark/>
                          </w:tcPr>
                          <w:p w14:paraId="408CD334"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758F53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1.6 </w:t>
                            </w:r>
                          </w:p>
                        </w:tc>
                        <w:tc>
                          <w:tcPr>
                            <w:tcW w:w="565" w:type="pct"/>
                            <w:tcBorders>
                              <w:top w:val="single" w:sz="4" w:space="0" w:color="000000"/>
                              <w:left w:val="nil"/>
                              <w:bottom w:val="nil"/>
                              <w:right w:val="nil"/>
                            </w:tcBorders>
                            <w:hideMark/>
                          </w:tcPr>
                          <w:p w14:paraId="1692688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1.8 </w:t>
                            </w:r>
                          </w:p>
                        </w:tc>
                        <w:tc>
                          <w:tcPr>
                            <w:tcW w:w="565" w:type="pct"/>
                            <w:tcBorders>
                              <w:top w:val="single" w:sz="4" w:space="0" w:color="000000"/>
                              <w:left w:val="nil"/>
                              <w:bottom w:val="nil"/>
                              <w:right w:val="nil"/>
                            </w:tcBorders>
                            <w:hideMark/>
                          </w:tcPr>
                          <w:p w14:paraId="09C027D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1.9 </w:t>
                            </w:r>
                          </w:p>
                        </w:tc>
                        <w:tc>
                          <w:tcPr>
                            <w:tcW w:w="565" w:type="pct"/>
                            <w:tcBorders>
                              <w:top w:val="single" w:sz="4" w:space="0" w:color="000000"/>
                              <w:left w:val="nil"/>
                              <w:bottom w:val="nil"/>
                              <w:right w:val="nil"/>
                            </w:tcBorders>
                            <w:hideMark/>
                          </w:tcPr>
                          <w:p w14:paraId="2BC5D43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c>
                          <w:tcPr>
                            <w:tcW w:w="565" w:type="pct"/>
                            <w:tcBorders>
                              <w:top w:val="single" w:sz="4" w:space="0" w:color="000000"/>
                              <w:left w:val="nil"/>
                              <w:bottom w:val="nil"/>
                              <w:right w:val="nil"/>
                            </w:tcBorders>
                            <w:hideMark/>
                          </w:tcPr>
                          <w:p w14:paraId="5F6B7C7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2.2 </w:t>
                            </w:r>
                          </w:p>
                        </w:tc>
                        <w:tc>
                          <w:tcPr>
                            <w:tcW w:w="565" w:type="pct"/>
                            <w:tcBorders>
                              <w:top w:val="single" w:sz="4" w:space="0" w:color="000000"/>
                              <w:left w:val="nil"/>
                              <w:bottom w:val="nil"/>
                              <w:right w:val="nil"/>
                            </w:tcBorders>
                            <w:hideMark/>
                          </w:tcPr>
                          <w:p w14:paraId="3993322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2.3 </w:t>
                            </w:r>
                          </w:p>
                        </w:tc>
                      </w:tr>
                      <w:tr w:rsidR="003C2F53" w:rsidRPr="008C1A62" w14:paraId="073E0A47" w14:textId="77777777" w:rsidTr="008C1A62">
                        <w:trPr>
                          <w:trHeight w:val="204"/>
                        </w:trPr>
                        <w:tc>
                          <w:tcPr>
                            <w:tcW w:w="1045" w:type="pct"/>
                            <w:tcBorders>
                              <w:top w:val="nil"/>
                              <w:left w:val="nil"/>
                              <w:bottom w:val="nil"/>
                              <w:right w:val="nil"/>
                            </w:tcBorders>
                            <w:noWrap/>
                            <w:hideMark/>
                          </w:tcPr>
                          <w:p w14:paraId="45A2FC4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Asset </w:t>
                            </w:r>
                            <w:r w:rsidRPr="008C1A62">
                              <w:rPr>
                                <w:rFonts w:ascii="Cambria" w:eastAsia="Times New Roman" w:hAnsi="Cambria" w:cs="Arial"/>
                                <w:color w:val="000000"/>
                                <w:kern w:val="0"/>
                                <w:sz w:val="14"/>
                                <w:szCs w:val="14"/>
                                <w:lang w:eastAsia="en-IN"/>
                                <w14:ligatures w14:val="none"/>
                              </w:rPr>
                              <w:t>Writedown &amp; Restructuring Costs</w:t>
                            </w:r>
                          </w:p>
                        </w:tc>
                        <w:tc>
                          <w:tcPr>
                            <w:tcW w:w="565" w:type="pct"/>
                            <w:tcBorders>
                              <w:top w:val="nil"/>
                              <w:left w:val="nil"/>
                              <w:bottom w:val="nil"/>
                              <w:right w:val="nil"/>
                            </w:tcBorders>
                            <w:hideMark/>
                          </w:tcPr>
                          <w:p w14:paraId="18B4C52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9FC13B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68DA70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34CA27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2E006AB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6109F7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5668A2E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r>
                      <w:tr w:rsidR="003C2F53" w:rsidRPr="008C1A62" w14:paraId="18ED12F7" w14:textId="77777777" w:rsidTr="008C1A62">
                        <w:trPr>
                          <w:trHeight w:val="204"/>
                        </w:trPr>
                        <w:tc>
                          <w:tcPr>
                            <w:tcW w:w="1045" w:type="pct"/>
                            <w:tcBorders>
                              <w:top w:val="nil"/>
                              <w:left w:val="nil"/>
                              <w:bottom w:val="nil"/>
                              <w:right w:val="nil"/>
                            </w:tcBorders>
                            <w:noWrap/>
                            <w:hideMark/>
                          </w:tcPr>
                          <w:p w14:paraId="721D0C8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Stock-Based Compensation</w:t>
                            </w:r>
                          </w:p>
                        </w:tc>
                        <w:tc>
                          <w:tcPr>
                            <w:tcW w:w="565" w:type="pct"/>
                            <w:tcBorders>
                              <w:top w:val="nil"/>
                              <w:left w:val="nil"/>
                              <w:bottom w:val="nil"/>
                              <w:right w:val="nil"/>
                            </w:tcBorders>
                            <w:hideMark/>
                          </w:tcPr>
                          <w:p w14:paraId="5F765C8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5AC7830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32FA65E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4B2532C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6D18E10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6E7E2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79DFC74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r>
                      <w:tr w:rsidR="003C2F53" w:rsidRPr="008C1A62" w14:paraId="2767B92F" w14:textId="77777777" w:rsidTr="008C1A62">
                        <w:trPr>
                          <w:trHeight w:val="204"/>
                        </w:trPr>
                        <w:tc>
                          <w:tcPr>
                            <w:tcW w:w="1045" w:type="pct"/>
                            <w:tcBorders>
                              <w:top w:val="nil"/>
                              <w:left w:val="nil"/>
                              <w:bottom w:val="nil"/>
                              <w:right w:val="nil"/>
                            </w:tcBorders>
                            <w:noWrap/>
                            <w:hideMark/>
                          </w:tcPr>
                          <w:p w14:paraId="59FD404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Operating Activities</w:t>
                            </w:r>
                          </w:p>
                        </w:tc>
                        <w:tc>
                          <w:tcPr>
                            <w:tcW w:w="565" w:type="pct"/>
                            <w:tcBorders>
                              <w:top w:val="nil"/>
                              <w:left w:val="nil"/>
                              <w:bottom w:val="nil"/>
                              <w:right w:val="nil"/>
                            </w:tcBorders>
                            <w:hideMark/>
                          </w:tcPr>
                          <w:p w14:paraId="6398E17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7B0EE9C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062C27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6E8C58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0AEF1C3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1219749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7599C6A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r>
                      <w:tr w:rsidR="003C2F53" w:rsidRPr="008C1A62" w14:paraId="21ADC0CF" w14:textId="77777777" w:rsidTr="008C1A62">
                        <w:trPr>
                          <w:trHeight w:val="204"/>
                        </w:trPr>
                        <w:tc>
                          <w:tcPr>
                            <w:tcW w:w="1045" w:type="pct"/>
                            <w:tcBorders>
                              <w:top w:val="nil"/>
                              <w:left w:val="nil"/>
                              <w:bottom w:val="nil"/>
                              <w:right w:val="nil"/>
                            </w:tcBorders>
                            <w:noWrap/>
                            <w:hideMark/>
                          </w:tcPr>
                          <w:p w14:paraId="51380DE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Inventories</w:t>
                            </w:r>
                          </w:p>
                        </w:tc>
                        <w:tc>
                          <w:tcPr>
                            <w:tcW w:w="565" w:type="pct"/>
                            <w:tcBorders>
                              <w:top w:val="nil"/>
                              <w:left w:val="nil"/>
                              <w:bottom w:val="nil"/>
                              <w:right w:val="nil"/>
                            </w:tcBorders>
                            <w:hideMark/>
                          </w:tcPr>
                          <w:p w14:paraId="6E7B0C5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0196791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04B06C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7F4AE19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c>
                          <w:tcPr>
                            <w:tcW w:w="565" w:type="pct"/>
                            <w:tcBorders>
                              <w:top w:val="nil"/>
                              <w:left w:val="nil"/>
                              <w:bottom w:val="nil"/>
                              <w:right w:val="nil"/>
                            </w:tcBorders>
                            <w:hideMark/>
                          </w:tcPr>
                          <w:p w14:paraId="76BC6E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35FAF5D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c>
                          <w:tcPr>
                            <w:tcW w:w="565" w:type="pct"/>
                            <w:tcBorders>
                              <w:top w:val="nil"/>
                              <w:left w:val="nil"/>
                              <w:bottom w:val="nil"/>
                              <w:right w:val="nil"/>
                            </w:tcBorders>
                            <w:hideMark/>
                          </w:tcPr>
                          <w:p w14:paraId="77B624C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(2.1)  </w:t>
                            </w:r>
                          </w:p>
                        </w:tc>
                      </w:tr>
                      <w:tr w:rsidR="003C2F53" w:rsidRPr="008C1A62" w14:paraId="421FC876" w14:textId="77777777" w:rsidTr="008C1A62">
                        <w:trPr>
                          <w:trHeight w:val="204"/>
                        </w:trPr>
                        <w:tc>
                          <w:tcPr>
                            <w:tcW w:w="1045" w:type="pct"/>
                            <w:tcBorders>
                              <w:top w:val="nil"/>
                              <w:left w:val="nil"/>
                              <w:bottom w:val="nil"/>
                              <w:right w:val="nil"/>
                            </w:tcBorders>
                            <w:noWrap/>
                            <w:hideMark/>
                          </w:tcPr>
                          <w:p w14:paraId="21CA88D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Acc. Payable</w:t>
                            </w:r>
                          </w:p>
                        </w:tc>
                        <w:tc>
                          <w:tcPr>
                            <w:tcW w:w="565" w:type="pct"/>
                            <w:tcBorders>
                              <w:top w:val="nil"/>
                              <w:left w:val="nil"/>
                              <w:bottom w:val="nil"/>
                              <w:right w:val="nil"/>
                            </w:tcBorders>
                            <w:hideMark/>
                          </w:tcPr>
                          <w:p w14:paraId="71F13A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4E615E1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2.3 </w:t>
                            </w:r>
                          </w:p>
                        </w:tc>
                        <w:tc>
                          <w:tcPr>
                            <w:tcW w:w="565" w:type="pct"/>
                            <w:tcBorders>
                              <w:top w:val="nil"/>
                              <w:left w:val="nil"/>
                              <w:bottom w:val="nil"/>
                              <w:right w:val="nil"/>
                            </w:tcBorders>
                            <w:hideMark/>
                          </w:tcPr>
                          <w:p w14:paraId="08636A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1.8 </w:t>
                            </w:r>
                          </w:p>
                        </w:tc>
                        <w:tc>
                          <w:tcPr>
                            <w:tcW w:w="565" w:type="pct"/>
                            <w:tcBorders>
                              <w:top w:val="nil"/>
                              <w:left w:val="nil"/>
                              <w:bottom w:val="nil"/>
                              <w:right w:val="nil"/>
                            </w:tcBorders>
                            <w:hideMark/>
                          </w:tcPr>
                          <w:p w14:paraId="6907068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4D9196D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554D2B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c>
                          <w:tcPr>
                            <w:tcW w:w="565" w:type="pct"/>
                            <w:tcBorders>
                              <w:top w:val="nil"/>
                              <w:left w:val="nil"/>
                              <w:bottom w:val="nil"/>
                              <w:right w:val="nil"/>
                            </w:tcBorders>
                            <w:hideMark/>
                          </w:tcPr>
                          <w:p w14:paraId="022435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1.9 </w:t>
                            </w:r>
                          </w:p>
                        </w:tc>
                      </w:tr>
                      <w:tr w:rsidR="003C2F53" w:rsidRPr="008C1A62" w14:paraId="5F9C9C68" w14:textId="77777777" w:rsidTr="008C1A62">
                        <w:trPr>
                          <w:trHeight w:val="204"/>
                        </w:trPr>
                        <w:tc>
                          <w:tcPr>
                            <w:tcW w:w="1045" w:type="pct"/>
                            <w:tcBorders>
                              <w:top w:val="nil"/>
                              <w:left w:val="nil"/>
                              <w:bottom w:val="nil"/>
                              <w:right w:val="nil"/>
                            </w:tcBorders>
                            <w:noWrap/>
                            <w:hideMark/>
                          </w:tcPr>
                          <w:p w14:paraId="585A3FFE"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Change in Other Net Operating Assets</w:t>
                            </w:r>
                          </w:p>
                        </w:tc>
                        <w:tc>
                          <w:tcPr>
                            <w:tcW w:w="565" w:type="pct"/>
                            <w:tcBorders>
                              <w:top w:val="nil"/>
                              <w:left w:val="nil"/>
                              <w:bottom w:val="nil"/>
                              <w:right w:val="nil"/>
                            </w:tcBorders>
                            <w:hideMark/>
                          </w:tcPr>
                          <w:p w14:paraId="1955DE0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0.6 </w:t>
                            </w:r>
                          </w:p>
                        </w:tc>
                        <w:tc>
                          <w:tcPr>
                            <w:tcW w:w="565" w:type="pct"/>
                            <w:tcBorders>
                              <w:top w:val="nil"/>
                              <w:left w:val="nil"/>
                              <w:bottom w:val="nil"/>
                              <w:right w:val="nil"/>
                            </w:tcBorders>
                            <w:hideMark/>
                          </w:tcPr>
                          <w:p w14:paraId="0E3445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066D7CF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65" w:type="pct"/>
                            <w:tcBorders>
                              <w:top w:val="nil"/>
                              <w:left w:val="nil"/>
                              <w:bottom w:val="nil"/>
                              <w:right w:val="nil"/>
                            </w:tcBorders>
                            <w:hideMark/>
                          </w:tcPr>
                          <w:p w14:paraId="315EB2F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19058F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56935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303E42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r>
                      <w:tr w:rsidR="003C2F53" w:rsidRPr="008C1A62" w14:paraId="50816BBD" w14:textId="77777777" w:rsidTr="008C1A62">
                        <w:trPr>
                          <w:trHeight w:val="204"/>
                        </w:trPr>
                        <w:tc>
                          <w:tcPr>
                            <w:tcW w:w="1045" w:type="pct"/>
                            <w:tcBorders>
                              <w:top w:val="nil"/>
                              <w:left w:val="nil"/>
                              <w:bottom w:val="nil"/>
                              <w:right w:val="nil"/>
                            </w:tcBorders>
                            <w:noWrap/>
                            <w:hideMark/>
                          </w:tcPr>
                          <w:p w14:paraId="162919F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Ops.</w:t>
                            </w:r>
                          </w:p>
                        </w:tc>
                        <w:tc>
                          <w:tcPr>
                            <w:tcW w:w="565" w:type="pct"/>
                            <w:tcBorders>
                              <w:top w:val="single" w:sz="4" w:space="0" w:color="000000"/>
                              <w:left w:val="nil"/>
                              <w:bottom w:val="nil"/>
                              <w:right w:val="nil"/>
                            </w:tcBorders>
                            <w:hideMark/>
                          </w:tcPr>
                          <w:p w14:paraId="41D6374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6.4 </w:t>
                            </w:r>
                          </w:p>
                        </w:tc>
                        <w:tc>
                          <w:tcPr>
                            <w:tcW w:w="565" w:type="pct"/>
                            <w:tcBorders>
                              <w:top w:val="single" w:sz="4" w:space="0" w:color="000000"/>
                              <w:left w:val="nil"/>
                              <w:bottom w:val="nil"/>
                              <w:right w:val="nil"/>
                            </w:tcBorders>
                            <w:hideMark/>
                          </w:tcPr>
                          <w:p w14:paraId="5213861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8.9 </w:t>
                            </w:r>
                          </w:p>
                        </w:tc>
                        <w:tc>
                          <w:tcPr>
                            <w:tcW w:w="565" w:type="pct"/>
                            <w:tcBorders>
                              <w:top w:val="single" w:sz="4" w:space="0" w:color="000000"/>
                              <w:left w:val="nil"/>
                              <w:bottom w:val="nil"/>
                              <w:right w:val="nil"/>
                            </w:tcBorders>
                            <w:hideMark/>
                          </w:tcPr>
                          <w:p w14:paraId="520D193E"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9.0 </w:t>
                            </w:r>
                          </w:p>
                        </w:tc>
                        <w:tc>
                          <w:tcPr>
                            <w:tcW w:w="565" w:type="pct"/>
                            <w:tcBorders>
                              <w:top w:val="single" w:sz="4" w:space="0" w:color="000000"/>
                              <w:left w:val="nil"/>
                              <w:bottom w:val="nil"/>
                              <w:right w:val="nil"/>
                            </w:tcBorders>
                            <w:hideMark/>
                          </w:tcPr>
                          <w:p w14:paraId="5B8E526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7.4 </w:t>
                            </w:r>
                          </w:p>
                        </w:tc>
                        <w:tc>
                          <w:tcPr>
                            <w:tcW w:w="565" w:type="pct"/>
                            <w:tcBorders>
                              <w:top w:val="single" w:sz="4" w:space="0" w:color="000000"/>
                              <w:left w:val="nil"/>
                              <w:bottom w:val="nil"/>
                              <w:right w:val="nil"/>
                            </w:tcBorders>
                            <w:hideMark/>
                          </w:tcPr>
                          <w:p w14:paraId="7DFB8B4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11.1 </w:t>
                            </w:r>
                          </w:p>
                        </w:tc>
                        <w:tc>
                          <w:tcPr>
                            <w:tcW w:w="565" w:type="pct"/>
                            <w:tcBorders>
                              <w:top w:val="single" w:sz="4" w:space="0" w:color="000000"/>
                              <w:left w:val="nil"/>
                              <w:bottom w:val="nil"/>
                              <w:right w:val="nil"/>
                            </w:tcBorders>
                            <w:hideMark/>
                          </w:tcPr>
                          <w:p w14:paraId="361A676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11.3 </w:t>
                            </w:r>
                          </w:p>
                        </w:tc>
                        <w:tc>
                          <w:tcPr>
                            <w:tcW w:w="565" w:type="pct"/>
                            <w:tcBorders>
                              <w:top w:val="single" w:sz="4" w:space="0" w:color="000000"/>
                              <w:left w:val="nil"/>
                              <w:bottom w:val="nil"/>
                              <w:right w:val="nil"/>
                            </w:tcBorders>
                            <w:hideMark/>
                          </w:tcPr>
                          <w:p w14:paraId="2DFCA63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12.0 </w:t>
                            </w:r>
                          </w:p>
                        </w:tc>
                      </w:tr>
                      <w:tr w:rsidR="003C2F53" w:rsidRPr="008C1A62" w14:paraId="621BD5C5" w14:textId="77777777" w:rsidTr="008C1A62">
                        <w:trPr>
                          <w:trHeight w:val="204"/>
                        </w:trPr>
                        <w:tc>
                          <w:tcPr>
                            <w:tcW w:w="1045" w:type="pct"/>
                            <w:tcBorders>
                              <w:top w:val="nil"/>
                              <w:left w:val="nil"/>
                              <w:bottom w:val="nil"/>
                              <w:right w:val="nil"/>
                            </w:tcBorders>
                            <w:noWrap/>
                            <w:hideMark/>
                          </w:tcPr>
                          <w:p w14:paraId="100F10B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Capital Expenditure</w:t>
                            </w:r>
                          </w:p>
                        </w:tc>
                        <w:tc>
                          <w:tcPr>
                            <w:tcW w:w="565" w:type="pct"/>
                            <w:tcBorders>
                              <w:top w:val="nil"/>
                              <w:left w:val="nil"/>
                              <w:bottom w:val="nil"/>
                              <w:right w:val="nil"/>
                            </w:tcBorders>
                            <w:hideMark/>
                          </w:tcPr>
                          <w:p w14:paraId="2D02361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(3.0)  </w:t>
                            </w:r>
                          </w:p>
                        </w:tc>
                        <w:tc>
                          <w:tcPr>
                            <w:tcW w:w="565" w:type="pct"/>
                            <w:tcBorders>
                              <w:top w:val="nil"/>
                              <w:left w:val="nil"/>
                              <w:bottom w:val="nil"/>
                              <w:right w:val="nil"/>
                            </w:tcBorders>
                            <w:hideMark/>
                          </w:tcPr>
                          <w:p w14:paraId="48E308B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(2.8)  </w:t>
                            </w:r>
                          </w:p>
                        </w:tc>
                        <w:tc>
                          <w:tcPr>
                            <w:tcW w:w="565" w:type="pct"/>
                            <w:tcBorders>
                              <w:top w:val="nil"/>
                              <w:left w:val="nil"/>
                              <w:bottom w:val="nil"/>
                              <w:right w:val="nil"/>
                            </w:tcBorders>
                            <w:hideMark/>
                          </w:tcPr>
                          <w:p w14:paraId="48D2634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(3.6)  </w:t>
                            </w:r>
                          </w:p>
                        </w:tc>
                        <w:tc>
                          <w:tcPr>
                            <w:tcW w:w="565" w:type="pct"/>
                            <w:tcBorders>
                              <w:top w:val="nil"/>
                              <w:left w:val="nil"/>
                              <w:bottom w:val="nil"/>
                              <w:right w:val="nil"/>
                            </w:tcBorders>
                            <w:hideMark/>
                          </w:tcPr>
                          <w:p w14:paraId="4A38160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(3.9)  </w:t>
                            </w:r>
                          </w:p>
                        </w:tc>
                        <w:tc>
                          <w:tcPr>
                            <w:tcW w:w="565" w:type="pct"/>
                            <w:tcBorders>
                              <w:top w:val="nil"/>
                              <w:left w:val="nil"/>
                              <w:bottom w:val="nil"/>
                              <w:right w:val="nil"/>
                            </w:tcBorders>
                            <w:hideMark/>
                          </w:tcPr>
                          <w:p w14:paraId="64B1E5F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(4.3)  </w:t>
                            </w:r>
                          </w:p>
                        </w:tc>
                        <w:tc>
                          <w:tcPr>
                            <w:tcW w:w="565" w:type="pct"/>
                            <w:tcBorders>
                              <w:top w:val="nil"/>
                              <w:left w:val="nil"/>
                              <w:bottom w:val="nil"/>
                              <w:right w:val="nil"/>
                            </w:tcBorders>
                            <w:hideMark/>
                          </w:tcPr>
                          <w:p w14:paraId="17CFB28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(4.7)  </w:t>
                            </w:r>
                          </w:p>
                        </w:tc>
                        <w:tc>
                          <w:tcPr>
                            <w:tcW w:w="565" w:type="pct"/>
                            <w:tcBorders>
                              <w:top w:val="nil"/>
                              <w:left w:val="nil"/>
                              <w:bottom w:val="nil"/>
                              <w:right w:val="nil"/>
                            </w:tcBorders>
                            <w:hideMark/>
                          </w:tcPr>
                          <w:p w14:paraId="1601E7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(5.0)  </w:t>
                            </w:r>
                          </w:p>
                        </w:tc>
                      </w:tr>
                      <w:tr w:rsidR="003C2F53" w:rsidRPr="008C1A62" w14:paraId="376792D9" w14:textId="77777777" w:rsidTr="008C1A62">
                        <w:trPr>
                          <w:trHeight w:val="204"/>
                        </w:trPr>
                        <w:tc>
                          <w:tcPr>
                            <w:tcW w:w="1045" w:type="pct"/>
                            <w:tcBorders>
                              <w:top w:val="nil"/>
                              <w:left w:val="nil"/>
                              <w:bottom w:val="nil"/>
                              <w:right w:val="nil"/>
                            </w:tcBorders>
                            <w:noWrap/>
                            <w:hideMark/>
                          </w:tcPr>
                          <w:p w14:paraId="60E4DB74"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Cash Acquisitions</w:t>
                            </w:r>
                          </w:p>
                        </w:tc>
                        <w:tc>
                          <w:tcPr>
                            <w:tcW w:w="565" w:type="pct"/>
                            <w:tcBorders>
                              <w:top w:val="nil"/>
                              <w:left w:val="nil"/>
                              <w:bottom w:val="nil"/>
                              <w:right w:val="nil"/>
                            </w:tcBorders>
                            <w:hideMark/>
                          </w:tcPr>
                          <w:p w14:paraId="46C3D8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25FB90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0D4B56D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E4EEFD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552CE83"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4C94A2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92EE72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F0FD27A" w14:textId="77777777" w:rsidTr="008C1A62">
                        <w:trPr>
                          <w:trHeight w:val="204"/>
                        </w:trPr>
                        <w:tc>
                          <w:tcPr>
                            <w:tcW w:w="1045" w:type="pct"/>
                            <w:tcBorders>
                              <w:top w:val="nil"/>
                              <w:left w:val="nil"/>
                              <w:bottom w:val="nil"/>
                              <w:right w:val="nil"/>
                            </w:tcBorders>
                            <w:noWrap/>
                            <w:hideMark/>
                          </w:tcPr>
                          <w:p w14:paraId="1B795F1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Divestitures</w:t>
                            </w:r>
                          </w:p>
                        </w:tc>
                        <w:tc>
                          <w:tcPr>
                            <w:tcW w:w="565" w:type="pct"/>
                            <w:tcBorders>
                              <w:top w:val="nil"/>
                              <w:left w:val="nil"/>
                              <w:bottom w:val="nil"/>
                              <w:right w:val="nil"/>
                            </w:tcBorders>
                            <w:hideMark/>
                          </w:tcPr>
                          <w:p w14:paraId="1A4170B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B8DC5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8EE8D0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2A447E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366B83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6B5ED4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C5C615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8898BB7" w14:textId="77777777" w:rsidTr="008C1A62">
                        <w:trPr>
                          <w:trHeight w:val="204"/>
                        </w:trPr>
                        <w:tc>
                          <w:tcPr>
                            <w:tcW w:w="1045" w:type="pct"/>
                            <w:tcBorders>
                              <w:top w:val="nil"/>
                              <w:left w:val="nil"/>
                              <w:bottom w:val="nil"/>
                              <w:right w:val="nil"/>
                            </w:tcBorders>
                            <w:noWrap/>
                            <w:hideMark/>
                          </w:tcPr>
                          <w:p w14:paraId="0D0A53E3"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Invest. in Marketable &amp; Equity Securt.</w:t>
                            </w:r>
                          </w:p>
                        </w:tc>
                        <w:tc>
                          <w:tcPr>
                            <w:tcW w:w="565" w:type="pct"/>
                            <w:tcBorders>
                              <w:top w:val="nil"/>
                              <w:left w:val="nil"/>
                              <w:bottom w:val="nil"/>
                              <w:right w:val="nil"/>
                            </w:tcBorders>
                            <w:hideMark/>
                          </w:tcPr>
                          <w:p w14:paraId="6040DC7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3356B97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2116DEB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56A879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62E1854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(0.7)  </w:t>
                            </w:r>
                          </w:p>
                        </w:tc>
                        <w:tc>
                          <w:tcPr>
                            <w:tcW w:w="565" w:type="pct"/>
                            <w:tcBorders>
                              <w:top w:val="nil"/>
                              <w:left w:val="nil"/>
                              <w:bottom w:val="nil"/>
                              <w:right w:val="nil"/>
                            </w:tcBorders>
                            <w:hideMark/>
                          </w:tcPr>
                          <w:p w14:paraId="00C2B6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0.3 </w:t>
                            </w:r>
                          </w:p>
                        </w:tc>
                        <w:tc>
                          <w:tcPr>
                            <w:tcW w:w="565" w:type="pct"/>
                            <w:tcBorders>
                              <w:top w:val="nil"/>
                              <w:left w:val="nil"/>
                              <w:bottom w:val="nil"/>
                              <w:right w:val="nil"/>
                            </w:tcBorders>
                            <w:hideMark/>
                          </w:tcPr>
                          <w:p w14:paraId="48D4D8A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r>
                      <w:tr w:rsidR="003C2F53" w:rsidRPr="008C1A62" w14:paraId="6A13C045" w14:textId="77777777" w:rsidTr="008C1A62">
                        <w:trPr>
                          <w:trHeight w:val="204"/>
                        </w:trPr>
                        <w:tc>
                          <w:tcPr>
                            <w:tcW w:w="1045" w:type="pct"/>
                            <w:tcBorders>
                              <w:top w:val="nil"/>
                              <w:left w:val="nil"/>
                              <w:bottom w:val="nil"/>
                              <w:right w:val="nil"/>
                            </w:tcBorders>
                            <w:noWrap/>
                            <w:hideMark/>
                          </w:tcPr>
                          <w:p w14:paraId="3FC1BE20"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Net (Inc.) Dec. in Loans Originated/Sold</w:t>
                            </w:r>
                          </w:p>
                        </w:tc>
                        <w:tc>
                          <w:tcPr>
                            <w:tcW w:w="565" w:type="pct"/>
                            <w:tcBorders>
                              <w:top w:val="nil"/>
                              <w:left w:val="nil"/>
                              <w:bottom w:val="nil"/>
                              <w:right w:val="nil"/>
                            </w:tcBorders>
                            <w:hideMark/>
                          </w:tcPr>
                          <w:p w14:paraId="06A7B8E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B6C4EC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51612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AD9A13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7A0AC2E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9E3DE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5D8D29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0E0CEF8B" w14:textId="77777777" w:rsidTr="008C1A62">
                        <w:trPr>
                          <w:trHeight w:val="204"/>
                        </w:trPr>
                        <w:tc>
                          <w:tcPr>
                            <w:tcW w:w="1045" w:type="pct"/>
                            <w:tcBorders>
                              <w:top w:val="nil"/>
                              <w:left w:val="nil"/>
                              <w:bottom w:val="nil"/>
                              <w:right w:val="nil"/>
                            </w:tcBorders>
                            <w:noWrap/>
                            <w:hideMark/>
                          </w:tcPr>
                          <w:p w14:paraId="12C419F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Investing Activities</w:t>
                            </w:r>
                          </w:p>
                        </w:tc>
                        <w:tc>
                          <w:tcPr>
                            <w:tcW w:w="565" w:type="pct"/>
                            <w:tcBorders>
                              <w:top w:val="nil"/>
                              <w:left w:val="nil"/>
                              <w:bottom w:val="nil"/>
                              <w:right w:val="nil"/>
                            </w:tcBorders>
                            <w:hideMark/>
                          </w:tcPr>
                          <w:p w14:paraId="0824FF1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E5AA71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46C9DF3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49865A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4243948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35A563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24E8B24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r>
                      <w:tr w:rsidR="003C2F53" w:rsidRPr="008C1A62" w14:paraId="77C2E32B" w14:textId="77777777" w:rsidTr="008C1A62">
                        <w:trPr>
                          <w:trHeight w:val="204"/>
                        </w:trPr>
                        <w:tc>
                          <w:tcPr>
                            <w:tcW w:w="1045" w:type="pct"/>
                            <w:tcBorders>
                              <w:top w:val="nil"/>
                              <w:left w:val="nil"/>
                              <w:bottom w:val="nil"/>
                              <w:right w:val="nil"/>
                            </w:tcBorders>
                            <w:noWrap/>
                            <w:hideMark/>
                          </w:tcPr>
                          <w:p w14:paraId="214E6A7C"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Investing</w:t>
                            </w:r>
                          </w:p>
                        </w:tc>
                        <w:tc>
                          <w:tcPr>
                            <w:tcW w:w="565" w:type="pct"/>
                            <w:tcBorders>
                              <w:top w:val="single" w:sz="4" w:space="0" w:color="000000"/>
                              <w:left w:val="nil"/>
                              <w:bottom w:val="nil"/>
                              <w:right w:val="nil"/>
                            </w:tcBorders>
                            <w:hideMark/>
                          </w:tcPr>
                          <w:p w14:paraId="5857D95B"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(2.9)  </w:t>
                            </w:r>
                          </w:p>
                        </w:tc>
                        <w:tc>
                          <w:tcPr>
                            <w:tcW w:w="565" w:type="pct"/>
                            <w:tcBorders>
                              <w:top w:val="single" w:sz="4" w:space="0" w:color="000000"/>
                              <w:left w:val="nil"/>
                              <w:bottom w:val="nil"/>
                              <w:right w:val="nil"/>
                            </w:tcBorders>
                            <w:hideMark/>
                          </w:tcPr>
                          <w:p w14:paraId="3D3A6EB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c>
                          <w:tcPr>
                            <w:tcW w:w="565" w:type="pct"/>
                            <w:tcBorders>
                              <w:top w:val="single" w:sz="4" w:space="0" w:color="000000"/>
                              <w:left w:val="nil"/>
                              <w:bottom w:val="nil"/>
                              <w:right w:val="nil"/>
                            </w:tcBorders>
                            <w:hideMark/>
                          </w:tcPr>
                          <w:p w14:paraId="05B7647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(3.5)  </w:t>
                            </w:r>
                          </w:p>
                        </w:tc>
                        <w:tc>
                          <w:tcPr>
                            <w:tcW w:w="565" w:type="pct"/>
                            <w:tcBorders>
                              <w:top w:val="single" w:sz="4" w:space="0" w:color="000000"/>
                              <w:left w:val="nil"/>
                              <w:bottom w:val="nil"/>
                              <w:right w:val="nil"/>
                            </w:tcBorders>
                            <w:hideMark/>
                          </w:tcPr>
                          <w:p w14:paraId="6794E85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c>
                          <w:tcPr>
                            <w:tcW w:w="565" w:type="pct"/>
                            <w:tcBorders>
                              <w:top w:val="single" w:sz="4" w:space="0" w:color="000000"/>
                              <w:left w:val="nil"/>
                              <w:bottom w:val="nil"/>
                              <w:right w:val="nil"/>
                            </w:tcBorders>
                            <w:hideMark/>
                          </w:tcPr>
                          <w:p w14:paraId="56A3232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(5.0)  </w:t>
                            </w:r>
                          </w:p>
                        </w:tc>
                        <w:tc>
                          <w:tcPr>
                            <w:tcW w:w="565" w:type="pct"/>
                            <w:tcBorders>
                              <w:top w:val="single" w:sz="4" w:space="0" w:color="000000"/>
                              <w:left w:val="nil"/>
                              <w:bottom w:val="nil"/>
                              <w:right w:val="nil"/>
                            </w:tcBorders>
                            <w:hideMark/>
                          </w:tcPr>
                          <w:p w14:paraId="4B889A8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(4.4)  </w:t>
                            </w:r>
                          </w:p>
                        </w:tc>
                        <w:tc>
                          <w:tcPr>
                            <w:tcW w:w="565" w:type="pct"/>
                            <w:tcBorders>
                              <w:top w:val="single" w:sz="4" w:space="0" w:color="000000"/>
                              <w:left w:val="nil"/>
                              <w:bottom w:val="nil"/>
                              <w:right w:val="nil"/>
                            </w:tcBorders>
                            <w:hideMark/>
                          </w:tcPr>
                          <w:p w14:paraId="529D4DE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(4.7)  </w:t>
                            </w:r>
                          </w:p>
                        </w:tc>
                      </w:tr>
                      <w:tr w:rsidR="003C2F53" w:rsidRPr="008C1A62" w14:paraId="65F8EA46" w14:textId="77777777" w:rsidTr="008C1A62">
                        <w:trPr>
                          <w:trHeight w:val="204"/>
                        </w:trPr>
                        <w:tc>
                          <w:tcPr>
                            <w:tcW w:w="1045" w:type="pct"/>
                            <w:tcBorders>
                              <w:top w:val="nil"/>
                              <w:left w:val="nil"/>
                              <w:bottom w:val="nil"/>
                              <w:right w:val="nil"/>
                            </w:tcBorders>
                            <w:noWrap/>
                            <w:hideMark/>
                          </w:tcPr>
                          <w:p w14:paraId="0A91EEAC"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Debt Issued</w:t>
                            </w:r>
                          </w:p>
                        </w:tc>
                        <w:tc>
                          <w:tcPr>
                            <w:tcW w:w="565" w:type="pct"/>
                            <w:tcBorders>
                              <w:top w:val="nil"/>
                              <w:left w:val="nil"/>
                              <w:bottom w:val="nil"/>
                              <w:right w:val="nil"/>
                            </w:tcBorders>
                            <w:hideMark/>
                          </w:tcPr>
                          <w:p w14:paraId="1B7DEE5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92C44E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25B79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4A4E36F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359EAE6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239603C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4D1CD3D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63892823" w14:textId="77777777" w:rsidTr="008C1A62">
                        <w:trPr>
                          <w:trHeight w:val="204"/>
                        </w:trPr>
                        <w:tc>
                          <w:tcPr>
                            <w:tcW w:w="1045" w:type="pct"/>
                            <w:tcBorders>
                              <w:top w:val="nil"/>
                              <w:left w:val="nil"/>
                              <w:bottom w:val="nil"/>
                              <w:right w:val="nil"/>
                            </w:tcBorders>
                            <w:noWrap/>
                            <w:hideMark/>
                          </w:tcPr>
                          <w:p w14:paraId="19407E96"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 Issued</w:t>
                            </w:r>
                          </w:p>
                        </w:tc>
                        <w:tc>
                          <w:tcPr>
                            <w:tcW w:w="565" w:type="pct"/>
                            <w:tcBorders>
                              <w:top w:val="nil"/>
                              <w:left w:val="nil"/>
                              <w:bottom w:val="nil"/>
                              <w:right w:val="nil"/>
                            </w:tcBorders>
                            <w:hideMark/>
                          </w:tcPr>
                          <w:p w14:paraId="5A44FD5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23B7929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4.0 </w:t>
                            </w:r>
                          </w:p>
                        </w:tc>
                        <w:tc>
                          <w:tcPr>
                            <w:tcW w:w="565" w:type="pct"/>
                            <w:tcBorders>
                              <w:top w:val="nil"/>
                              <w:left w:val="nil"/>
                              <w:bottom w:val="nil"/>
                              <w:right w:val="nil"/>
                            </w:tcBorders>
                            <w:hideMark/>
                          </w:tcPr>
                          <w:p w14:paraId="547FE6E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9CAE8C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8516D4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6DA9CE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7BC22E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6B3E1D41" w14:textId="77777777" w:rsidTr="008C1A62">
                        <w:trPr>
                          <w:trHeight w:val="204"/>
                        </w:trPr>
                        <w:tc>
                          <w:tcPr>
                            <w:tcW w:w="1045" w:type="pct"/>
                            <w:tcBorders>
                              <w:top w:val="nil"/>
                              <w:left w:val="nil"/>
                              <w:bottom w:val="nil"/>
                              <w:right w:val="nil"/>
                            </w:tcBorders>
                            <w:noWrap/>
                            <w:hideMark/>
                          </w:tcPr>
                          <w:p w14:paraId="1FD5A83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Debt Issued</w:t>
                            </w:r>
                          </w:p>
                        </w:tc>
                        <w:tc>
                          <w:tcPr>
                            <w:tcW w:w="565" w:type="pct"/>
                            <w:tcBorders>
                              <w:top w:val="single" w:sz="4" w:space="0" w:color="000000"/>
                              <w:left w:val="nil"/>
                              <w:bottom w:val="nil"/>
                              <w:right w:val="nil"/>
                            </w:tcBorders>
                            <w:hideMark/>
                          </w:tcPr>
                          <w:p w14:paraId="62A26C1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0.5 </w:t>
                            </w:r>
                          </w:p>
                        </w:tc>
                        <w:tc>
                          <w:tcPr>
                            <w:tcW w:w="565" w:type="pct"/>
                            <w:tcBorders>
                              <w:top w:val="single" w:sz="4" w:space="0" w:color="000000"/>
                              <w:left w:val="nil"/>
                              <w:bottom w:val="nil"/>
                              <w:right w:val="nil"/>
                            </w:tcBorders>
                            <w:hideMark/>
                          </w:tcPr>
                          <w:p w14:paraId="0C18A33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4.0 </w:t>
                            </w:r>
                          </w:p>
                        </w:tc>
                        <w:tc>
                          <w:tcPr>
                            <w:tcW w:w="565" w:type="pct"/>
                            <w:tcBorders>
                              <w:top w:val="single" w:sz="4" w:space="0" w:color="000000"/>
                              <w:left w:val="nil"/>
                              <w:bottom w:val="nil"/>
                              <w:right w:val="nil"/>
                            </w:tcBorders>
                            <w:hideMark/>
                          </w:tcPr>
                          <w:p w14:paraId="283A430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0.0 </w:t>
                            </w:r>
                          </w:p>
                        </w:tc>
                        <w:tc>
                          <w:tcPr>
                            <w:tcW w:w="565" w:type="pct"/>
                            <w:tcBorders>
                              <w:top w:val="single" w:sz="4" w:space="0" w:color="000000"/>
                              <w:left w:val="nil"/>
                              <w:bottom w:val="nil"/>
                              <w:right w:val="nil"/>
                            </w:tcBorders>
                            <w:hideMark/>
                          </w:tcPr>
                          <w:p w14:paraId="5E2B544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0.1 </w:t>
                            </w:r>
                          </w:p>
                        </w:tc>
                        <w:tc>
                          <w:tcPr>
                            <w:tcW w:w="565" w:type="pct"/>
                            <w:tcBorders>
                              <w:top w:val="single" w:sz="4" w:space="0" w:color="000000"/>
                              <w:left w:val="nil"/>
                              <w:bottom w:val="nil"/>
                              <w:right w:val="nil"/>
                            </w:tcBorders>
                            <w:hideMark/>
                          </w:tcPr>
                          <w:p w14:paraId="3F4C88E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0.9 </w:t>
                            </w:r>
                          </w:p>
                        </w:tc>
                        <w:tc>
                          <w:tcPr>
                            <w:tcW w:w="565" w:type="pct"/>
                            <w:tcBorders>
                              <w:top w:val="single" w:sz="4" w:space="0" w:color="000000"/>
                              <w:left w:val="nil"/>
                              <w:bottom w:val="nil"/>
                              <w:right w:val="nil"/>
                            </w:tcBorders>
                            <w:hideMark/>
                          </w:tcPr>
                          <w:p w14:paraId="762DA5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1.4 </w:t>
                            </w:r>
                          </w:p>
                        </w:tc>
                        <w:tc>
                          <w:tcPr>
                            <w:tcW w:w="565" w:type="pct"/>
                            <w:tcBorders>
                              <w:top w:val="single" w:sz="4" w:space="0" w:color="000000"/>
                              <w:left w:val="nil"/>
                              <w:bottom w:val="nil"/>
                              <w:right w:val="nil"/>
                            </w:tcBorders>
                            <w:hideMark/>
                          </w:tcPr>
                          <w:p w14:paraId="50411136"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0.9 </w:t>
                            </w:r>
                          </w:p>
                        </w:tc>
                      </w:tr>
                      <w:tr w:rsidR="003C2F53" w:rsidRPr="008C1A62" w14:paraId="79B23E0B" w14:textId="77777777" w:rsidTr="008C1A62">
                        <w:trPr>
                          <w:trHeight w:val="204"/>
                        </w:trPr>
                        <w:tc>
                          <w:tcPr>
                            <w:tcW w:w="1045" w:type="pct"/>
                            <w:tcBorders>
                              <w:top w:val="nil"/>
                              <w:left w:val="nil"/>
                              <w:bottom w:val="nil"/>
                              <w:right w:val="nil"/>
                            </w:tcBorders>
                            <w:noWrap/>
                            <w:hideMark/>
                          </w:tcPr>
                          <w:p w14:paraId="48F5423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Short Term Debt Repaid</w:t>
                            </w:r>
                          </w:p>
                        </w:tc>
                        <w:tc>
                          <w:tcPr>
                            <w:tcW w:w="565" w:type="pct"/>
                            <w:tcBorders>
                              <w:top w:val="nil"/>
                              <w:left w:val="nil"/>
                              <w:bottom w:val="nil"/>
                              <w:right w:val="nil"/>
                            </w:tcBorders>
                            <w:hideMark/>
                          </w:tcPr>
                          <w:p w14:paraId="03FB39A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7DEF86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FEB9D1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2CF6853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861BDF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28C07F0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(0.9)  </w:t>
                            </w:r>
                          </w:p>
                        </w:tc>
                        <w:tc>
                          <w:tcPr>
                            <w:tcW w:w="565" w:type="pct"/>
                            <w:tcBorders>
                              <w:top w:val="nil"/>
                              <w:left w:val="nil"/>
                              <w:bottom w:val="nil"/>
                              <w:right w:val="nil"/>
                            </w:tcBorders>
                            <w:hideMark/>
                          </w:tcPr>
                          <w:p w14:paraId="7BD6C7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7171C65A" w14:textId="77777777" w:rsidTr="008C1A62">
                        <w:trPr>
                          <w:trHeight w:val="204"/>
                        </w:trPr>
                        <w:tc>
                          <w:tcPr>
                            <w:tcW w:w="1045" w:type="pct"/>
                            <w:tcBorders>
                              <w:top w:val="nil"/>
                              <w:left w:val="nil"/>
                              <w:bottom w:val="nil"/>
                              <w:right w:val="nil"/>
                            </w:tcBorders>
                            <w:noWrap/>
                            <w:hideMark/>
                          </w:tcPr>
                          <w:p w14:paraId="46031352"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Long-Term Debt Repaid</w:t>
                            </w:r>
                          </w:p>
                        </w:tc>
                        <w:tc>
                          <w:tcPr>
                            <w:tcW w:w="565" w:type="pct"/>
                            <w:tcBorders>
                              <w:top w:val="nil"/>
                              <w:left w:val="nil"/>
                              <w:bottom w:val="nil"/>
                              <w:right w:val="nil"/>
                            </w:tcBorders>
                            <w:hideMark/>
                          </w:tcPr>
                          <w:p w14:paraId="7F091D3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1BB2741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(3.2)  </w:t>
                            </w:r>
                          </w:p>
                        </w:tc>
                        <w:tc>
                          <w:tcPr>
                            <w:tcW w:w="565" w:type="pct"/>
                            <w:tcBorders>
                              <w:top w:val="nil"/>
                              <w:left w:val="nil"/>
                              <w:bottom w:val="nil"/>
                              <w:right w:val="nil"/>
                            </w:tcBorders>
                            <w:hideMark/>
                          </w:tcPr>
                          <w:p w14:paraId="281C575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624EAAC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7EFA3A6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(0.4)  </w:t>
                            </w:r>
                          </w:p>
                        </w:tc>
                        <w:tc>
                          <w:tcPr>
                            <w:tcW w:w="565" w:type="pct"/>
                            <w:tcBorders>
                              <w:top w:val="nil"/>
                              <w:left w:val="nil"/>
                              <w:bottom w:val="nil"/>
                              <w:right w:val="nil"/>
                            </w:tcBorders>
                            <w:hideMark/>
                          </w:tcPr>
                          <w:p w14:paraId="60A079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c>
                          <w:tcPr>
                            <w:tcW w:w="565" w:type="pct"/>
                            <w:tcBorders>
                              <w:top w:val="nil"/>
                              <w:left w:val="nil"/>
                              <w:bottom w:val="nil"/>
                              <w:right w:val="nil"/>
                            </w:tcBorders>
                            <w:hideMark/>
                          </w:tcPr>
                          <w:p w14:paraId="0758B70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03242AE8" w14:textId="77777777" w:rsidTr="008C1A62">
                        <w:trPr>
                          <w:trHeight w:val="204"/>
                        </w:trPr>
                        <w:tc>
                          <w:tcPr>
                            <w:tcW w:w="1045" w:type="pct"/>
                            <w:tcBorders>
                              <w:top w:val="nil"/>
                              <w:left w:val="nil"/>
                              <w:bottom w:val="nil"/>
                              <w:right w:val="nil"/>
                            </w:tcBorders>
                            <w:noWrap/>
                            <w:hideMark/>
                          </w:tcPr>
                          <w:p w14:paraId="34D369DA"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Debt Repaid</w:t>
                            </w:r>
                          </w:p>
                        </w:tc>
                        <w:tc>
                          <w:tcPr>
                            <w:tcW w:w="565" w:type="pct"/>
                            <w:tcBorders>
                              <w:top w:val="single" w:sz="4" w:space="0" w:color="000000"/>
                              <w:left w:val="nil"/>
                              <w:bottom w:val="nil"/>
                              <w:right w:val="nil"/>
                            </w:tcBorders>
                            <w:hideMark/>
                          </w:tcPr>
                          <w:p w14:paraId="2D908D1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(0.1)  </w:t>
                            </w:r>
                          </w:p>
                        </w:tc>
                        <w:tc>
                          <w:tcPr>
                            <w:tcW w:w="565" w:type="pct"/>
                            <w:tcBorders>
                              <w:top w:val="single" w:sz="4" w:space="0" w:color="000000"/>
                              <w:left w:val="nil"/>
                              <w:bottom w:val="nil"/>
                              <w:right w:val="nil"/>
                            </w:tcBorders>
                            <w:hideMark/>
                          </w:tcPr>
                          <w:p w14:paraId="1D825ED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(3.2)  </w:t>
                            </w:r>
                          </w:p>
                        </w:tc>
                        <w:tc>
                          <w:tcPr>
                            <w:tcW w:w="565" w:type="pct"/>
                            <w:tcBorders>
                              <w:top w:val="single" w:sz="4" w:space="0" w:color="000000"/>
                              <w:left w:val="nil"/>
                              <w:bottom w:val="nil"/>
                              <w:right w:val="nil"/>
                            </w:tcBorders>
                            <w:hideMark/>
                          </w:tcPr>
                          <w:p w14:paraId="2D7E092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(0.2)  </w:t>
                            </w:r>
                          </w:p>
                        </w:tc>
                        <w:tc>
                          <w:tcPr>
                            <w:tcW w:w="565" w:type="pct"/>
                            <w:tcBorders>
                              <w:top w:val="single" w:sz="4" w:space="0" w:color="000000"/>
                              <w:left w:val="nil"/>
                              <w:bottom w:val="nil"/>
                              <w:right w:val="nil"/>
                            </w:tcBorders>
                            <w:hideMark/>
                          </w:tcPr>
                          <w:p w14:paraId="5731A78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  </w:t>
                            </w:r>
                          </w:p>
                        </w:tc>
                        <w:tc>
                          <w:tcPr>
                            <w:tcW w:w="565" w:type="pct"/>
                            <w:tcBorders>
                              <w:top w:val="single" w:sz="4" w:space="0" w:color="000000"/>
                              <w:left w:val="nil"/>
                              <w:bottom w:val="nil"/>
                              <w:right w:val="nil"/>
                            </w:tcBorders>
                            <w:hideMark/>
                          </w:tcPr>
                          <w:p w14:paraId="26F4029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  </w:t>
                            </w:r>
                          </w:p>
                        </w:tc>
                        <w:tc>
                          <w:tcPr>
                            <w:tcW w:w="565" w:type="pct"/>
                            <w:tcBorders>
                              <w:top w:val="single" w:sz="4" w:space="0" w:color="000000"/>
                              <w:left w:val="nil"/>
                              <w:bottom w:val="nil"/>
                              <w:right w:val="nil"/>
                            </w:tcBorders>
                            <w:hideMark/>
                          </w:tcPr>
                          <w:p w14:paraId="7A15197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c>
                          <w:tcPr>
                            <w:tcW w:w="565" w:type="pct"/>
                            <w:tcBorders>
                              <w:top w:val="single" w:sz="4" w:space="0" w:color="000000"/>
                              <w:left w:val="nil"/>
                              <w:bottom w:val="nil"/>
                              <w:right w:val="nil"/>
                            </w:tcBorders>
                            <w:hideMark/>
                          </w:tcPr>
                          <w:p w14:paraId="167E378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(2.1)  </w:t>
                            </w:r>
                          </w:p>
                        </w:tc>
                      </w:tr>
                      <w:tr w:rsidR="003C2F53" w:rsidRPr="008C1A62" w14:paraId="2CE4C898" w14:textId="77777777" w:rsidTr="008C1A62">
                        <w:trPr>
                          <w:trHeight w:val="204"/>
                        </w:trPr>
                        <w:tc>
                          <w:tcPr>
                            <w:tcW w:w="1045" w:type="pct"/>
                            <w:tcBorders>
                              <w:top w:val="nil"/>
                              <w:left w:val="nil"/>
                              <w:bottom w:val="nil"/>
                              <w:right w:val="nil"/>
                            </w:tcBorders>
                            <w:noWrap/>
                            <w:hideMark/>
                          </w:tcPr>
                          <w:p w14:paraId="1D8EADFF"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Repurchase of Common Stock</w:t>
                            </w:r>
                          </w:p>
                        </w:tc>
                        <w:tc>
                          <w:tcPr>
                            <w:tcW w:w="565" w:type="pct"/>
                            <w:tcBorders>
                              <w:top w:val="nil"/>
                              <w:left w:val="nil"/>
                              <w:bottom w:val="nil"/>
                              <w:right w:val="nil"/>
                            </w:tcBorders>
                            <w:hideMark/>
                          </w:tcPr>
                          <w:p w14:paraId="05B5CD7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2A97C65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(0.5)  </w:t>
                            </w:r>
                          </w:p>
                        </w:tc>
                        <w:tc>
                          <w:tcPr>
                            <w:tcW w:w="565" w:type="pct"/>
                            <w:tcBorders>
                              <w:top w:val="nil"/>
                              <w:left w:val="nil"/>
                              <w:bottom w:val="nil"/>
                              <w:right w:val="nil"/>
                            </w:tcBorders>
                            <w:hideMark/>
                          </w:tcPr>
                          <w:p w14:paraId="1BA1B4D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25A3EB9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(0.8)  </w:t>
                            </w:r>
                          </w:p>
                        </w:tc>
                        <w:tc>
                          <w:tcPr>
                            <w:tcW w:w="565" w:type="pct"/>
                            <w:tcBorders>
                              <w:top w:val="nil"/>
                              <w:left w:val="nil"/>
                              <w:bottom w:val="nil"/>
                              <w:right w:val="nil"/>
                            </w:tcBorders>
                            <w:hideMark/>
                          </w:tcPr>
                          <w:p w14:paraId="1C918B8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16A33A3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0EFD77A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(1.2)  </w:t>
                            </w:r>
                          </w:p>
                        </w:tc>
                      </w:tr>
                      <w:tr w:rsidR="003C2F53" w:rsidRPr="008C1A62" w14:paraId="63E2DCB8" w14:textId="77777777" w:rsidTr="008C1A62">
                        <w:trPr>
                          <w:trHeight w:val="204"/>
                        </w:trPr>
                        <w:tc>
                          <w:tcPr>
                            <w:tcW w:w="1045" w:type="pct"/>
                            <w:tcBorders>
                              <w:top w:val="nil"/>
                              <w:left w:val="nil"/>
                              <w:bottom w:val="nil"/>
                              <w:right w:val="nil"/>
                            </w:tcBorders>
                            <w:noWrap/>
                            <w:hideMark/>
                          </w:tcPr>
                          <w:p w14:paraId="5FF03127"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Common Dividends Paid</w:t>
                            </w:r>
                          </w:p>
                        </w:tc>
                        <w:tc>
                          <w:tcPr>
                            <w:tcW w:w="565" w:type="pct"/>
                            <w:tcBorders>
                              <w:top w:val="nil"/>
                              <w:left w:val="nil"/>
                              <w:bottom w:val="nil"/>
                              <w:right w:val="nil"/>
                            </w:tcBorders>
                            <w:hideMark/>
                          </w:tcPr>
                          <w:p w14:paraId="1C9A9F6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(1.0)  </w:t>
                            </w:r>
                          </w:p>
                        </w:tc>
                        <w:tc>
                          <w:tcPr>
                            <w:tcW w:w="565" w:type="pct"/>
                            <w:tcBorders>
                              <w:top w:val="nil"/>
                              <w:left w:val="nil"/>
                              <w:bottom w:val="nil"/>
                              <w:right w:val="nil"/>
                            </w:tcBorders>
                            <w:hideMark/>
                          </w:tcPr>
                          <w:p w14:paraId="72E10987"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3E37703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(5.7)  </w:t>
                            </w:r>
                          </w:p>
                        </w:tc>
                        <w:tc>
                          <w:tcPr>
                            <w:tcW w:w="565" w:type="pct"/>
                            <w:tcBorders>
                              <w:top w:val="nil"/>
                              <w:left w:val="nil"/>
                              <w:bottom w:val="nil"/>
                              <w:right w:val="nil"/>
                            </w:tcBorders>
                            <w:hideMark/>
                          </w:tcPr>
                          <w:p w14:paraId="6FD89E4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(1.5)  </w:t>
                            </w:r>
                          </w:p>
                        </w:tc>
                        <w:tc>
                          <w:tcPr>
                            <w:tcW w:w="565" w:type="pct"/>
                            <w:tcBorders>
                              <w:top w:val="nil"/>
                              <w:left w:val="nil"/>
                              <w:bottom w:val="nil"/>
                              <w:right w:val="nil"/>
                            </w:tcBorders>
                            <w:hideMark/>
                          </w:tcPr>
                          <w:p w14:paraId="643E1C9B"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(1.3)  </w:t>
                            </w:r>
                          </w:p>
                        </w:tc>
                        <w:tc>
                          <w:tcPr>
                            <w:tcW w:w="565" w:type="pct"/>
                            <w:tcBorders>
                              <w:top w:val="nil"/>
                              <w:left w:val="nil"/>
                              <w:bottom w:val="nil"/>
                              <w:right w:val="nil"/>
                            </w:tcBorders>
                            <w:hideMark/>
                          </w:tcPr>
                          <w:p w14:paraId="3DDC535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(2.4)  </w:t>
                            </w:r>
                          </w:p>
                        </w:tc>
                        <w:tc>
                          <w:tcPr>
                            <w:tcW w:w="565" w:type="pct"/>
                            <w:tcBorders>
                              <w:top w:val="nil"/>
                              <w:left w:val="nil"/>
                              <w:bottom w:val="nil"/>
                              <w:right w:val="nil"/>
                            </w:tcBorders>
                            <w:hideMark/>
                          </w:tcPr>
                          <w:p w14:paraId="4875A25E"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r>
                      <w:tr w:rsidR="003C2F53" w:rsidRPr="008C1A62" w14:paraId="21139BCF" w14:textId="77777777" w:rsidTr="008C1A62">
                        <w:trPr>
                          <w:trHeight w:val="204"/>
                        </w:trPr>
                        <w:tc>
                          <w:tcPr>
                            <w:tcW w:w="1045" w:type="pct"/>
                            <w:tcBorders>
                              <w:top w:val="nil"/>
                              <w:left w:val="nil"/>
                              <w:bottom w:val="nil"/>
                              <w:right w:val="nil"/>
                            </w:tcBorders>
                            <w:noWrap/>
                            <w:hideMark/>
                          </w:tcPr>
                          <w:p w14:paraId="113A6041"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Total Dividends Paid</w:t>
                            </w:r>
                          </w:p>
                        </w:tc>
                        <w:tc>
                          <w:tcPr>
                            <w:tcW w:w="565" w:type="pct"/>
                            <w:tcBorders>
                              <w:top w:val="single" w:sz="4" w:space="0" w:color="000000"/>
                              <w:left w:val="nil"/>
                              <w:bottom w:val="nil"/>
                              <w:right w:val="nil"/>
                            </w:tcBorders>
                            <w:hideMark/>
                          </w:tcPr>
                          <w:p w14:paraId="078B563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  </w:t>
                            </w:r>
                          </w:p>
                        </w:tc>
                        <w:tc>
                          <w:tcPr>
                            <w:tcW w:w="565" w:type="pct"/>
                            <w:tcBorders>
                              <w:top w:val="single" w:sz="4" w:space="0" w:color="000000"/>
                              <w:left w:val="nil"/>
                              <w:bottom w:val="nil"/>
                              <w:right w:val="nil"/>
                            </w:tcBorders>
                            <w:hideMark/>
                          </w:tcPr>
                          <w:p w14:paraId="0776283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5AF2537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(5.7)  </w:t>
                            </w:r>
                          </w:p>
                        </w:tc>
                        <w:tc>
                          <w:tcPr>
                            <w:tcW w:w="565" w:type="pct"/>
                            <w:tcBorders>
                              <w:top w:val="single" w:sz="4" w:space="0" w:color="000000"/>
                              <w:left w:val="nil"/>
                              <w:bottom w:val="nil"/>
                              <w:right w:val="nil"/>
                            </w:tcBorders>
                            <w:hideMark/>
                          </w:tcPr>
                          <w:p w14:paraId="1D7A16D7"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(1.5)  </w:t>
                            </w:r>
                          </w:p>
                        </w:tc>
                        <w:tc>
                          <w:tcPr>
                            <w:tcW w:w="565" w:type="pct"/>
                            <w:tcBorders>
                              <w:top w:val="single" w:sz="4" w:space="0" w:color="000000"/>
                              <w:left w:val="nil"/>
                              <w:bottom w:val="nil"/>
                              <w:right w:val="nil"/>
                            </w:tcBorders>
                            <w:hideMark/>
                          </w:tcPr>
                          <w:p w14:paraId="6FCAF890"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(1.3)  </w:t>
                            </w:r>
                          </w:p>
                        </w:tc>
                        <w:tc>
                          <w:tcPr>
                            <w:tcW w:w="565" w:type="pct"/>
                            <w:tcBorders>
                              <w:top w:val="single" w:sz="4" w:space="0" w:color="000000"/>
                              <w:left w:val="nil"/>
                              <w:bottom w:val="nil"/>
                              <w:right w:val="nil"/>
                            </w:tcBorders>
                            <w:hideMark/>
                          </w:tcPr>
                          <w:p w14:paraId="58AEB0EF"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(2.4)  </w:t>
                            </w:r>
                          </w:p>
                        </w:tc>
                        <w:tc>
                          <w:tcPr>
                            <w:tcW w:w="565" w:type="pct"/>
                            <w:tcBorders>
                              <w:top w:val="single" w:sz="4" w:space="0" w:color="000000"/>
                              <w:left w:val="nil"/>
                              <w:bottom w:val="nil"/>
                              <w:right w:val="nil"/>
                            </w:tcBorders>
                            <w:hideMark/>
                          </w:tcPr>
                          <w:p w14:paraId="40C6AE2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w:t>
                            </w:r>
                          </w:p>
                        </w:tc>
                      </w:tr>
                      <w:tr w:rsidR="003C2F53" w:rsidRPr="008C1A62" w14:paraId="52CDE92B" w14:textId="77777777" w:rsidTr="008C1A62">
                        <w:trPr>
                          <w:trHeight w:val="204"/>
                        </w:trPr>
                        <w:tc>
                          <w:tcPr>
                            <w:tcW w:w="1045" w:type="pct"/>
                            <w:tcBorders>
                              <w:top w:val="nil"/>
                              <w:left w:val="nil"/>
                              <w:bottom w:val="nil"/>
                              <w:right w:val="nil"/>
                            </w:tcBorders>
                            <w:noWrap/>
                            <w:hideMark/>
                          </w:tcPr>
                          <w:p w14:paraId="084D09ED"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Special Dividend Paid</w:t>
                            </w:r>
                          </w:p>
                        </w:tc>
                        <w:tc>
                          <w:tcPr>
                            <w:tcW w:w="565" w:type="pct"/>
                            <w:tcBorders>
                              <w:top w:val="nil"/>
                              <w:left w:val="nil"/>
                              <w:bottom w:val="nil"/>
                              <w:right w:val="nil"/>
                            </w:tcBorders>
                            <w:hideMark/>
                          </w:tcPr>
                          <w:p w14:paraId="0E8285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404DB56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0035F011"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0476B0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3EE0F35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56E4EB29"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c>
                          <w:tcPr>
                            <w:tcW w:w="565" w:type="pct"/>
                            <w:tcBorders>
                              <w:top w:val="nil"/>
                              <w:left w:val="nil"/>
                              <w:bottom w:val="nil"/>
                              <w:right w:val="nil"/>
                            </w:tcBorders>
                            <w:hideMark/>
                          </w:tcPr>
                          <w:p w14:paraId="271E5C76"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(6.7)  </w:t>
                            </w:r>
                          </w:p>
                        </w:tc>
                      </w:tr>
                      <w:tr w:rsidR="003C2F53" w:rsidRPr="008C1A62" w14:paraId="2E702F03" w14:textId="77777777" w:rsidTr="008C1A62">
                        <w:trPr>
                          <w:trHeight w:val="204"/>
                        </w:trPr>
                        <w:tc>
                          <w:tcPr>
                            <w:tcW w:w="1045" w:type="pct"/>
                            <w:tcBorders>
                              <w:top w:val="nil"/>
                              <w:left w:val="nil"/>
                              <w:bottom w:val="nil"/>
                              <w:right w:val="nil"/>
                            </w:tcBorders>
                            <w:noWrap/>
                            <w:hideMark/>
                          </w:tcPr>
                          <w:p w14:paraId="4076E958"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Other Financing Activities</w:t>
                            </w:r>
                          </w:p>
                        </w:tc>
                        <w:tc>
                          <w:tcPr>
                            <w:tcW w:w="565" w:type="pct"/>
                            <w:tcBorders>
                              <w:top w:val="nil"/>
                              <w:left w:val="nil"/>
                              <w:bottom w:val="nil"/>
                              <w:right w:val="nil"/>
                            </w:tcBorders>
                            <w:hideMark/>
                          </w:tcPr>
                          <w:p w14:paraId="2CE29CD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0CA72BEA"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044C5A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03E2CFC"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(1.1)  </w:t>
                            </w:r>
                          </w:p>
                        </w:tc>
                        <w:tc>
                          <w:tcPr>
                            <w:tcW w:w="565" w:type="pct"/>
                            <w:tcBorders>
                              <w:top w:val="nil"/>
                              <w:left w:val="nil"/>
                              <w:bottom w:val="nil"/>
                              <w:right w:val="nil"/>
                            </w:tcBorders>
                            <w:hideMark/>
                          </w:tcPr>
                          <w:p w14:paraId="6C50662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636B151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w:t>
                            </w:r>
                          </w:p>
                        </w:tc>
                        <w:tc>
                          <w:tcPr>
                            <w:tcW w:w="565" w:type="pct"/>
                            <w:tcBorders>
                              <w:top w:val="nil"/>
                              <w:left w:val="nil"/>
                              <w:bottom w:val="nil"/>
                              <w:right w:val="nil"/>
                            </w:tcBorders>
                            <w:hideMark/>
                          </w:tcPr>
                          <w:p w14:paraId="1E1533C8"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5.1 </w:t>
                            </w:r>
                          </w:p>
                        </w:tc>
                      </w:tr>
                      <w:tr w:rsidR="003C2F53" w:rsidRPr="008C1A62" w14:paraId="63008E21" w14:textId="77777777" w:rsidTr="008C1A62">
                        <w:trPr>
                          <w:trHeight w:val="204"/>
                        </w:trPr>
                        <w:tc>
                          <w:tcPr>
                            <w:tcW w:w="1045" w:type="pct"/>
                            <w:tcBorders>
                              <w:top w:val="nil"/>
                              <w:left w:val="nil"/>
                              <w:bottom w:val="nil"/>
                              <w:right w:val="nil"/>
                            </w:tcBorders>
                            <w:noWrap/>
                            <w:hideMark/>
                          </w:tcPr>
                          <w:p w14:paraId="20C85823"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Cash from Financing</w:t>
                            </w:r>
                          </w:p>
                        </w:tc>
                        <w:tc>
                          <w:tcPr>
                            <w:tcW w:w="565" w:type="pct"/>
                            <w:tcBorders>
                              <w:top w:val="single" w:sz="4" w:space="0" w:color="000000"/>
                              <w:left w:val="nil"/>
                              <w:bottom w:val="nil"/>
                              <w:right w:val="nil"/>
                            </w:tcBorders>
                            <w:hideMark/>
                          </w:tcPr>
                          <w:p w14:paraId="40EA0C9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  </w:t>
                            </w:r>
                          </w:p>
                        </w:tc>
                        <w:tc>
                          <w:tcPr>
                            <w:tcW w:w="565" w:type="pct"/>
                            <w:tcBorders>
                              <w:top w:val="single" w:sz="4" w:space="0" w:color="000000"/>
                              <w:left w:val="nil"/>
                              <w:bottom w:val="nil"/>
                              <w:right w:val="nil"/>
                            </w:tcBorders>
                            <w:hideMark/>
                          </w:tcPr>
                          <w:p w14:paraId="6DF1901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(1.1)  </w:t>
                            </w:r>
                          </w:p>
                        </w:tc>
                        <w:tc>
                          <w:tcPr>
                            <w:tcW w:w="565" w:type="pct"/>
                            <w:tcBorders>
                              <w:top w:val="single" w:sz="4" w:space="0" w:color="000000"/>
                              <w:left w:val="nil"/>
                              <w:bottom w:val="nil"/>
                              <w:right w:val="nil"/>
                            </w:tcBorders>
                            <w:hideMark/>
                          </w:tcPr>
                          <w:p w14:paraId="67327629"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(6.5)  </w:t>
                            </w:r>
                          </w:p>
                        </w:tc>
                        <w:tc>
                          <w:tcPr>
                            <w:tcW w:w="565" w:type="pct"/>
                            <w:tcBorders>
                              <w:top w:val="single" w:sz="4" w:space="0" w:color="000000"/>
                              <w:left w:val="nil"/>
                              <w:bottom w:val="nil"/>
                              <w:right w:val="nil"/>
                            </w:tcBorders>
                            <w:hideMark/>
                          </w:tcPr>
                          <w:p w14:paraId="15EBE3A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(4.3)  </w:t>
                            </w:r>
                          </w:p>
                        </w:tc>
                        <w:tc>
                          <w:tcPr>
                            <w:tcW w:w="565" w:type="pct"/>
                            <w:tcBorders>
                              <w:top w:val="single" w:sz="4" w:space="0" w:color="000000"/>
                              <w:left w:val="nil"/>
                              <w:bottom w:val="nil"/>
                              <w:right w:val="nil"/>
                            </w:tcBorders>
                            <w:hideMark/>
                          </w:tcPr>
                          <w:p w14:paraId="15885E1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(2.6)  </w:t>
                            </w:r>
                          </w:p>
                        </w:tc>
                        <w:tc>
                          <w:tcPr>
                            <w:tcW w:w="565" w:type="pct"/>
                            <w:tcBorders>
                              <w:top w:val="single" w:sz="4" w:space="0" w:color="000000"/>
                              <w:left w:val="nil"/>
                              <w:bottom w:val="nil"/>
                              <w:right w:val="nil"/>
                            </w:tcBorders>
                            <w:hideMark/>
                          </w:tcPr>
                          <w:p w14:paraId="2B8DB66D"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(10.8)  </w:t>
                            </w:r>
                          </w:p>
                        </w:tc>
                        <w:tc>
                          <w:tcPr>
                            <w:tcW w:w="565" w:type="pct"/>
                            <w:tcBorders>
                              <w:top w:val="single" w:sz="4" w:space="0" w:color="000000"/>
                              <w:left w:val="nil"/>
                              <w:bottom w:val="nil"/>
                              <w:right w:val="nil"/>
                            </w:tcBorders>
                            <w:hideMark/>
                          </w:tcPr>
                          <w:p w14:paraId="769C3DEC"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(3.9)  </w:t>
                            </w:r>
                          </w:p>
                        </w:tc>
                      </w:tr>
                      <w:tr w:rsidR="003C2F53" w:rsidRPr="008C1A62" w14:paraId="53E49B81" w14:textId="77777777" w:rsidTr="008C1A62">
                        <w:trPr>
                          <w:trHeight w:val="204"/>
                        </w:trPr>
                        <w:tc>
                          <w:tcPr>
                            <w:tcW w:w="1045" w:type="pct"/>
                            <w:tcBorders>
                              <w:top w:val="nil"/>
                              <w:left w:val="nil"/>
                              <w:bottom w:val="nil"/>
                              <w:right w:val="nil"/>
                            </w:tcBorders>
                            <w:noWrap/>
                            <w:hideMark/>
                          </w:tcPr>
                          <w:p w14:paraId="27596A85" w14:textId="77777777" w:rsidR="008C1A62" w:rsidRPr="008C1A62" w:rsidRDefault="008C1A62" w:rsidP="008C1A62">
                            <w:pPr>
                              <w:spacing w:after="0" w:line="240" w:lineRule="auto"/>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Foreign Exchange Rate Adj.</w:t>
                            </w:r>
                          </w:p>
                        </w:tc>
                        <w:tc>
                          <w:tcPr>
                            <w:tcW w:w="565" w:type="pct"/>
                            <w:tcBorders>
                              <w:top w:val="nil"/>
                              <w:left w:val="nil"/>
                              <w:bottom w:val="nil"/>
                              <w:right w:val="nil"/>
                            </w:tcBorders>
                            <w:hideMark/>
                          </w:tcPr>
                          <w:p w14:paraId="2C5844B0"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 </w:t>
                            </w:r>
                          </w:p>
                        </w:tc>
                        <w:tc>
                          <w:tcPr>
                            <w:tcW w:w="565" w:type="pct"/>
                            <w:tcBorders>
                              <w:top w:val="nil"/>
                              <w:left w:val="nil"/>
                              <w:bottom w:val="nil"/>
                              <w:right w:val="nil"/>
                            </w:tcBorders>
                            <w:hideMark/>
                          </w:tcPr>
                          <w:p w14:paraId="514FDBA5"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c>
                          <w:tcPr>
                            <w:tcW w:w="565" w:type="pct"/>
                            <w:tcBorders>
                              <w:top w:val="nil"/>
                              <w:left w:val="nil"/>
                              <w:bottom w:val="nil"/>
                              <w:right w:val="nil"/>
                            </w:tcBorders>
                            <w:hideMark/>
                          </w:tcPr>
                          <w:p w14:paraId="7FAA1C42"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3C0B0F9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(0.2)  </w:t>
                            </w:r>
                          </w:p>
                        </w:tc>
                        <w:tc>
                          <w:tcPr>
                            <w:tcW w:w="565" w:type="pct"/>
                            <w:tcBorders>
                              <w:top w:val="nil"/>
                              <w:left w:val="nil"/>
                              <w:bottom w:val="nil"/>
                              <w:right w:val="nil"/>
                            </w:tcBorders>
                            <w:hideMark/>
                          </w:tcPr>
                          <w:p w14:paraId="0F61877F"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2B97C7BD"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0.0 </w:t>
                            </w:r>
                          </w:p>
                        </w:tc>
                        <w:tc>
                          <w:tcPr>
                            <w:tcW w:w="565" w:type="pct"/>
                            <w:tcBorders>
                              <w:top w:val="nil"/>
                              <w:left w:val="nil"/>
                              <w:bottom w:val="nil"/>
                              <w:right w:val="nil"/>
                            </w:tcBorders>
                            <w:hideMark/>
                          </w:tcPr>
                          <w:p w14:paraId="78D664C4" w14:textId="77777777" w:rsidR="008C1A62" w:rsidRPr="008C1A62" w:rsidRDefault="008C1A62" w:rsidP="008C1A62">
                            <w:pPr>
                              <w:spacing w:after="0" w:line="240" w:lineRule="auto"/>
                              <w:jc w:val="right"/>
                              <w:rPr>
                                <w:rFonts w:ascii="Cambria" w:eastAsia="Times New Roman" w:hAnsi="Cambria" w:cs="Arial"/>
                                <w:color w:val="000000"/>
                                <w:kern w:val="0"/>
                                <w:sz w:val="14"/>
                                <w:szCs w:val="14"/>
                                <w:lang w:eastAsia="en-IN"/>
                                <w14:ligatures w14:val="none"/>
                              </w:rPr>
                            </w:pPr>
                            <w:r w:rsidRPr="008C1A62">
                              <w:rPr>
                                <w:rFonts w:ascii="Cambria" w:eastAsia="Times New Roman" w:hAnsi="Cambria" w:cs="Arial"/>
                                <w:color w:val="000000"/>
                                <w:kern w:val="0"/>
                                <w:sz w:val="14"/>
                                <w:szCs w:val="14"/>
                                <w:lang w:eastAsia="en-IN"/>
                                <w14:ligatures w14:val="none"/>
                              </w:rPr>
                              <w:t xml:space="preserve">                       (0.1)  </w:t>
                            </w:r>
                          </w:p>
                        </w:tc>
                      </w:tr>
                      <w:tr w:rsidR="003C2F53" w:rsidRPr="008C1A62" w14:paraId="2BE3E2CD" w14:textId="77777777" w:rsidTr="008C1A62">
                        <w:trPr>
                          <w:trHeight w:val="204"/>
                        </w:trPr>
                        <w:tc>
                          <w:tcPr>
                            <w:tcW w:w="1045" w:type="pct"/>
                            <w:tcBorders>
                              <w:top w:val="nil"/>
                              <w:left w:val="nil"/>
                              <w:bottom w:val="nil"/>
                              <w:right w:val="nil"/>
                            </w:tcBorders>
                            <w:noWrap/>
                            <w:hideMark/>
                          </w:tcPr>
                          <w:p w14:paraId="042E77B6" w14:textId="77777777" w:rsidR="008C1A62" w:rsidRPr="008C1A62" w:rsidRDefault="008C1A62" w:rsidP="008C1A62">
                            <w:pPr>
                              <w:spacing w:after="0" w:line="240" w:lineRule="auto"/>
                              <w:rPr>
                                <w:rFonts w:ascii="Cambria" w:eastAsia="Times New Roman" w:hAnsi="Cambria" w:cs="Arial"/>
                                <w:b/>
                                <w:bCs/>
                                <w:color w:val="000000"/>
                                <w:kern w:val="0"/>
                                <w:sz w:val="14"/>
                                <w:szCs w:val="14"/>
                                <w:lang w:eastAsia="en-IN"/>
                                <w14:ligatures w14:val="none"/>
                              </w:rPr>
                            </w:pPr>
                            <w:r w:rsidRPr="008C1A62">
                              <w:rPr>
                                <w:rFonts w:ascii="Cambria" w:eastAsia="Times New Roman" w:hAnsi="Cambria" w:cs="Arial"/>
                                <w:b/>
                                <w:bCs/>
                                <w:color w:val="000000"/>
                                <w:kern w:val="0"/>
                                <w:sz w:val="14"/>
                                <w:szCs w:val="14"/>
                                <w:lang w:eastAsia="en-IN"/>
                                <w14:ligatures w14:val="none"/>
                              </w:rPr>
                              <w:t xml:space="preserve">  Net Change in Cash</w:t>
                            </w:r>
                          </w:p>
                        </w:tc>
                        <w:tc>
                          <w:tcPr>
                            <w:tcW w:w="565" w:type="pct"/>
                            <w:tcBorders>
                              <w:top w:val="single" w:sz="4" w:space="0" w:color="000000"/>
                              <w:left w:val="nil"/>
                              <w:bottom w:val="nil"/>
                              <w:right w:val="nil"/>
                            </w:tcBorders>
                            <w:hideMark/>
                          </w:tcPr>
                          <w:p w14:paraId="05B33E6A"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2.3 </w:t>
                            </w:r>
                          </w:p>
                        </w:tc>
                        <w:tc>
                          <w:tcPr>
                            <w:tcW w:w="565" w:type="pct"/>
                            <w:tcBorders>
                              <w:top w:val="single" w:sz="4" w:space="0" w:color="000000"/>
                              <w:left w:val="nil"/>
                              <w:bottom w:val="nil"/>
                              <w:right w:val="nil"/>
                            </w:tcBorders>
                            <w:hideMark/>
                          </w:tcPr>
                          <w:p w14:paraId="486E0BF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3.9 </w:t>
                            </w:r>
                          </w:p>
                        </w:tc>
                        <w:tc>
                          <w:tcPr>
                            <w:tcW w:w="565" w:type="pct"/>
                            <w:tcBorders>
                              <w:top w:val="single" w:sz="4" w:space="0" w:color="000000"/>
                              <w:left w:val="nil"/>
                              <w:bottom w:val="nil"/>
                              <w:right w:val="nil"/>
                            </w:tcBorders>
                            <w:hideMark/>
                          </w:tcPr>
                          <w:p w14:paraId="40CD3FE5"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(1.0)  </w:t>
                            </w:r>
                          </w:p>
                        </w:tc>
                        <w:tc>
                          <w:tcPr>
                            <w:tcW w:w="565" w:type="pct"/>
                            <w:tcBorders>
                              <w:top w:val="single" w:sz="4" w:space="0" w:color="000000"/>
                              <w:left w:val="nil"/>
                              <w:bottom w:val="nil"/>
                              <w:right w:val="nil"/>
                            </w:tcBorders>
                            <w:hideMark/>
                          </w:tcPr>
                          <w:p w14:paraId="1D190D22"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(1.1)  </w:t>
                            </w:r>
                          </w:p>
                        </w:tc>
                        <w:tc>
                          <w:tcPr>
                            <w:tcW w:w="565" w:type="pct"/>
                            <w:tcBorders>
                              <w:top w:val="single" w:sz="4" w:space="0" w:color="000000"/>
                              <w:left w:val="nil"/>
                              <w:bottom w:val="nil"/>
                              <w:right w:val="nil"/>
                            </w:tcBorders>
                            <w:hideMark/>
                          </w:tcPr>
                          <w:p w14:paraId="65199C21"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3.5 </w:t>
                            </w:r>
                          </w:p>
                        </w:tc>
                        <w:tc>
                          <w:tcPr>
                            <w:tcW w:w="565" w:type="pct"/>
                            <w:tcBorders>
                              <w:top w:val="single" w:sz="4" w:space="0" w:color="000000"/>
                              <w:left w:val="nil"/>
                              <w:bottom w:val="nil"/>
                              <w:right w:val="nil"/>
                            </w:tcBorders>
                            <w:hideMark/>
                          </w:tcPr>
                          <w:p w14:paraId="22878278"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(3.8)  </w:t>
                            </w:r>
                          </w:p>
                        </w:tc>
                        <w:tc>
                          <w:tcPr>
                            <w:tcW w:w="565" w:type="pct"/>
                            <w:tcBorders>
                              <w:top w:val="single" w:sz="4" w:space="0" w:color="000000"/>
                              <w:left w:val="nil"/>
                              <w:bottom w:val="nil"/>
                              <w:right w:val="nil"/>
                            </w:tcBorders>
                            <w:hideMark/>
                          </w:tcPr>
                          <w:p w14:paraId="43A4FF53" w14:textId="77777777" w:rsidR="008C1A62" w:rsidRPr="008C1A62" w:rsidRDefault="008C1A62" w:rsidP="008C1A62">
                            <w:pPr>
                              <w:spacing w:after="0" w:line="240" w:lineRule="auto"/>
                              <w:jc w:val="right"/>
                              <w:rPr>
                                <w:rFonts w:ascii="Cambria" w:eastAsia="Times New Roman" w:hAnsi="Cambria" w:cs="Arial"/>
                                <w:b/>
                                <w:bCs/>
                                <w:color w:val="000000"/>
                                <w:kern w:val="0"/>
                                <w:sz w:val="14"/>
                                <w:szCs w:val="14"/>
                                <w:u w:val="double"/>
                                <w:lang w:eastAsia="en-IN"/>
                                <w14:ligatures w14:val="none"/>
                              </w:rPr>
                            </w:pPr>
                            <w:r w:rsidRPr="008C1A62">
                              <w:rPr>
                                <w:rFonts w:ascii="Cambria" w:eastAsia="Times New Roman" w:hAnsi="Cambria" w:cs="Arial"/>
                                <w:b/>
                                <w:bCs/>
                                <w:color w:val="000000"/>
                                <w:kern w:val="0"/>
                                <w:sz w:val="14"/>
                                <w:szCs w:val="14"/>
                                <w:u w:val="double"/>
                                <w:lang w:eastAsia="en-IN"/>
                                <w14:ligatures w14:val="none"/>
                              </w:rPr>
                              <w:t xml:space="preserve">                          3.3 </w:t>
                            </w:r>
                          </w:p>
                        </w:tc>
                      </w:tr>
                    </w:tbl>
                    <w:p w14:paraId="6E88924D" w14:textId="27EA7E93" w:rsidR="008C1A62" w:rsidRDefault="008C1A62"/>
                  </w:txbxContent>
                </v:textbox>
                <w10:wrap type="square" anchorx="margin"/>
              </v:shape>
            </w:pict>
          </mc:Fallback>
        </mc:AlternateContent>
      </w:r>
      <w:r w:rsidRPr="00456405">
        <w:rPr>
          <w:rFonts w:ascii="Cambria" w:hAnsi="Cambria"/>
          <w:sz w:val="24"/>
          <w:szCs w:val="24"/>
        </w:rPr>
        <w:br/>
      </w:r>
      <w:r w:rsidRPr="00456405">
        <w:rPr>
          <w:rFonts w:ascii="Cambria" w:hAnsi="Cambria"/>
          <w:sz w:val="24"/>
          <w:szCs w:val="24"/>
        </w:rPr>
        <w:br/>
      </w:r>
      <w:r w:rsidRPr="00456405">
        <w:rPr>
          <w:rFonts w:ascii="Cambria" w:hAnsi="Cambria"/>
          <w:sz w:val="24"/>
          <w:szCs w:val="24"/>
        </w:rPr>
        <w:br/>
      </w:r>
      <w:r w:rsidRPr="00456405">
        <w:rPr>
          <w:rFonts w:ascii="Cambria" w:hAnsi="Cambria"/>
          <w:sz w:val="24"/>
          <w:szCs w:val="24"/>
        </w:rPr>
        <w:br/>
      </w:r>
      <w:r w:rsidRPr="00456405">
        <w:rPr>
          <w:rFonts w:ascii="Cambria" w:hAnsi="Cambria"/>
          <w:sz w:val="24"/>
          <w:szCs w:val="24"/>
        </w:rPr>
        <w:br/>
      </w:r>
      <w:r w:rsidRPr="00456405">
        <w:rPr>
          <w:rFonts w:ascii="Cambria" w:hAnsi="Cambria"/>
          <w:sz w:val="24"/>
          <w:szCs w:val="24"/>
        </w:rPr>
        <w:br/>
      </w:r>
      <w:r w:rsidR="00B61614" w:rsidRPr="00456405">
        <w:rPr>
          <w:rFonts w:ascii="Cambria" w:hAnsi="Cambria"/>
          <w:noProof/>
          <w:sz w:val="24"/>
          <w:szCs w:val="24"/>
        </w:rPr>
        <w:lastRenderedPageBreak/>
        <mc:AlternateContent>
          <mc:Choice Requires="wps">
            <w:drawing>
              <wp:anchor distT="45720" distB="45720" distL="114300" distR="114300" simplePos="0" relativeHeight="251747328" behindDoc="0" locked="0" layoutInCell="1" allowOverlap="1" wp14:anchorId="7182CE9B" wp14:editId="125B68A0">
                <wp:simplePos x="0" y="0"/>
                <wp:positionH relativeFrom="margin">
                  <wp:align>left</wp:align>
                </wp:positionH>
                <wp:positionV relativeFrom="paragraph">
                  <wp:posOffset>0</wp:posOffset>
                </wp:positionV>
                <wp:extent cx="2360930" cy="304800"/>
                <wp:effectExtent l="0" t="0" r="1270" b="0"/>
                <wp:wrapSquare wrapText="bothSides"/>
                <wp:docPr id="1377201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538E125C" w14:textId="10037BFF" w:rsidR="00B61614" w:rsidRDefault="00B61614">
                            <w:r>
                              <w:rPr>
                                <w:rFonts w:ascii="Cambria" w:hAnsi="Cambria"/>
                                <w:b/>
                                <w:bCs/>
                                <w:sz w:val="24"/>
                                <w:szCs w:val="24"/>
                              </w:rPr>
                              <w:t>3. Alibaba Financial Statements</w:t>
                            </w:r>
                            <w:r>
                              <w:rPr>
                                <w:rFonts w:ascii="Cambria" w:hAnsi="Cambria"/>
                                <w:b/>
                                <w:bCs/>
                                <w:sz w:val="24"/>
                                <w:szCs w:val="24"/>
                              </w:rPr>
                              <w:tab/>
                            </w:r>
                            <w:r>
                              <w:rPr>
                                <w:rFonts w:ascii="Cambria" w:hAnsi="Cambria"/>
                                <w:b/>
                                <w:bCs/>
                                <w:sz w:val="24"/>
                                <w:szCs w:val="24"/>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82CE9B" id="_x0000_s1056" type="#_x0000_t202" style="position:absolute;left:0;text-align:left;margin-left:0;margin-top:0;width:185.9pt;height:24pt;z-index:2517473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IfEAIAAP4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" stroked="f">
                <v:textbox>
                  <w:txbxContent>
                    <w:p w14:paraId="538E125C" w14:textId="10037BFF" w:rsidR="00B61614" w:rsidRDefault="00B61614">
                      <w:r>
                        <w:rPr>
                          <w:rFonts w:ascii="Cambria" w:hAnsi="Cambria"/>
                          <w:b/>
                          <w:bCs/>
                          <w:sz w:val="24"/>
                          <w:szCs w:val="24"/>
                        </w:rPr>
                        <w:t>3. Alibaba Financial Statements</w:t>
                      </w:r>
                      <w:r>
                        <w:rPr>
                          <w:rFonts w:ascii="Cambria" w:hAnsi="Cambria"/>
                          <w:b/>
                          <w:bCs/>
                          <w:sz w:val="24"/>
                          <w:szCs w:val="24"/>
                        </w:rPr>
                        <w:tab/>
                      </w:r>
                      <w:r>
                        <w:rPr>
                          <w:rFonts w:ascii="Cambria" w:hAnsi="Cambria"/>
                          <w:b/>
                          <w:bCs/>
                          <w:sz w:val="24"/>
                          <w:szCs w:val="24"/>
                        </w:rPr>
                        <w:br/>
                      </w:r>
                    </w:p>
                  </w:txbxContent>
                </v:textbox>
                <w10:wrap type="square" anchorx="margin"/>
              </v:shape>
            </w:pict>
          </mc:Fallback>
        </mc:AlternateContent>
      </w:r>
      <w:r w:rsidR="0062242B" w:rsidRPr="00456405">
        <w:rPr>
          <w:rFonts w:ascii="Cambria" w:hAnsi="Cambria"/>
          <w:b/>
          <w:bCs/>
          <w:noProof/>
          <w:sz w:val="24"/>
          <w:szCs w:val="24"/>
        </w:rPr>
        <mc:AlternateContent>
          <mc:Choice Requires="wps">
            <w:drawing>
              <wp:anchor distT="45720" distB="45720" distL="114300" distR="114300" simplePos="0" relativeHeight="251720704" behindDoc="0" locked="0" layoutInCell="1" allowOverlap="1" wp14:anchorId="0ED65B0B" wp14:editId="2FA9F497">
                <wp:simplePos x="0" y="0"/>
                <wp:positionH relativeFrom="margin">
                  <wp:align>right</wp:align>
                </wp:positionH>
                <wp:positionV relativeFrom="paragraph">
                  <wp:posOffset>289560</wp:posOffset>
                </wp:positionV>
                <wp:extent cx="6164580" cy="7284720"/>
                <wp:effectExtent l="0" t="0" r="7620" b="0"/>
                <wp:wrapSquare wrapText="bothSides"/>
                <wp:docPr id="1721871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728472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3071"/>
                              <w:gridCol w:w="907"/>
                              <w:gridCol w:w="907"/>
                              <w:gridCol w:w="907"/>
                              <w:gridCol w:w="907"/>
                              <w:gridCol w:w="908"/>
                              <w:gridCol w:w="908"/>
                              <w:gridCol w:w="906"/>
                            </w:tblGrid>
                            <w:tr w:rsidR="0062242B" w:rsidRPr="0062242B" w14:paraId="01F881E7" w14:textId="77777777" w:rsidTr="0062242B">
                              <w:trPr>
                                <w:trHeight w:val="324"/>
                              </w:trPr>
                              <w:tc>
                                <w:tcPr>
                                  <w:tcW w:w="3884" w:type="pct"/>
                                  <w:gridSpan w:val="6"/>
                                  <w:tcBorders>
                                    <w:top w:val="nil"/>
                                    <w:left w:val="nil"/>
                                    <w:bottom w:val="nil"/>
                                    <w:right w:val="nil"/>
                                  </w:tcBorders>
                                  <w:noWrap/>
                                  <w:vAlign w:val="bottom"/>
                                  <w:hideMark/>
                                </w:tcPr>
                                <w:p w14:paraId="3CDAABDE" w14:textId="77777777" w:rsidR="0062242B" w:rsidRDefault="0062242B" w:rsidP="0062242B">
                                  <w:pPr>
                                    <w:spacing w:after="0" w:line="240" w:lineRule="auto"/>
                                    <w:rPr>
                                      <w:rFonts w:ascii="Cambria" w:eastAsia="Times New Roman" w:hAnsi="Cambria" w:cs="Arial"/>
                                      <w:b/>
                                      <w:bCs/>
                                      <w:color w:val="000000"/>
                                      <w:kern w:val="0"/>
                                      <w:sz w:val="26"/>
                                      <w:szCs w:val="26"/>
                                      <w:lang w:eastAsia="en-IN"/>
                                      <w14:ligatures w14:val="none"/>
                                    </w:rPr>
                                  </w:pPr>
                                </w:p>
                                <w:p w14:paraId="1EE6FD7F" w14:textId="13C27518" w:rsidR="0062242B" w:rsidRPr="0062242B" w:rsidRDefault="0062242B" w:rsidP="0062242B">
                                  <w:pPr>
                                    <w:spacing w:after="0" w:line="240" w:lineRule="auto"/>
                                    <w:rPr>
                                      <w:rFonts w:ascii="Cambria" w:eastAsia="Times New Roman" w:hAnsi="Cambria" w:cs="Arial"/>
                                      <w:b/>
                                      <w:bCs/>
                                      <w:color w:val="000000"/>
                                      <w:kern w:val="0"/>
                                      <w:sz w:val="14"/>
                                      <w:szCs w:val="14"/>
                                      <w:lang w:eastAsia="en-IN"/>
                                      <w14:ligatures w14:val="none"/>
                                    </w:rPr>
                                  </w:pPr>
                                </w:p>
                              </w:tc>
                              <w:tc>
                                <w:tcPr>
                                  <w:tcW w:w="558" w:type="pct"/>
                                  <w:tcBorders>
                                    <w:top w:val="nil"/>
                                    <w:left w:val="nil"/>
                                    <w:bottom w:val="nil"/>
                                    <w:right w:val="nil"/>
                                  </w:tcBorders>
                                  <w:noWrap/>
                                  <w:vAlign w:val="bottom"/>
                                  <w:hideMark/>
                                </w:tcPr>
                                <w:p w14:paraId="1E97B1CD" w14:textId="77777777" w:rsidR="0062242B" w:rsidRPr="0062242B" w:rsidRDefault="0062242B" w:rsidP="0062242B">
                                  <w:pPr>
                                    <w:spacing w:after="0" w:line="240" w:lineRule="auto"/>
                                    <w:rPr>
                                      <w:rFonts w:ascii="Cambria" w:eastAsia="Times New Roman" w:hAnsi="Cambria" w:cs="Arial"/>
                                      <w:b/>
                                      <w:bCs/>
                                      <w:color w:val="000000"/>
                                      <w:kern w:val="0"/>
                                      <w:sz w:val="26"/>
                                      <w:szCs w:val="26"/>
                                      <w:lang w:eastAsia="en-IN"/>
                                      <w14:ligatures w14:val="none"/>
                                    </w:rPr>
                                  </w:pPr>
                                </w:p>
                              </w:tc>
                              <w:tc>
                                <w:tcPr>
                                  <w:tcW w:w="558" w:type="pct"/>
                                  <w:tcBorders>
                                    <w:top w:val="nil"/>
                                    <w:left w:val="nil"/>
                                    <w:bottom w:val="nil"/>
                                    <w:right w:val="nil"/>
                                  </w:tcBorders>
                                  <w:noWrap/>
                                  <w:vAlign w:val="bottom"/>
                                  <w:hideMark/>
                                </w:tcPr>
                                <w:p w14:paraId="3C8CD5F2"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0440A016" w14:textId="77777777" w:rsidTr="0062242B">
                              <w:trPr>
                                <w:trHeight w:val="204"/>
                              </w:trPr>
                              <w:tc>
                                <w:tcPr>
                                  <w:tcW w:w="1095" w:type="pct"/>
                                  <w:tcBorders>
                                    <w:top w:val="nil"/>
                                    <w:left w:val="nil"/>
                                    <w:bottom w:val="nil"/>
                                    <w:right w:val="nil"/>
                                  </w:tcBorders>
                                  <w:shd w:val="clear" w:color="000000" w:fill="003366"/>
                                  <w:noWrap/>
                                  <w:vAlign w:val="bottom"/>
                                  <w:hideMark/>
                                </w:tcPr>
                                <w:p w14:paraId="359C3E5B"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Ratios</w:t>
                                  </w:r>
                                </w:p>
                              </w:tc>
                              <w:tc>
                                <w:tcPr>
                                  <w:tcW w:w="558" w:type="pct"/>
                                  <w:tcBorders>
                                    <w:top w:val="nil"/>
                                    <w:left w:val="nil"/>
                                    <w:bottom w:val="nil"/>
                                    <w:right w:val="nil"/>
                                  </w:tcBorders>
                                  <w:shd w:val="clear" w:color="000000" w:fill="003366"/>
                                  <w:noWrap/>
                                  <w:vAlign w:val="bottom"/>
                                  <w:hideMark/>
                                </w:tcPr>
                                <w:p w14:paraId="4610EED2"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2A6BCE4"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21A93F10"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74E5002E"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044EDD5"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3F64C771"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8440355"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r>
                            <w:tr w:rsidR="0062242B" w:rsidRPr="0062242B" w14:paraId="637D1FFF" w14:textId="77777777" w:rsidTr="0062242B">
                              <w:trPr>
                                <w:trHeight w:val="612"/>
                              </w:trPr>
                              <w:tc>
                                <w:tcPr>
                                  <w:tcW w:w="1095" w:type="pct"/>
                                  <w:tcBorders>
                                    <w:top w:val="nil"/>
                                    <w:left w:val="nil"/>
                                    <w:bottom w:val="nil"/>
                                    <w:right w:val="nil"/>
                                  </w:tcBorders>
                                  <w:shd w:val="clear" w:color="000000" w:fill="F0F0DC"/>
                                  <w:vAlign w:val="bottom"/>
                                  <w:hideMark/>
                                </w:tcPr>
                                <w:p w14:paraId="3E4A150E"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For the Fiscal Period Ending</w:t>
                                  </w:r>
                                </w:p>
                              </w:tc>
                              <w:tc>
                                <w:tcPr>
                                  <w:tcW w:w="558" w:type="pct"/>
                                  <w:tcBorders>
                                    <w:top w:val="nil"/>
                                    <w:left w:val="nil"/>
                                    <w:bottom w:val="nil"/>
                                    <w:right w:val="nil"/>
                                  </w:tcBorders>
                                  <w:shd w:val="clear" w:color="000000" w:fill="F0F0DC"/>
                                  <w:vAlign w:val="bottom"/>
                                  <w:hideMark/>
                                </w:tcPr>
                                <w:p w14:paraId="3B16823E"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Mar-31-2019</w:t>
                                  </w:r>
                                </w:p>
                              </w:tc>
                              <w:tc>
                                <w:tcPr>
                                  <w:tcW w:w="558" w:type="pct"/>
                                  <w:tcBorders>
                                    <w:top w:val="nil"/>
                                    <w:left w:val="nil"/>
                                    <w:bottom w:val="nil"/>
                                    <w:right w:val="nil"/>
                                  </w:tcBorders>
                                  <w:shd w:val="clear" w:color="000000" w:fill="F0F0DC"/>
                                  <w:vAlign w:val="bottom"/>
                                  <w:hideMark/>
                                </w:tcPr>
                                <w:p w14:paraId="698F5B4A"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Mar-31-2020</w:t>
                                  </w:r>
                                </w:p>
                              </w:tc>
                              <w:tc>
                                <w:tcPr>
                                  <w:tcW w:w="558" w:type="pct"/>
                                  <w:tcBorders>
                                    <w:top w:val="nil"/>
                                    <w:left w:val="nil"/>
                                    <w:bottom w:val="nil"/>
                                    <w:right w:val="nil"/>
                                  </w:tcBorders>
                                  <w:shd w:val="clear" w:color="000000" w:fill="F0F0DC"/>
                                  <w:vAlign w:val="bottom"/>
                                  <w:hideMark/>
                                </w:tcPr>
                                <w:p w14:paraId="3BAE0CC3"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Mar-31-2021</w:t>
                                  </w:r>
                                </w:p>
                              </w:tc>
                              <w:tc>
                                <w:tcPr>
                                  <w:tcW w:w="558" w:type="pct"/>
                                  <w:tcBorders>
                                    <w:top w:val="nil"/>
                                    <w:left w:val="nil"/>
                                    <w:bottom w:val="nil"/>
                                    <w:right w:val="nil"/>
                                  </w:tcBorders>
                                  <w:shd w:val="clear" w:color="000000" w:fill="F0F0DC"/>
                                  <w:vAlign w:val="bottom"/>
                                  <w:hideMark/>
                                </w:tcPr>
                                <w:p w14:paraId="1F2C5761"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Mar-31-2022</w:t>
                                  </w:r>
                                </w:p>
                              </w:tc>
                              <w:tc>
                                <w:tcPr>
                                  <w:tcW w:w="558" w:type="pct"/>
                                  <w:tcBorders>
                                    <w:top w:val="nil"/>
                                    <w:left w:val="nil"/>
                                    <w:bottom w:val="nil"/>
                                    <w:right w:val="nil"/>
                                  </w:tcBorders>
                                  <w:shd w:val="clear" w:color="000000" w:fill="F0F0DC"/>
                                  <w:vAlign w:val="bottom"/>
                                  <w:hideMark/>
                                </w:tcPr>
                                <w:p w14:paraId="0320E31B"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Mar-31-2023</w:t>
                                  </w:r>
                                </w:p>
                              </w:tc>
                              <w:tc>
                                <w:tcPr>
                                  <w:tcW w:w="558" w:type="pct"/>
                                  <w:tcBorders>
                                    <w:top w:val="nil"/>
                                    <w:left w:val="nil"/>
                                    <w:bottom w:val="nil"/>
                                    <w:right w:val="nil"/>
                                  </w:tcBorders>
                                  <w:shd w:val="clear" w:color="000000" w:fill="F0F0DC"/>
                                  <w:vAlign w:val="bottom"/>
                                  <w:hideMark/>
                                </w:tcPr>
                                <w:p w14:paraId="1FB5457F"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Mar-31-2024</w:t>
                                  </w:r>
                                </w:p>
                              </w:tc>
                              <w:tc>
                                <w:tcPr>
                                  <w:tcW w:w="558" w:type="pct"/>
                                  <w:tcBorders>
                                    <w:top w:val="nil"/>
                                    <w:left w:val="nil"/>
                                    <w:bottom w:val="nil"/>
                                    <w:right w:val="nil"/>
                                  </w:tcBorders>
                                  <w:shd w:val="clear" w:color="000000" w:fill="F0F0DC"/>
                                  <w:vAlign w:val="bottom"/>
                                  <w:hideMark/>
                                </w:tcPr>
                                <w:p w14:paraId="0837E5F2"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LTM</w:t>
                                  </w:r>
                                  <w:r w:rsidRPr="0062242B">
                                    <w:rPr>
                                      <w:rFonts w:ascii="Cambria" w:eastAsia="Times New Roman" w:hAnsi="Cambria" w:cs="Arial"/>
                                      <w:b/>
                                      <w:bCs/>
                                      <w:color w:val="000000"/>
                                      <w:kern w:val="0"/>
                                      <w:sz w:val="16"/>
                                      <w:szCs w:val="16"/>
                                      <w:lang w:eastAsia="en-IN"/>
                                      <w14:ligatures w14:val="none"/>
                                    </w:rPr>
                                    <w:br/>
                                    <w:t>12 months</w:t>
                                  </w:r>
                                  <w:r w:rsidRPr="0062242B">
                                    <w:rPr>
                                      <w:rFonts w:ascii="Cambria" w:eastAsia="Times New Roman" w:hAnsi="Cambria" w:cs="Arial"/>
                                      <w:b/>
                                      <w:bCs/>
                                      <w:color w:val="000000"/>
                                      <w:kern w:val="0"/>
                                      <w:sz w:val="16"/>
                                      <w:szCs w:val="16"/>
                                      <w:lang w:eastAsia="en-IN"/>
                                      <w14:ligatures w14:val="none"/>
                                    </w:rPr>
                                    <w:br/>
                                    <w:t>Dec-31-2024</w:t>
                                  </w:r>
                                </w:p>
                              </w:tc>
                            </w:tr>
                            <w:tr w:rsidR="0062242B" w:rsidRPr="0062242B" w14:paraId="33F198AB" w14:textId="77777777" w:rsidTr="0062242B">
                              <w:trPr>
                                <w:trHeight w:val="204"/>
                              </w:trPr>
                              <w:tc>
                                <w:tcPr>
                                  <w:tcW w:w="1095" w:type="pct"/>
                                  <w:tcBorders>
                                    <w:top w:val="nil"/>
                                    <w:left w:val="nil"/>
                                    <w:bottom w:val="nil"/>
                                    <w:right w:val="nil"/>
                                  </w:tcBorders>
                                  <w:noWrap/>
                                  <w:hideMark/>
                                </w:tcPr>
                                <w:p w14:paraId="5241647C"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Profitability</w:t>
                                  </w:r>
                                </w:p>
                              </w:tc>
                              <w:tc>
                                <w:tcPr>
                                  <w:tcW w:w="558" w:type="pct"/>
                                  <w:tcBorders>
                                    <w:top w:val="nil"/>
                                    <w:left w:val="nil"/>
                                    <w:bottom w:val="nil"/>
                                    <w:right w:val="nil"/>
                                  </w:tcBorders>
                                  <w:noWrap/>
                                  <w:hideMark/>
                                </w:tcPr>
                                <w:p w14:paraId="31B8C3A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18360ED9"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CE44B02"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D1E841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6BD28D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1D571F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481D5BD"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5D9338F2" w14:textId="77777777" w:rsidTr="0062242B">
                              <w:trPr>
                                <w:trHeight w:val="204"/>
                              </w:trPr>
                              <w:tc>
                                <w:tcPr>
                                  <w:tcW w:w="1095" w:type="pct"/>
                                  <w:tcBorders>
                                    <w:top w:val="nil"/>
                                    <w:left w:val="nil"/>
                                    <w:bottom w:val="nil"/>
                                    <w:right w:val="nil"/>
                                  </w:tcBorders>
                                  <w:noWrap/>
                                  <w:hideMark/>
                                </w:tcPr>
                                <w:p w14:paraId="567A9CF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Assets %</w:t>
                                  </w:r>
                                </w:p>
                              </w:tc>
                              <w:tc>
                                <w:tcPr>
                                  <w:tcW w:w="558" w:type="pct"/>
                                  <w:tcBorders>
                                    <w:top w:val="nil"/>
                                    <w:left w:val="nil"/>
                                    <w:bottom w:val="nil"/>
                                    <w:right w:val="nil"/>
                                  </w:tcBorders>
                                  <w:hideMark/>
                                </w:tcPr>
                                <w:p w14:paraId="38E5204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4.6% </w:t>
                                  </w:r>
                                </w:p>
                              </w:tc>
                              <w:tc>
                                <w:tcPr>
                                  <w:tcW w:w="558" w:type="pct"/>
                                  <w:tcBorders>
                                    <w:top w:val="nil"/>
                                    <w:left w:val="nil"/>
                                    <w:bottom w:val="nil"/>
                                    <w:right w:val="nil"/>
                                  </w:tcBorders>
                                  <w:hideMark/>
                                </w:tcPr>
                                <w:p w14:paraId="491313A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5.2% </w:t>
                                  </w:r>
                                </w:p>
                              </w:tc>
                              <w:tc>
                                <w:tcPr>
                                  <w:tcW w:w="558" w:type="pct"/>
                                  <w:tcBorders>
                                    <w:top w:val="nil"/>
                                    <w:left w:val="nil"/>
                                    <w:bottom w:val="nil"/>
                                    <w:right w:val="nil"/>
                                  </w:tcBorders>
                                  <w:hideMark/>
                                </w:tcPr>
                                <w:p w14:paraId="7BE52CA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4.6% </w:t>
                                  </w:r>
                                </w:p>
                              </w:tc>
                              <w:tc>
                                <w:tcPr>
                                  <w:tcW w:w="558" w:type="pct"/>
                                  <w:tcBorders>
                                    <w:top w:val="nil"/>
                                    <w:left w:val="nil"/>
                                    <w:bottom w:val="nil"/>
                                    <w:right w:val="nil"/>
                                  </w:tcBorders>
                                  <w:hideMark/>
                                </w:tcPr>
                                <w:p w14:paraId="21EE033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 </w:t>
                                  </w:r>
                                </w:p>
                              </w:tc>
                              <w:tc>
                                <w:tcPr>
                                  <w:tcW w:w="558" w:type="pct"/>
                                  <w:tcBorders>
                                    <w:top w:val="nil"/>
                                    <w:left w:val="nil"/>
                                    <w:bottom w:val="nil"/>
                                    <w:right w:val="nil"/>
                                  </w:tcBorders>
                                  <w:hideMark/>
                                </w:tcPr>
                                <w:p w14:paraId="42FE300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3.9% </w:t>
                                  </w:r>
                                </w:p>
                              </w:tc>
                              <w:tc>
                                <w:tcPr>
                                  <w:tcW w:w="558" w:type="pct"/>
                                  <w:tcBorders>
                                    <w:top w:val="nil"/>
                                    <w:left w:val="nil"/>
                                    <w:bottom w:val="nil"/>
                                    <w:right w:val="nil"/>
                                  </w:tcBorders>
                                  <w:hideMark/>
                                </w:tcPr>
                                <w:p w14:paraId="2C84FDE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4.9% </w:t>
                                  </w:r>
                                </w:p>
                              </w:tc>
                              <w:tc>
                                <w:tcPr>
                                  <w:tcW w:w="558" w:type="pct"/>
                                  <w:tcBorders>
                                    <w:top w:val="nil"/>
                                    <w:left w:val="nil"/>
                                    <w:bottom w:val="nil"/>
                                    <w:right w:val="nil"/>
                                  </w:tcBorders>
                                  <w:hideMark/>
                                </w:tcPr>
                                <w:p w14:paraId="050CF8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5.0% </w:t>
                                  </w:r>
                                </w:p>
                              </w:tc>
                            </w:tr>
                            <w:tr w:rsidR="0062242B" w:rsidRPr="0062242B" w14:paraId="26EC7201" w14:textId="77777777" w:rsidTr="0062242B">
                              <w:trPr>
                                <w:trHeight w:val="204"/>
                              </w:trPr>
                              <w:tc>
                                <w:tcPr>
                                  <w:tcW w:w="1095" w:type="pct"/>
                                  <w:tcBorders>
                                    <w:top w:val="nil"/>
                                    <w:left w:val="nil"/>
                                    <w:bottom w:val="nil"/>
                                    <w:right w:val="nil"/>
                                  </w:tcBorders>
                                  <w:noWrap/>
                                  <w:hideMark/>
                                </w:tcPr>
                                <w:p w14:paraId="73FC7C0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Capital %</w:t>
                                  </w:r>
                                </w:p>
                              </w:tc>
                              <w:tc>
                                <w:tcPr>
                                  <w:tcW w:w="558" w:type="pct"/>
                                  <w:tcBorders>
                                    <w:top w:val="nil"/>
                                    <w:left w:val="nil"/>
                                    <w:bottom w:val="nil"/>
                                    <w:right w:val="nil"/>
                                  </w:tcBorders>
                                  <w:hideMark/>
                                </w:tcPr>
                                <w:p w14:paraId="382FB3E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 </w:t>
                                  </w:r>
                                </w:p>
                              </w:tc>
                              <w:tc>
                                <w:tcPr>
                                  <w:tcW w:w="558" w:type="pct"/>
                                  <w:tcBorders>
                                    <w:top w:val="nil"/>
                                    <w:left w:val="nil"/>
                                    <w:bottom w:val="nil"/>
                                    <w:right w:val="nil"/>
                                  </w:tcBorders>
                                  <w:hideMark/>
                                </w:tcPr>
                                <w:p w14:paraId="19163D6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6.7% </w:t>
                                  </w:r>
                                </w:p>
                              </w:tc>
                              <w:tc>
                                <w:tcPr>
                                  <w:tcW w:w="558" w:type="pct"/>
                                  <w:tcBorders>
                                    <w:top w:val="nil"/>
                                    <w:left w:val="nil"/>
                                    <w:bottom w:val="nil"/>
                                    <w:right w:val="nil"/>
                                  </w:tcBorders>
                                  <w:hideMark/>
                                </w:tcPr>
                                <w:p w14:paraId="053D612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6.0% </w:t>
                                  </w:r>
                                </w:p>
                              </w:tc>
                              <w:tc>
                                <w:tcPr>
                                  <w:tcW w:w="558" w:type="pct"/>
                                  <w:tcBorders>
                                    <w:top w:val="nil"/>
                                    <w:left w:val="nil"/>
                                    <w:bottom w:val="nil"/>
                                    <w:right w:val="nil"/>
                                  </w:tcBorders>
                                  <w:hideMark/>
                                </w:tcPr>
                                <w:p w14:paraId="1EC4970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4.8% </w:t>
                                  </w:r>
                                </w:p>
                              </w:tc>
                              <w:tc>
                                <w:tcPr>
                                  <w:tcW w:w="558" w:type="pct"/>
                                  <w:tcBorders>
                                    <w:top w:val="nil"/>
                                    <w:left w:val="nil"/>
                                    <w:bottom w:val="nil"/>
                                    <w:right w:val="nil"/>
                                  </w:tcBorders>
                                  <w:hideMark/>
                                </w:tcPr>
                                <w:p w14:paraId="76E3493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5.2% </w:t>
                                  </w:r>
                                </w:p>
                              </w:tc>
                              <w:tc>
                                <w:tcPr>
                                  <w:tcW w:w="558" w:type="pct"/>
                                  <w:tcBorders>
                                    <w:top w:val="nil"/>
                                    <w:left w:val="nil"/>
                                    <w:bottom w:val="nil"/>
                                    <w:right w:val="nil"/>
                                  </w:tcBorders>
                                  <w:hideMark/>
                                </w:tcPr>
                                <w:p w14:paraId="087D13C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6.6% </w:t>
                                  </w:r>
                                </w:p>
                              </w:tc>
                              <w:tc>
                                <w:tcPr>
                                  <w:tcW w:w="558" w:type="pct"/>
                                  <w:tcBorders>
                                    <w:top w:val="nil"/>
                                    <w:left w:val="nil"/>
                                    <w:bottom w:val="nil"/>
                                    <w:right w:val="nil"/>
                                  </w:tcBorders>
                                  <w:hideMark/>
                                </w:tcPr>
                                <w:p w14:paraId="416DA8A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6.9% </w:t>
                                  </w:r>
                                </w:p>
                              </w:tc>
                            </w:tr>
                            <w:tr w:rsidR="0062242B" w:rsidRPr="0062242B" w14:paraId="1AF4B8AF" w14:textId="77777777" w:rsidTr="0062242B">
                              <w:trPr>
                                <w:trHeight w:val="204"/>
                              </w:trPr>
                              <w:tc>
                                <w:tcPr>
                                  <w:tcW w:w="1095" w:type="pct"/>
                                  <w:tcBorders>
                                    <w:top w:val="nil"/>
                                    <w:left w:val="nil"/>
                                    <w:bottom w:val="nil"/>
                                    <w:right w:val="nil"/>
                                  </w:tcBorders>
                                  <w:noWrap/>
                                  <w:hideMark/>
                                </w:tcPr>
                                <w:p w14:paraId="57DE4796"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Equity %</w:t>
                                  </w:r>
                                </w:p>
                              </w:tc>
                              <w:tc>
                                <w:tcPr>
                                  <w:tcW w:w="558" w:type="pct"/>
                                  <w:tcBorders>
                                    <w:top w:val="nil"/>
                                    <w:left w:val="nil"/>
                                    <w:bottom w:val="nil"/>
                                    <w:right w:val="nil"/>
                                  </w:tcBorders>
                                  <w:hideMark/>
                                </w:tcPr>
                                <w:p w14:paraId="056D1A5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15.4% </w:t>
                                  </w:r>
                                </w:p>
                              </w:tc>
                              <w:tc>
                                <w:tcPr>
                                  <w:tcW w:w="558" w:type="pct"/>
                                  <w:tcBorders>
                                    <w:top w:val="nil"/>
                                    <w:left w:val="nil"/>
                                    <w:bottom w:val="nil"/>
                                    <w:right w:val="nil"/>
                                  </w:tcBorders>
                                  <w:hideMark/>
                                </w:tcPr>
                                <w:p w14:paraId="45973A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18.9% </w:t>
                                  </w:r>
                                </w:p>
                              </w:tc>
                              <w:tc>
                                <w:tcPr>
                                  <w:tcW w:w="558" w:type="pct"/>
                                  <w:tcBorders>
                                    <w:top w:val="nil"/>
                                    <w:left w:val="nil"/>
                                    <w:bottom w:val="nil"/>
                                    <w:right w:val="nil"/>
                                  </w:tcBorders>
                                  <w:hideMark/>
                                </w:tcPr>
                                <w:p w14:paraId="55A130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14.6% </w:t>
                                  </w:r>
                                </w:p>
                              </w:tc>
                              <w:tc>
                                <w:tcPr>
                                  <w:tcW w:w="558" w:type="pct"/>
                                  <w:tcBorders>
                                    <w:top w:val="nil"/>
                                    <w:left w:val="nil"/>
                                    <w:bottom w:val="nil"/>
                                    <w:right w:val="nil"/>
                                  </w:tcBorders>
                                  <w:hideMark/>
                                </w:tcPr>
                                <w:p w14:paraId="23DF42A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4.3% </w:t>
                                  </w:r>
                                </w:p>
                              </w:tc>
                              <w:tc>
                                <w:tcPr>
                                  <w:tcW w:w="558" w:type="pct"/>
                                  <w:tcBorders>
                                    <w:top w:val="nil"/>
                                    <w:left w:val="nil"/>
                                    <w:bottom w:val="nil"/>
                                    <w:right w:val="nil"/>
                                  </w:tcBorders>
                                  <w:hideMark/>
                                </w:tcPr>
                                <w:p w14:paraId="470DB85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 </w:t>
                                  </w:r>
                                </w:p>
                              </w:tc>
                              <w:tc>
                                <w:tcPr>
                                  <w:tcW w:w="558" w:type="pct"/>
                                  <w:tcBorders>
                                    <w:top w:val="nil"/>
                                    <w:left w:val="nil"/>
                                    <w:bottom w:val="nil"/>
                                    <w:right w:val="nil"/>
                                  </w:tcBorders>
                                  <w:hideMark/>
                                </w:tcPr>
                                <w:p w14:paraId="7466DFF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6.4% </w:t>
                                  </w:r>
                                </w:p>
                              </w:tc>
                              <w:tc>
                                <w:tcPr>
                                  <w:tcW w:w="558" w:type="pct"/>
                                  <w:tcBorders>
                                    <w:top w:val="nil"/>
                                    <w:left w:val="nil"/>
                                    <w:bottom w:val="nil"/>
                                    <w:right w:val="nil"/>
                                  </w:tcBorders>
                                  <w:hideMark/>
                                </w:tcPr>
                                <w:p w14:paraId="29AADD3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10.3% </w:t>
                                  </w:r>
                                </w:p>
                              </w:tc>
                            </w:tr>
                            <w:tr w:rsidR="0062242B" w:rsidRPr="0062242B" w14:paraId="45E3508A" w14:textId="77777777" w:rsidTr="0062242B">
                              <w:trPr>
                                <w:trHeight w:val="204"/>
                              </w:trPr>
                              <w:tc>
                                <w:tcPr>
                                  <w:tcW w:w="1095" w:type="pct"/>
                                  <w:tcBorders>
                                    <w:top w:val="nil"/>
                                    <w:left w:val="nil"/>
                                    <w:bottom w:val="nil"/>
                                    <w:right w:val="nil"/>
                                  </w:tcBorders>
                                  <w:noWrap/>
                                  <w:hideMark/>
                                </w:tcPr>
                                <w:p w14:paraId="395DCC2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Common Equity %</w:t>
                                  </w:r>
                                </w:p>
                              </w:tc>
                              <w:tc>
                                <w:tcPr>
                                  <w:tcW w:w="558" w:type="pct"/>
                                  <w:tcBorders>
                                    <w:top w:val="nil"/>
                                    <w:left w:val="nil"/>
                                    <w:bottom w:val="nil"/>
                                    <w:right w:val="nil"/>
                                  </w:tcBorders>
                                  <w:hideMark/>
                                </w:tcPr>
                                <w:p w14:paraId="5E6E691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20.4% </w:t>
                                  </w:r>
                                </w:p>
                              </w:tc>
                              <w:tc>
                                <w:tcPr>
                                  <w:tcW w:w="558" w:type="pct"/>
                                  <w:tcBorders>
                                    <w:top w:val="nil"/>
                                    <w:left w:val="nil"/>
                                    <w:bottom w:val="nil"/>
                                    <w:right w:val="nil"/>
                                  </w:tcBorders>
                                  <w:hideMark/>
                                </w:tcPr>
                                <w:p w14:paraId="4CC328B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23.9% </w:t>
                                  </w:r>
                                </w:p>
                              </w:tc>
                              <w:tc>
                                <w:tcPr>
                                  <w:tcW w:w="558" w:type="pct"/>
                                  <w:tcBorders>
                                    <w:top w:val="nil"/>
                                    <w:left w:val="nil"/>
                                    <w:bottom w:val="nil"/>
                                    <w:right w:val="nil"/>
                                  </w:tcBorders>
                                  <w:hideMark/>
                                </w:tcPr>
                                <w:p w14:paraId="75FD001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05FA555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6.6% </w:t>
                                  </w:r>
                                </w:p>
                              </w:tc>
                              <w:tc>
                                <w:tcPr>
                                  <w:tcW w:w="558" w:type="pct"/>
                                  <w:tcBorders>
                                    <w:top w:val="nil"/>
                                    <w:left w:val="nil"/>
                                    <w:bottom w:val="nil"/>
                                    <w:right w:val="nil"/>
                                  </w:tcBorders>
                                  <w:hideMark/>
                                </w:tcPr>
                                <w:p w14:paraId="6FA9C24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 </w:t>
                                  </w:r>
                                </w:p>
                              </w:tc>
                              <w:tc>
                                <w:tcPr>
                                  <w:tcW w:w="558" w:type="pct"/>
                                  <w:tcBorders>
                                    <w:top w:val="nil"/>
                                    <w:left w:val="nil"/>
                                    <w:bottom w:val="nil"/>
                                    <w:right w:val="nil"/>
                                  </w:tcBorders>
                                  <w:hideMark/>
                                </w:tcPr>
                                <w:p w14:paraId="5E8FE4E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8.1% </w:t>
                                  </w:r>
                                </w:p>
                              </w:tc>
                              <w:tc>
                                <w:tcPr>
                                  <w:tcW w:w="558" w:type="pct"/>
                                  <w:tcBorders>
                                    <w:top w:val="nil"/>
                                    <w:left w:val="nil"/>
                                    <w:bottom w:val="nil"/>
                                    <w:right w:val="nil"/>
                                  </w:tcBorders>
                                  <w:hideMark/>
                                </w:tcPr>
                                <w:p w14:paraId="514E5A1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12.0% </w:t>
                                  </w:r>
                                </w:p>
                              </w:tc>
                            </w:tr>
                            <w:tr w:rsidR="0062242B" w:rsidRPr="0062242B" w14:paraId="391EF1B7" w14:textId="77777777" w:rsidTr="0062242B">
                              <w:trPr>
                                <w:trHeight w:val="204"/>
                              </w:trPr>
                              <w:tc>
                                <w:tcPr>
                                  <w:tcW w:w="1095" w:type="pct"/>
                                  <w:tcBorders>
                                    <w:top w:val="nil"/>
                                    <w:left w:val="nil"/>
                                    <w:bottom w:val="nil"/>
                                    <w:right w:val="nil"/>
                                  </w:tcBorders>
                                  <w:noWrap/>
                                  <w:hideMark/>
                                </w:tcPr>
                                <w:p w14:paraId="3C95A7B5"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Margin Analysis</w:t>
                                  </w:r>
                                </w:p>
                              </w:tc>
                              <w:tc>
                                <w:tcPr>
                                  <w:tcW w:w="558" w:type="pct"/>
                                  <w:tcBorders>
                                    <w:top w:val="nil"/>
                                    <w:left w:val="nil"/>
                                    <w:bottom w:val="nil"/>
                                    <w:right w:val="nil"/>
                                  </w:tcBorders>
                                  <w:noWrap/>
                                  <w:hideMark/>
                                </w:tcPr>
                                <w:p w14:paraId="544FA1F8"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0E05916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6A8860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A2B3B7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79564E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94BCFF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C7755A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300524BD" w14:textId="77777777" w:rsidTr="0062242B">
                              <w:trPr>
                                <w:trHeight w:val="204"/>
                              </w:trPr>
                              <w:tc>
                                <w:tcPr>
                                  <w:tcW w:w="1095" w:type="pct"/>
                                  <w:tcBorders>
                                    <w:top w:val="nil"/>
                                    <w:left w:val="nil"/>
                                    <w:bottom w:val="nil"/>
                                    <w:right w:val="nil"/>
                                  </w:tcBorders>
                                  <w:noWrap/>
                                  <w:hideMark/>
                                </w:tcPr>
                                <w:p w14:paraId="732BDCE8"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Gross Margin %</w:t>
                                  </w:r>
                                </w:p>
                              </w:tc>
                              <w:tc>
                                <w:tcPr>
                                  <w:tcW w:w="558" w:type="pct"/>
                                  <w:tcBorders>
                                    <w:top w:val="nil"/>
                                    <w:left w:val="nil"/>
                                    <w:bottom w:val="nil"/>
                                    <w:right w:val="nil"/>
                                  </w:tcBorders>
                                  <w:hideMark/>
                                </w:tcPr>
                                <w:p w14:paraId="74C6B1E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45.8% </w:t>
                                  </w:r>
                                </w:p>
                              </w:tc>
                              <w:tc>
                                <w:tcPr>
                                  <w:tcW w:w="558" w:type="pct"/>
                                  <w:tcBorders>
                                    <w:top w:val="nil"/>
                                    <w:left w:val="nil"/>
                                    <w:bottom w:val="nil"/>
                                    <w:right w:val="nil"/>
                                  </w:tcBorders>
                                  <w:hideMark/>
                                </w:tcPr>
                                <w:p w14:paraId="05A3F46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45.1% </w:t>
                                  </w:r>
                                </w:p>
                              </w:tc>
                              <w:tc>
                                <w:tcPr>
                                  <w:tcW w:w="558" w:type="pct"/>
                                  <w:tcBorders>
                                    <w:top w:val="nil"/>
                                    <w:left w:val="nil"/>
                                    <w:bottom w:val="nil"/>
                                    <w:right w:val="nil"/>
                                  </w:tcBorders>
                                  <w:hideMark/>
                                </w:tcPr>
                                <w:p w14:paraId="7DE445F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41.5% </w:t>
                                  </w:r>
                                </w:p>
                              </w:tc>
                              <w:tc>
                                <w:tcPr>
                                  <w:tcW w:w="558" w:type="pct"/>
                                  <w:tcBorders>
                                    <w:top w:val="nil"/>
                                    <w:left w:val="nil"/>
                                    <w:bottom w:val="nil"/>
                                    <w:right w:val="nil"/>
                                  </w:tcBorders>
                                  <w:hideMark/>
                                </w:tcPr>
                                <w:p w14:paraId="395D358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47DB4E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435B1DB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37.7% </w:t>
                                  </w:r>
                                </w:p>
                              </w:tc>
                              <w:tc>
                                <w:tcPr>
                                  <w:tcW w:w="558" w:type="pct"/>
                                  <w:tcBorders>
                                    <w:top w:val="nil"/>
                                    <w:left w:val="nil"/>
                                    <w:bottom w:val="nil"/>
                                    <w:right w:val="nil"/>
                                  </w:tcBorders>
                                  <w:hideMark/>
                                </w:tcPr>
                                <w:p w14:paraId="198F784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38.8% </w:t>
                                  </w:r>
                                </w:p>
                              </w:tc>
                            </w:tr>
                            <w:tr w:rsidR="0062242B" w:rsidRPr="0062242B" w14:paraId="6A6E6B3D" w14:textId="77777777" w:rsidTr="0062242B">
                              <w:trPr>
                                <w:trHeight w:val="204"/>
                              </w:trPr>
                              <w:tc>
                                <w:tcPr>
                                  <w:tcW w:w="1095" w:type="pct"/>
                                  <w:tcBorders>
                                    <w:top w:val="nil"/>
                                    <w:left w:val="nil"/>
                                    <w:bottom w:val="nil"/>
                                    <w:right w:val="nil"/>
                                  </w:tcBorders>
                                  <w:noWrap/>
                                  <w:hideMark/>
                                </w:tcPr>
                                <w:p w14:paraId="505F394E"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SG&amp;A Margin %</w:t>
                                  </w:r>
                                </w:p>
                              </w:tc>
                              <w:tc>
                                <w:tcPr>
                                  <w:tcW w:w="558" w:type="pct"/>
                                  <w:tcBorders>
                                    <w:top w:val="nil"/>
                                    <w:left w:val="nil"/>
                                    <w:bottom w:val="nil"/>
                                    <w:right w:val="nil"/>
                                  </w:tcBorders>
                                  <w:hideMark/>
                                </w:tcPr>
                                <w:p w14:paraId="70264C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0854FBE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15.5% </w:t>
                                  </w:r>
                                </w:p>
                              </w:tc>
                              <w:tc>
                                <w:tcPr>
                                  <w:tcW w:w="558" w:type="pct"/>
                                  <w:tcBorders>
                                    <w:top w:val="nil"/>
                                    <w:left w:val="nil"/>
                                    <w:bottom w:val="nil"/>
                                    <w:right w:val="nil"/>
                                  </w:tcBorders>
                                  <w:hideMark/>
                                </w:tcPr>
                                <w:p w14:paraId="3F4F6AB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16.5% </w:t>
                                  </w:r>
                                </w:p>
                              </w:tc>
                              <w:tc>
                                <w:tcPr>
                                  <w:tcW w:w="558" w:type="pct"/>
                                  <w:tcBorders>
                                    <w:top w:val="nil"/>
                                    <w:left w:val="nil"/>
                                    <w:bottom w:val="nil"/>
                                    <w:right w:val="nil"/>
                                  </w:tcBorders>
                                  <w:hideMark/>
                                </w:tcPr>
                                <w:p w14:paraId="64BD93A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57D5FE6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16.8% </w:t>
                                  </w:r>
                                </w:p>
                              </w:tc>
                              <w:tc>
                                <w:tcPr>
                                  <w:tcW w:w="558" w:type="pct"/>
                                  <w:tcBorders>
                                    <w:top w:val="nil"/>
                                    <w:left w:val="nil"/>
                                    <w:bottom w:val="nil"/>
                                    <w:right w:val="nil"/>
                                  </w:tcBorders>
                                  <w:hideMark/>
                                </w:tcPr>
                                <w:p w14:paraId="478C961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7767F6A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18.8% </w:t>
                                  </w:r>
                                </w:p>
                              </w:tc>
                            </w:tr>
                            <w:tr w:rsidR="0062242B" w:rsidRPr="0062242B" w14:paraId="3DB9E1F9" w14:textId="77777777" w:rsidTr="0062242B">
                              <w:trPr>
                                <w:trHeight w:val="204"/>
                              </w:trPr>
                              <w:tc>
                                <w:tcPr>
                                  <w:tcW w:w="1095" w:type="pct"/>
                                  <w:tcBorders>
                                    <w:top w:val="nil"/>
                                    <w:left w:val="nil"/>
                                    <w:bottom w:val="nil"/>
                                    <w:right w:val="nil"/>
                                  </w:tcBorders>
                                  <w:noWrap/>
                                  <w:hideMark/>
                                </w:tcPr>
                                <w:p w14:paraId="2914E5B1"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 Margin %</w:t>
                                  </w:r>
                                </w:p>
                              </w:tc>
                              <w:tc>
                                <w:tcPr>
                                  <w:tcW w:w="558" w:type="pct"/>
                                  <w:tcBorders>
                                    <w:top w:val="nil"/>
                                    <w:left w:val="nil"/>
                                    <w:bottom w:val="nil"/>
                                    <w:right w:val="nil"/>
                                  </w:tcBorders>
                                  <w:hideMark/>
                                </w:tcPr>
                                <w:p w14:paraId="21BC8BA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26.1% </w:t>
                                  </w:r>
                                </w:p>
                              </w:tc>
                              <w:tc>
                                <w:tcPr>
                                  <w:tcW w:w="558" w:type="pct"/>
                                  <w:tcBorders>
                                    <w:top w:val="nil"/>
                                    <w:left w:val="nil"/>
                                    <w:bottom w:val="nil"/>
                                    <w:right w:val="nil"/>
                                  </w:tcBorders>
                                  <w:hideMark/>
                                </w:tcPr>
                                <w:p w14:paraId="59470D3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27.0% </w:t>
                                  </w:r>
                                </w:p>
                              </w:tc>
                              <w:tc>
                                <w:tcPr>
                                  <w:tcW w:w="558" w:type="pct"/>
                                  <w:tcBorders>
                                    <w:top w:val="nil"/>
                                    <w:left w:val="nil"/>
                                    <w:bottom w:val="nil"/>
                                    <w:right w:val="nil"/>
                                  </w:tcBorders>
                                  <w:hideMark/>
                                </w:tcPr>
                                <w:p w14:paraId="15D1E42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22.0% </w:t>
                                  </w:r>
                                </w:p>
                              </w:tc>
                              <w:tc>
                                <w:tcPr>
                                  <w:tcW w:w="558" w:type="pct"/>
                                  <w:tcBorders>
                                    <w:top w:val="nil"/>
                                    <w:left w:val="nil"/>
                                    <w:bottom w:val="nil"/>
                                    <w:right w:val="nil"/>
                                  </w:tcBorders>
                                  <w:hideMark/>
                                </w:tcPr>
                                <w:p w14:paraId="3029528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16.9% </w:t>
                                  </w:r>
                                </w:p>
                              </w:tc>
                              <w:tc>
                                <w:tcPr>
                                  <w:tcW w:w="558" w:type="pct"/>
                                  <w:tcBorders>
                                    <w:top w:val="nil"/>
                                    <w:left w:val="nil"/>
                                    <w:bottom w:val="nil"/>
                                    <w:right w:val="nil"/>
                                  </w:tcBorders>
                                  <w:hideMark/>
                                </w:tcPr>
                                <w:p w14:paraId="3C4EDF2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17.7% </w:t>
                                  </w:r>
                                </w:p>
                              </w:tc>
                              <w:tc>
                                <w:tcPr>
                                  <w:tcW w:w="558" w:type="pct"/>
                                  <w:tcBorders>
                                    <w:top w:val="nil"/>
                                    <w:left w:val="nil"/>
                                    <w:bottom w:val="nil"/>
                                    <w:right w:val="nil"/>
                                  </w:tcBorders>
                                  <w:hideMark/>
                                </w:tcPr>
                                <w:p w14:paraId="38D3AF2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19.5% </w:t>
                                  </w:r>
                                </w:p>
                              </w:tc>
                              <w:tc>
                                <w:tcPr>
                                  <w:tcW w:w="558" w:type="pct"/>
                                  <w:tcBorders>
                                    <w:top w:val="nil"/>
                                    <w:left w:val="nil"/>
                                    <w:bottom w:val="nil"/>
                                    <w:right w:val="nil"/>
                                  </w:tcBorders>
                                  <w:hideMark/>
                                </w:tcPr>
                                <w:p w14:paraId="2BF3A97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19.4% </w:t>
                                  </w:r>
                                </w:p>
                              </w:tc>
                            </w:tr>
                            <w:tr w:rsidR="0062242B" w:rsidRPr="0062242B" w14:paraId="13B59344" w14:textId="77777777" w:rsidTr="0062242B">
                              <w:trPr>
                                <w:trHeight w:val="204"/>
                              </w:trPr>
                              <w:tc>
                                <w:tcPr>
                                  <w:tcW w:w="1095" w:type="pct"/>
                                  <w:tcBorders>
                                    <w:top w:val="nil"/>
                                    <w:left w:val="nil"/>
                                    <w:bottom w:val="nil"/>
                                    <w:right w:val="nil"/>
                                  </w:tcBorders>
                                  <w:noWrap/>
                                  <w:hideMark/>
                                </w:tcPr>
                                <w:p w14:paraId="1F1EE4D3"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EBITA Margin %</w:t>
                                  </w:r>
                                </w:p>
                              </w:tc>
                              <w:tc>
                                <w:tcPr>
                                  <w:tcW w:w="558" w:type="pct"/>
                                  <w:tcBorders>
                                    <w:top w:val="nil"/>
                                    <w:left w:val="nil"/>
                                    <w:bottom w:val="nil"/>
                                    <w:right w:val="nil"/>
                                  </w:tcBorders>
                                  <w:hideMark/>
                                </w:tcPr>
                                <w:p w14:paraId="7F3D448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22.2% </w:t>
                                  </w:r>
                                </w:p>
                              </w:tc>
                              <w:tc>
                                <w:tcPr>
                                  <w:tcW w:w="558" w:type="pct"/>
                                  <w:tcBorders>
                                    <w:top w:val="nil"/>
                                    <w:left w:val="nil"/>
                                    <w:bottom w:val="nil"/>
                                    <w:right w:val="nil"/>
                                  </w:tcBorders>
                                  <w:hideMark/>
                                </w:tcPr>
                                <w:p w14:paraId="6C7B9D2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23.0% </w:t>
                                  </w:r>
                                </w:p>
                              </w:tc>
                              <w:tc>
                                <w:tcPr>
                                  <w:tcW w:w="558" w:type="pct"/>
                                  <w:tcBorders>
                                    <w:top w:val="nil"/>
                                    <w:left w:val="nil"/>
                                    <w:bottom w:val="nil"/>
                                    <w:right w:val="nil"/>
                                  </w:tcBorders>
                                  <w:hideMark/>
                                </w:tcPr>
                                <w:p w14:paraId="5D48C9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18.3% </w:t>
                                  </w:r>
                                </w:p>
                              </w:tc>
                              <w:tc>
                                <w:tcPr>
                                  <w:tcW w:w="558" w:type="pct"/>
                                  <w:tcBorders>
                                    <w:top w:val="nil"/>
                                    <w:left w:val="nil"/>
                                    <w:bottom w:val="nil"/>
                                    <w:right w:val="nil"/>
                                  </w:tcBorders>
                                  <w:hideMark/>
                                </w:tcPr>
                                <w:p w14:paraId="4C62F4A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13.7% </w:t>
                                  </w:r>
                                </w:p>
                              </w:tc>
                              <w:tc>
                                <w:tcPr>
                                  <w:tcW w:w="558" w:type="pct"/>
                                  <w:tcBorders>
                                    <w:top w:val="nil"/>
                                    <w:left w:val="nil"/>
                                    <w:bottom w:val="nil"/>
                                    <w:right w:val="nil"/>
                                  </w:tcBorders>
                                  <w:hideMark/>
                                </w:tcPr>
                                <w:p w14:paraId="0B50265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14.5% </w:t>
                                  </w:r>
                                </w:p>
                              </w:tc>
                              <w:tc>
                                <w:tcPr>
                                  <w:tcW w:w="558" w:type="pct"/>
                                  <w:tcBorders>
                                    <w:top w:val="nil"/>
                                    <w:left w:val="nil"/>
                                    <w:bottom w:val="nil"/>
                                    <w:right w:val="nil"/>
                                  </w:tcBorders>
                                  <w:hideMark/>
                                </w:tcPr>
                                <w:p w14:paraId="1CDB037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16.6% </w:t>
                                  </w:r>
                                </w:p>
                              </w:tc>
                              <w:tc>
                                <w:tcPr>
                                  <w:tcW w:w="558" w:type="pct"/>
                                  <w:tcBorders>
                                    <w:top w:val="nil"/>
                                    <w:left w:val="nil"/>
                                    <w:bottom w:val="nil"/>
                                    <w:right w:val="nil"/>
                                  </w:tcBorders>
                                  <w:hideMark/>
                                </w:tcPr>
                                <w:p w14:paraId="1920A06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r>
                            <w:tr w:rsidR="0062242B" w:rsidRPr="0062242B" w14:paraId="39E3BC21" w14:textId="77777777" w:rsidTr="0062242B">
                              <w:trPr>
                                <w:trHeight w:val="204"/>
                              </w:trPr>
                              <w:tc>
                                <w:tcPr>
                                  <w:tcW w:w="1095" w:type="pct"/>
                                  <w:tcBorders>
                                    <w:top w:val="nil"/>
                                    <w:left w:val="nil"/>
                                    <w:bottom w:val="nil"/>
                                    <w:right w:val="nil"/>
                                  </w:tcBorders>
                                  <w:noWrap/>
                                  <w:hideMark/>
                                </w:tcPr>
                                <w:p w14:paraId="37DF4C01"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 Margin %</w:t>
                                  </w:r>
                                </w:p>
                              </w:tc>
                              <w:tc>
                                <w:tcPr>
                                  <w:tcW w:w="558" w:type="pct"/>
                                  <w:tcBorders>
                                    <w:top w:val="nil"/>
                                    <w:left w:val="nil"/>
                                    <w:bottom w:val="nil"/>
                                    <w:right w:val="nil"/>
                                  </w:tcBorders>
                                  <w:hideMark/>
                                </w:tcPr>
                                <w:p w14:paraId="0C7393F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16.3% </w:t>
                                  </w:r>
                                </w:p>
                              </w:tc>
                              <w:tc>
                                <w:tcPr>
                                  <w:tcW w:w="558" w:type="pct"/>
                                  <w:tcBorders>
                                    <w:top w:val="nil"/>
                                    <w:left w:val="nil"/>
                                    <w:bottom w:val="nil"/>
                                    <w:right w:val="nil"/>
                                  </w:tcBorders>
                                  <w:hideMark/>
                                </w:tcPr>
                                <w:p w14:paraId="490016C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18.7% </w:t>
                                  </w:r>
                                </w:p>
                              </w:tc>
                              <w:tc>
                                <w:tcPr>
                                  <w:tcW w:w="558" w:type="pct"/>
                                  <w:tcBorders>
                                    <w:top w:val="nil"/>
                                    <w:left w:val="nil"/>
                                    <w:bottom w:val="nil"/>
                                    <w:right w:val="nil"/>
                                  </w:tcBorders>
                                  <w:hideMark/>
                                </w:tcPr>
                                <w:p w14:paraId="237715B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2A89725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11.3% </w:t>
                                  </w:r>
                                </w:p>
                              </w:tc>
                              <w:tc>
                                <w:tcPr>
                                  <w:tcW w:w="558" w:type="pct"/>
                                  <w:tcBorders>
                                    <w:top w:val="nil"/>
                                    <w:left w:val="nil"/>
                                    <w:bottom w:val="nil"/>
                                    <w:right w:val="nil"/>
                                  </w:tcBorders>
                                  <w:hideMark/>
                                </w:tcPr>
                                <w:p w14:paraId="75F336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c>
                                <w:tcPr>
                                  <w:tcW w:w="558" w:type="pct"/>
                                  <w:tcBorders>
                                    <w:top w:val="nil"/>
                                    <w:left w:val="nil"/>
                                    <w:bottom w:val="nil"/>
                                    <w:right w:val="nil"/>
                                  </w:tcBorders>
                                  <w:hideMark/>
                                </w:tcPr>
                                <w:p w14:paraId="0E81017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14.7% </w:t>
                                  </w:r>
                                </w:p>
                              </w:tc>
                              <w:tc>
                                <w:tcPr>
                                  <w:tcW w:w="558" w:type="pct"/>
                                  <w:tcBorders>
                                    <w:top w:val="nil"/>
                                    <w:left w:val="nil"/>
                                    <w:bottom w:val="nil"/>
                                    <w:right w:val="nil"/>
                                  </w:tcBorders>
                                  <w:hideMark/>
                                </w:tcPr>
                                <w:p w14:paraId="0620F85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r>
                            <w:tr w:rsidR="0062242B" w:rsidRPr="0062242B" w14:paraId="01062087" w14:textId="77777777" w:rsidTr="0062242B">
                              <w:trPr>
                                <w:trHeight w:val="204"/>
                              </w:trPr>
                              <w:tc>
                                <w:tcPr>
                                  <w:tcW w:w="1095" w:type="pct"/>
                                  <w:tcBorders>
                                    <w:top w:val="nil"/>
                                    <w:left w:val="nil"/>
                                    <w:bottom w:val="nil"/>
                                    <w:right w:val="nil"/>
                                  </w:tcBorders>
                                  <w:noWrap/>
                                  <w:hideMark/>
                                </w:tcPr>
                                <w:p w14:paraId="70B5235D"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Earnings from Cont. Ops Margin %</w:t>
                                  </w:r>
                                </w:p>
                              </w:tc>
                              <w:tc>
                                <w:tcPr>
                                  <w:tcW w:w="558" w:type="pct"/>
                                  <w:tcBorders>
                                    <w:top w:val="nil"/>
                                    <w:left w:val="nil"/>
                                    <w:bottom w:val="nil"/>
                                    <w:right w:val="nil"/>
                                  </w:tcBorders>
                                  <w:hideMark/>
                                </w:tcPr>
                                <w:p w14:paraId="701A9D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21.3% </w:t>
                                  </w:r>
                                </w:p>
                              </w:tc>
                              <w:tc>
                                <w:tcPr>
                                  <w:tcW w:w="558" w:type="pct"/>
                                  <w:tcBorders>
                                    <w:top w:val="nil"/>
                                    <w:left w:val="nil"/>
                                    <w:bottom w:val="nil"/>
                                    <w:right w:val="nil"/>
                                  </w:tcBorders>
                                  <w:hideMark/>
                                </w:tcPr>
                                <w:p w14:paraId="4823797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27.5% </w:t>
                                  </w:r>
                                </w:p>
                              </w:tc>
                              <w:tc>
                                <w:tcPr>
                                  <w:tcW w:w="558" w:type="pct"/>
                                  <w:tcBorders>
                                    <w:top w:val="nil"/>
                                    <w:left w:val="nil"/>
                                    <w:bottom w:val="nil"/>
                                    <w:right w:val="nil"/>
                                  </w:tcBorders>
                                  <w:hideMark/>
                                </w:tcPr>
                                <w:p w14:paraId="13F8920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20.0% </w:t>
                                  </w:r>
                                </w:p>
                              </w:tc>
                              <w:tc>
                                <w:tcPr>
                                  <w:tcW w:w="558" w:type="pct"/>
                                  <w:tcBorders>
                                    <w:top w:val="nil"/>
                                    <w:left w:val="nil"/>
                                    <w:bottom w:val="nil"/>
                                    <w:right w:val="nil"/>
                                  </w:tcBorders>
                                  <w:hideMark/>
                                </w:tcPr>
                                <w:p w14:paraId="42077D7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5.5% </w:t>
                                  </w:r>
                                </w:p>
                              </w:tc>
                              <w:tc>
                                <w:tcPr>
                                  <w:tcW w:w="558" w:type="pct"/>
                                  <w:tcBorders>
                                    <w:top w:val="nil"/>
                                    <w:left w:val="nil"/>
                                    <w:bottom w:val="nil"/>
                                    <w:right w:val="nil"/>
                                  </w:tcBorders>
                                  <w:hideMark/>
                                </w:tcPr>
                                <w:p w14:paraId="34655DC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 </w:t>
                                  </w:r>
                                </w:p>
                              </w:tc>
                              <w:tc>
                                <w:tcPr>
                                  <w:tcW w:w="558" w:type="pct"/>
                                  <w:tcBorders>
                                    <w:top w:val="nil"/>
                                    <w:left w:val="nil"/>
                                    <w:bottom w:val="nil"/>
                                    <w:right w:val="nil"/>
                                  </w:tcBorders>
                                  <w:hideMark/>
                                </w:tcPr>
                                <w:p w14:paraId="2FCA83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7.6% </w:t>
                                  </w:r>
                                </w:p>
                              </w:tc>
                              <w:tc>
                                <w:tcPr>
                                  <w:tcW w:w="558" w:type="pct"/>
                                  <w:tcBorders>
                                    <w:top w:val="nil"/>
                                    <w:left w:val="nil"/>
                                    <w:bottom w:val="nil"/>
                                    <w:right w:val="nil"/>
                                  </w:tcBorders>
                                  <w:hideMark/>
                                </w:tcPr>
                                <w:p w14:paraId="07346B5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11.7% </w:t>
                                  </w:r>
                                </w:p>
                              </w:tc>
                            </w:tr>
                            <w:tr w:rsidR="0062242B" w:rsidRPr="0062242B" w14:paraId="27DB5F04" w14:textId="77777777" w:rsidTr="0062242B">
                              <w:trPr>
                                <w:trHeight w:val="204"/>
                              </w:trPr>
                              <w:tc>
                                <w:tcPr>
                                  <w:tcW w:w="1095" w:type="pct"/>
                                  <w:tcBorders>
                                    <w:top w:val="nil"/>
                                    <w:left w:val="nil"/>
                                    <w:bottom w:val="nil"/>
                                    <w:right w:val="nil"/>
                                  </w:tcBorders>
                                  <w:noWrap/>
                                  <w:hideMark/>
                                </w:tcPr>
                                <w:p w14:paraId="631A988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Income Margin %</w:t>
                                  </w:r>
                                </w:p>
                              </w:tc>
                              <w:tc>
                                <w:tcPr>
                                  <w:tcW w:w="558" w:type="pct"/>
                                  <w:tcBorders>
                                    <w:top w:val="nil"/>
                                    <w:left w:val="nil"/>
                                    <w:bottom w:val="nil"/>
                                    <w:right w:val="nil"/>
                                  </w:tcBorders>
                                  <w:hideMark/>
                                </w:tcPr>
                                <w:p w14:paraId="0E5B84A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23.3% </w:t>
                                  </w:r>
                                </w:p>
                              </w:tc>
                              <w:tc>
                                <w:tcPr>
                                  <w:tcW w:w="558" w:type="pct"/>
                                  <w:tcBorders>
                                    <w:top w:val="nil"/>
                                    <w:left w:val="nil"/>
                                    <w:bottom w:val="nil"/>
                                    <w:right w:val="nil"/>
                                  </w:tcBorders>
                                  <w:hideMark/>
                                </w:tcPr>
                                <w:p w14:paraId="67FD1D1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29.3% </w:t>
                                  </w:r>
                                </w:p>
                              </w:tc>
                              <w:tc>
                                <w:tcPr>
                                  <w:tcW w:w="558" w:type="pct"/>
                                  <w:tcBorders>
                                    <w:top w:val="nil"/>
                                    <w:left w:val="nil"/>
                                    <w:bottom w:val="nil"/>
                                    <w:right w:val="nil"/>
                                  </w:tcBorders>
                                  <w:hideMark/>
                                </w:tcPr>
                                <w:p w14:paraId="7452B39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21.0% </w:t>
                                  </w:r>
                                </w:p>
                              </w:tc>
                              <w:tc>
                                <w:tcPr>
                                  <w:tcW w:w="558" w:type="pct"/>
                                  <w:tcBorders>
                                    <w:top w:val="nil"/>
                                    <w:left w:val="nil"/>
                                    <w:bottom w:val="nil"/>
                                    <w:right w:val="nil"/>
                                  </w:tcBorders>
                                  <w:hideMark/>
                                </w:tcPr>
                                <w:p w14:paraId="23C0310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1F2486C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8.4% </w:t>
                                  </w:r>
                                </w:p>
                              </w:tc>
                              <w:tc>
                                <w:tcPr>
                                  <w:tcW w:w="558" w:type="pct"/>
                                  <w:tcBorders>
                                    <w:top w:val="nil"/>
                                    <w:left w:val="nil"/>
                                    <w:bottom w:val="nil"/>
                                    <w:right w:val="nil"/>
                                  </w:tcBorders>
                                  <w:hideMark/>
                                </w:tcPr>
                                <w:p w14:paraId="57530F2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8.5% </w:t>
                                  </w:r>
                                </w:p>
                              </w:tc>
                              <w:tc>
                                <w:tcPr>
                                  <w:tcW w:w="558" w:type="pct"/>
                                  <w:tcBorders>
                                    <w:top w:val="nil"/>
                                    <w:left w:val="nil"/>
                                    <w:bottom w:val="nil"/>
                                    <w:right w:val="nil"/>
                                  </w:tcBorders>
                                  <w:hideMark/>
                                </w:tcPr>
                                <w:p w14:paraId="28783D7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r>
                            <w:tr w:rsidR="0062242B" w:rsidRPr="0062242B" w14:paraId="31DC09AE" w14:textId="77777777" w:rsidTr="0062242B">
                              <w:trPr>
                                <w:trHeight w:val="204"/>
                              </w:trPr>
                              <w:tc>
                                <w:tcPr>
                                  <w:tcW w:w="1095" w:type="pct"/>
                                  <w:tcBorders>
                                    <w:top w:val="nil"/>
                                    <w:left w:val="nil"/>
                                    <w:bottom w:val="nil"/>
                                    <w:right w:val="nil"/>
                                  </w:tcBorders>
                                  <w:noWrap/>
                                  <w:hideMark/>
                                </w:tcPr>
                                <w:p w14:paraId="25D8F34C"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Income Avail. for Common Margin %</w:t>
                                  </w:r>
                                </w:p>
                              </w:tc>
                              <w:tc>
                                <w:tcPr>
                                  <w:tcW w:w="558" w:type="pct"/>
                                  <w:tcBorders>
                                    <w:top w:val="nil"/>
                                    <w:left w:val="nil"/>
                                    <w:bottom w:val="nil"/>
                                    <w:right w:val="nil"/>
                                  </w:tcBorders>
                                  <w:hideMark/>
                                </w:tcPr>
                                <w:p w14:paraId="0EFA721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23.2% </w:t>
                                  </w:r>
                                </w:p>
                              </w:tc>
                              <w:tc>
                                <w:tcPr>
                                  <w:tcW w:w="558" w:type="pct"/>
                                  <w:tcBorders>
                                    <w:top w:val="nil"/>
                                    <w:left w:val="nil"/>
                                    <w:bottom w:val="nil"/>
                                    <w:right w:val="nil"/>
                                  </w:tcBorders>
                                  <w:hideMark/>
                                </w:tcPr>
                                <w:p w14:paraId="38F7C12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29.3% </w:t>
                                  </w:r>
                                </w:p>
                              </w:tc>
                              <w:tc>
                                <w:tcPr>
                                  <w:tcW w:w="558" w:type="pct"/>
                                  <w:tcBorders>
                                    <w:top w:val="nil"/>
                                    <w:left w:val="nil"/>
                                    <w:bottom w:val="nil"/>
                                    <w:right w:val="nil"/>
                                  </w:tcBorders>
                                  <w:hideMark/>
                                </w:tcPr>
                                <w:p w14:paraId="13B91AF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21.0% </w:t>
                                  </w:r>
                                </w:p>
                              </w:tc>
                              <w:tc>
                                <w:tcPr>
                                  <w:tcW w:w="558" w:type="pct"/>
                                  <w:tcBorders>
                                    <w:top w:val="nil"/>
                                    <w:left w:val="nil"/>
                                    <w:bottom w:val="nil"/>
                                    <w:right w:val="nil"/>
                                  </w:tcBorders>
                                  <w:hideMark/>
                                </w:tcPr>
                                <w:p w14:paraId="3F4BE8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5E16982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8.3% </w:t>
                                  </w:r>
                                </w:p>
                              </w:tc>
                              <w:tc>
                                <w:tcPr>
                                  <w:tcW w:w="558" w:type="pct"/>
                                  <w:tcBorders>
                                    <w:top w:val="nil"/>
                                    <w:left w:val="nil"/>
                                    <w:bottom w:val="nil"/>
                                    <w:right w:val="nil"/>
                                  </w:tcBorders>
                                  <w:hideMark/>
                                </w:tcPr>
                                <w:p w14:paraId="23D8FF6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8.5% </w:t>
                                  </w:r>
                                </w:p>
                              </w:tc>
                              <w:tc>
                                <w:tcPr>
                                  <w:tcW w:w="558" w:type="pct"/>
                                  <w:tcBorders>
                                    <w:top w:val="nil"/>
                                    <w:left w:val="nil"/>
                                    <w:bottom w:val="nil"/>
                                    <w:right w:val="nil"/>
                                  </w:tcBorders>
                                  <w:hideMark/>
                                </w:tcPr>
                                <w:p w14:paraId="56CA81A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r>
                            <w:tr w:rsidR="0062242B" w:rsidRPr="0062242B" w14:paraId="22E5183F" w14:textId="77777777" w:rsidTr="0062242B">
                              <w:trPr>
                                <w:trHeight w:val="204"/>
                              </w:trPr>
                              <w:tc>
                                <w:tcPr>
                                  <w:tcW w:w="1095" w:type="pct"/>
                                  <w:tcBorders>
                                    <w:top w:val="nil"/>
                                    <w:left w:val="nil"/>
                                    <w:bottom w:val="nil"/>
                                    <w:right w:val="nil"/>
                                  </w:tcBorders>
                                  <w:noWrap/>
                                  <w:hideMark/>
                                </w:tcPr>
                                <w:p w14:paraId="616C2C4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Normalized Net Income Margin %</w:t>
                                  </w:r>
                                </w:p>
                              </w:tc>
                              <w:tc>
                                <w:tcPr>
                                  <w:tcW w:w="558" w:type="pct"/>
                                  <w:tcBorders>
                                    <w:top w:val="nil"/>
                                    <w:left w:val="nil"/>
                                    <w:bottom w:val="nil"/>
                                    <w:right w:val="nil"/>
                                  </w:tcBorders>
                                  <w:hideMark/>
                                </w:tcPr>
                                <w:p w14:paraId="0DEB985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18.8% </w:t>
                                  </w:r>
                                </w:p>
                              </w:tc>
                              <w:tc>
                                <w:tcPr>
                                  <w:tcW w:w="558" w:type="pct"/>
                                  <w:tcBorders>
                                    <w:top w:val="nil"/>
                                    <w:left w:val="nil"/>
                                    <w:bottom w:val="nil"/>
                                    <w:right w:val="nil"/>
                                  </w:tcBorders>
                                  <w:hideMark/>
                                </w:tcPr>
                                <w:p w14:paraId="2240988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22.0% </w:t>
                                  </w:r>
                                </w:p>
                              </w:tc>
                              <w:tc>
                                <w:tcPr>
                                  <w:tcW w:w="558" w:type="pct"/>
                                  <w:tcBorders>
                                    <w:top w:val="nil"/>
                                    <w:left w:val="nil"/>
                                    <w:bottom w:val="nil"/>
                                    <w:right w:val="nil"/>
                                  </w:tcBorders>
                                  <w:hideMark/>
                                </w:tcPr>
                                <w:p w14:paraId="23273E3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338B9EE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10.3% </w:t>
                                  </w:r>
                                </w:p>
                              </w:tc>
                              <w:tc>
                                <w:tcPr>
                                  <w:tcW w:w="558" w:type="pct"/>
                                  <w:tcBorders>
                                    <w:top w:val="nil"/>
                                    <w:left w:val="nil"/>
                                    <w:bottom w:val="nil"/>
                                    <w:right w:val="nil"/>
                                  </w:tcBorders>
                                  <w:hideMark/>
                                </w:tcPr>
                                <w:p w14:paraId="0E5BB7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7.9% </w:t>
                                  </w:r>
                                </w:p>
                              </w:tc>
                              <w:tc>
                                <w:tcPr>
                                  <w:tcW w:w="558" w:type="pct"/>
                                  <w:tcBorders>
                                    <w:top w:val="nil"/>
                                    <w:left w:val="nil"/>
                                    <w:bottom w:val="nil"/>
                                    <w:right w:val="nil"/>
                                  </w:tcBorders>
                                  <w:hideMark/>
                                </w:tcPr>
                                <w:p w14:paraId="6F91AF9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9.5% </w:t>
                                  </w:r>
                                </w:p>
                              </w:tc>
                              <w:tc>
                                <w:tcPr>
                                  <w:tcW w:w="558" w:type="pct"/>
                                  <w:tcBorders>
                                    <w:top w:val="nil"/>
                                    <w:left w:val="nil"/>
                                    <w:bottom w:val="nil"/>
                                    <w:right w:val="nil"/>
                                  </w:tcBorders>
                                  <w:hideMark/>
                                </w:tcPr>
                                <w:p w14:paraId="430B486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11.8% </w:t>
                                  </w:r>
                                </w:p>
                              </w:tc>
                            </w:tr>
                            <w:tr w:rsidR="0062242B" w:rsidRPr="0062242B" w14:paraId="7B015701" w14:textId="77777777" w:rsidTr="0062242B">
                              <w:trPr>
                                <w:trHeight w:val="204"/>
                              </w:trPr>
                              <w:tc>
                                <w:tcPr>
                                  <w:tcW w:w="1095" w:type="pct"/>
                                  <w:tcBorders>
                                    <w:top w:val="nil"/>
                                    <w:left w:val="nil"/>
                                    <w:bottom w:val="nil"/>
                                    <w:right w:val="nil"/>
                                  </w:tcBorders>
                                  <w:noWrap/>
                                  <w:hideMark/>
                                </w:tcPr>
                                <w:p w14:paraId="49DFDC4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Levered Free Cash Flow Margin %</w:t>
                                  </w:r>
                                </w:p>
                              </w:tc>
                              <w:tc>
                                <w:tcPr>
                                  <w:tcW w:w="558" w:type="pct"/>
                                  <w:tcBorders>
                                    <w:top w:val="nil"/>
                                    <w:left w:val="nil"/>
                                    <w:bottom w:val="nil"/>
                                    <w:right w:val="nil"/>
                                  </w:tcBorders>
                                  <w:hideMark/>
                                </w:tcPr>
                                <w:p w14:paraId="2C12CD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25.2% </w:t>
                                  </w:r>
                                </w:p>
                              </w:tc>
                              <w:tc>
                                <w:tcPr>
                                  <w:tcW w:w="558" w:type="pct"/>
                                  <w:tcBorders>
                                    <w:top w:val="nil"/>
                                    <w:left w:val="nil"/>
                                    <w:bottom w:val="nil"/>
                                    <w:right w:val="nil"/>
                                  </w:tcBorders>
                                  <w:hideMark/>
                                </w:tcPr>
                                <w:p w14:paraId="6865D10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22.4% </w:t>
                                  </w:r>
                                </w:p>
                              </w:tc>
                              <w:tc>
                                <w:tcPr>
                                  <w:tcW w:w="558" w:type="pct"/>
                                  <w:tcBorders>
                                    <w:top w:val="nil"/>
                                    <w:left w:val="nil"/>
                                    <w:bottom w:val="nil"/>
                                    <w:right w:val="nil"/>
                                  </w:tcBorders>
                                  <w:hideMark/>
                                </w:tcPr>
                                <w:p w14:paraId="250FE1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26.0% </w:t>
                                  </w:r>
                                </w:p>
                              </w:tc>
                              <w:tc>
                                <w:tcPr>
                                  <w:tcW w:w="558" w:type="pct"/>
                                  <w:tcBorders>
                                    <w:top w:val="nil"/>
                                    <w:left w:val="nil"/>
                                    <w:bottom w:val="nil"/>
                                    <w:right w:val="nil"/>
                                  </w:tcBorders>
                                  <w:hideMark/>
                                </w:tcPr>
                                <w:p w14:paraId="6D3FCA4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433F00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13.1% </w:t>
                                  </w:r>
                                </w:p>
                              </w:tc>
                              <w:tc>
                                <w:tcPr>
                                  <w:tcW w:w="558" w:type="pct"/>
                                  <w:tcBorders>
                                    <w:top w:val="nil"/>
                                    <w:left w:val="nil"/>
                                    <w:bottom w:val="nil"/>
                                    <w:right w:val="nil"/>
                                  </w:tcBorders>
                                  <w:hideMark/>
                                </w:tcPr>
                                <w:p w14:paraId="62F75D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46C126F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9.8% </w:t>
                                  </w:r>
                                </w:p>
                              </w:tc>
                            </w:tr>
                            <w:tr w:rsidR="0062242B" w:rsidRPr="0062242B" w14:paraId="298CE73A" w14:textId="77777777" w:rsidTr="0062242B">
                              <w:trPr>
                                <w:trHeight w:val="204"/>
                              </w:trPr>
                              <w:tc>
                                <w:tcPr>
                                  <w:tcW w:w="1095" w:type="pct"/>
                                  <w:tcBorders>
                                    <w:top w:val="nil"/>
                                    <w:left w:val="nil"/>
                                    <w:bottom w:val="nil"/>
                                    <w:right w:val="nil"/>
                                  </w:tcBorders>
                                  <w:noWrap/>
                                  <w:hideMark/>
                                </w:tcPr>
                                <w:p w14:paraId="7D73A9C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Unlevered Free Cash Flow Margin %</w:t>
                                  </w:r>
                                </w:p>
                              </w:tc>
                              <w:tc>
                                <w:tcPr>
                                  <w:tcW w:w="558" w:type="pct"/>
                                  <w:tcBorders>
                                    <w:top w:val="nil"/>
                                    <w:left w:val="nil"/>
                                    <w:bottom w:val="nil"/>
                                    <w:right w:val="nil"/>
                                  </w:tcBorders>
                                  <w:hideMark/>
                                </w:tcPr>
                                <w:p w14:paraId="5946727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26.1% </w:t>
                                  </w:r>
                                </w:p>
                              </w:tc>
                              <w:tc>
                                <w:tcPr>
                                  <w:tcW w:w="558" w:type="pct"/>
                                  <w:tcBorders>
                                    <w:top w:val="nil"/>
                                    <w:left w:val="nil"/>
                                    <w:bottom w:val="nil"/>
                                    <w:right w:val="nil"/>
                                  </w:tcBorders>
                                  <w:hideMark/>
                                </w:tcPr>
                                <w:p w14:paraId="7EA335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23.0% </w:t>
                                  </w:r>
                                </w:p>
                              </w:tc>
                              <w:tc>
                                <w:tcPr>
                                  <w:tcW w:w="558" w:type="pct"/>
                                  <w:tcBorders>
                                    <w:top w:val="nil"/>
                                    <w:left w:val="nil"/>
                                    <w:bottom w:val="nil"/>
                                    <w:right w:val="nil"/>
                                  </w:tcBorders>
                                  <w:hideMark/>
                                </w:tcPr>
                                <w:p w14:paraId="563CAEC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26.4% </w:t>
                                  </w:r>
                                </w:p>
                              </w:tc>
                              <w:tc>
                                <w:tcPr>
                                  <w:tcW w:w="558" w:type="pct"/>
                                  <w:tcBorders>
                                    <w:top w:val="nil"/>
                                    <w:left w:val="nil"/>
                                    <w:bottom w:val="nil"/>
                                    <w:right w:val="nil"/>
                                  </w:tcBorders>
                                  <w:hideMark/>
                                </w:tcPr>
                                <w:p w14:paraId="710B078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7.7% </w:t>
                                  </w:r>
                                </w:p>
                              </w:tc>
                              <w:tc>
                                <w:tcPr>
                                  <w:tcW w:w="558" w:type="pct"/>
                                  <w:tcBorders>
                                    <w:top w:val="nil"/>
                                    <w:left w:val="nil"/>
                                    <w:bottom w:val="nil"/>
                                    <w:right w:val="nil"/>
                                  </w:tcBorders>
                                  <w:hideMark/>
                                </w:tcPr>
                                <w:p w14:paraId="4F2D899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2103FF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316FD00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10.4% </w:t>
                                  </w:r>
                                </w:p>
                              </w:tc>
                            </w:tr>
                            <w:tr w:rsidR="0062242B" w:rsidRPr="0062242B" w14:paraId="095E0E05" w14:textId="77777777" w:rsidTr="0062242B">
                              <w:trPr>
                                <w:trHeight w:val="204"/>
                              </w:trPr>
                              <w:tc>
                                <w:tcPr>
                                  <w:tcW w:w="1095" w:type="pct"/>
                                  <w:tcBorders>
                                    <w:top w:val="nil"/>
                                    <w:left w:val="nil"/>
                                    <w:bottom w:val="nil"/>
                                    <w:right w:val="nil"/>
                                  </w:tcBorders>
                                  <w:noWrap/>
                                  <w:hideMark/>
                                </w:tcPr>
                                <w:p w14:paraId="1D8F5C8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Asset Turnover</w:t>
                                  </w:r>
                                </w:p>
                              </w:tc>
                              <w:tc>
                                <w:tcPr>
                                  <w:tcW w:w="558" w:type="pct"/>
                                  <w:tcBorders>
                                    <w:top w:val="nil"/>
                                    <w:left w:val="nil"/>
                                    <w:bottom w:val="nil"/>
                                    <w:right w:val="nil"/>
                                  </w:tcBorders>
                                  <w:noWrap/>
                                  <w:hideMark/>
                                </w:tcPr>
                                <w:p w14:paraId="1FDCC929"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741DECE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B155C6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D871EE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3B9804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E7BD187"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F2213C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54C08DED" w14:textId="77777777" w:rsidTr="0062242B">
                              <w:trPr>
                                <w:trHeight w:val="204"/>
                              </w:trPr>
                              <w:tc>
                                <w:tcPr>
                                  <w:tcW w:w="1095" w:type="pct"/>
                                  <w:tcBorders>
                                    <w:top w:val="nil"/>
                                    <w:left w:val="nil"/>
                                    <w:bottom w:val="nil"/>
                                    <w:right w:val="nil"/>
                                  </w:tcBorders>
                                  <w:noWrap/>
                                  <w:hideMark/>
                                </w:tcPr>
                                <w:p w14:paraId="784C7D00"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Asset Turnover</w:t>
                                  </w:r>
                                </w:p>
                              </w:tc>
                              <w:tc>
                                <w:tcPr>
                                  <w:tcW w:w="558" w:type="pct"/>
                                  <w:tcBorders>
                                    <w:top w:val="nil"/>
                                    <w:left w:val="nil"/>
                                    <w:bottom w:val="nil"/>
                                    <w:right w:val="nil"/>
                                  </w:tcBorders>
                                  <w:hideMark/>
                                </w:tcPr>
                                <w:p w14:paraId="2964692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0C21E1D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0AE1E08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16706D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219E72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66C6F5F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9D7540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r>
                            <w:tr w:rsidR="0062242B" w:rsidRPr="0062242B" w14:paraId="111DA042" w14:textId="77777777" w:rsidTr="0062242B">
                              <w:trPr>
                                <w:trHeight w:val="204"/>
                              </w:trPr>
                              <w:tc>
                                <w:tcPr>
                                  <w:tcW w:w="1095" w:type="pct"/>
                                  <w:tcBorders>
                                    <w:top w:val="nil"/>
                                    <w:left w:val="nil"/>
                                    <w:bottom w:val="nil"/>
                                    <w:right w:val="nil"/>
                                  </w:tcBorders>
                                  <w:noWrap/>
                                  <w:hideMark/>
                                </w:tcPr>
                                <w:p w14:paraId="7A11AC3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Fixed Asset Turnover</w:t>
                                  </w:r>
                                </w:p>
                              </w:tc>
                              <w:tc>
                                <w:tcPr>
                                  <w:tcW w:w="558" w:type="pct"/>
                                  <w:tcBorders>
                                    <w:top w:val="nil"/>
                                    <w:left w:val="nil"/>
                                    <w:bottom w:val="nil"/>
                                    <w:right w:val="nil"/>
                                  </w:tcBorders>
                                  <w:hideMark/>
                                </w:tcPr>
                                <w:p w14:paraId="1308A22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4.8x</w:t>
                                  </w:r>
                                </w:p>
                              </w:tc>
                              <w:tc>
                                <w:tcPr>
                                  <w:tcW w:w="558" w:type="pct"/>
                                  <w:tcBorders>
                                    <w:top w:val="nil"/>
                                    <w:left w:val="nil"/>
                                    <w:bottom w:val="nil"/>
                                    <w:right w:val="nil"/>
                                  </w:tcBorders>
                                  <w:hideMark/>
                                </w:tcPr>
                                <w:p w14:paraId="4D40B86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4.4x</w:t>
                                  </w:r>
                                </w:p>
                              </w:tc>
                              <w:tc>
                                <w:tcPr>
                                  <w:tcW w:w="558" w:type="pct"/>
                                  <w:tcBorders>
                                    <w:top w:val="nil"/>
                                    <w:left w:val="nil"/>
                                    <w:bottom w:val="nil"/>
                                    <w:right w:val="nil"/>
                                  </w:tcBorders>
                                  <w:hideMark/>
                                </w:tcPr>
                                <w:p w14:paraId="46EF679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4.0x</w:t>
                                  </w:r>
                                </w:p>
                              </w:tc>
                              <w:tc>
                                <w:tcPr>
                                  <w:tcW w:w="558" w:type="pct"/>
                                  <w:tcBorders>
                                    <w:top w:val="nil"/>
                                    <w:left w:val="nil"/>
                                    <w:bottom w:val="nil"/>
                                    <w:right w:val="nil"/>
                                  </w:tcBorders>
                                  <w:hideMark/>
                                </w:tcPr>
                                <w:p w14:paraId="6966D93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3.6x</w:t>
                                  </w:r>
                                </w:p>
                              </w:tc>
                              <w:tc>
                                <w:tcPr>
                                  <w:tcW w:w="558" w:type="pct"/>
                                  <w:tcBorders>
                                    <w:top w:val="nil"/>
                                    <w:left w:val="nil"/>
                                    <w:bottom w:val="nil"/>
                                    <w:right w:val="nil"/>
                                  </w:tcBorders>
                                  <w:hideMark/>
                                </w:tcPr>
                                <w:p w14:paraId="29A7CB0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3.5x</w:t>
                                  </w:r>
                                </w:p>
                              </w:tc>
                              <w:tc>
                                <w:tcPr>
                                  <w:tcW w:w="558" w:type="pct"/>
                                  <w:tcBorders>
                                    <w:top w:val="nil"/>
                                    <w:left w:val="nil"/>
                                    <w:bottom w:val="nil"/>
                                    <w:right w:val="nil"/>
                                  </w:tcBorders>
                                  <w:hideMark/>
                                </w:tcPr>
                                <w:p w14:paraId="2524A04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3.7x</w:t>
                                  </w:r>
                                </w:p>
                              </w:tc>
                              <w:tc>
                                <w:tcPr>
                                  <w:tcW w:w="558" w:type="pct"/>
                                  <w:tcBorders>
                                    <w:top w:val="nil"/>
                                    <w:left w:val="nil"/>
                                    <w:bottom w:val="nil"/>
                                    <w:right w:val="nil"/>
                                  </w:tcBorders>
                                  <w:hideMark/>
                                </w:tcPr>
                                <w:p w14:paraId="0925FB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4.8x</w:t>
                                  </w:r>
                                </w:p>
                              </w:tc>
                            </w:tr>
                            <w:tr w:rsidR="0062242B" w:rsidRPr="0062242B" w14:paraId="3BCCCCC1" w14:textId="77777777" w:rsidTr="0062242B">
                              <w:trPr>
                                <w:trHeight w:val="204"/>
                              </w:trPr>
                              <w:tc>
                                <w:tcPr>
                                  <w:tcW w:w="1095" w:type="pct"/>
                                  <w:tcBorders>
                                    <w:top w:val="nil"/>
                                    <w:left w:val="nil"/>
                                    <w:bottom w:val="nil"/>
                                    <w:right w:val="nil"/>
                                  </w:tcBorders>
                                  <w:noWrap/>
                                  <w:hideMark/>
                                </w:tcPr>
                                <w:p w14:paraId="3899B8B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Accounts Receivable Turnover</w:t>
                                  </w:r>
                                </w:p>
                              </w:tc>
                              <w:tc>
                                <w:tcPr>
                                  <w:tcW w:w="558" w:type="pct"/>
                                  <w:tcBorders>
                                    <w:top w:val="nil"/>
                                    <w:left w:val="nil"/>
                                    <w:bottom w:val="nil"/>
                                    <w:right w:val="nil"/>
                                  </w:tcBorders>
                                  <w:hideMark/>
                                </w:tcPr>
                                <w:p w14:paraId="7C508C9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20.6x</w:t>
                                  </w:r>
                                </w:p>
                              </w:tc>
                              <w:tc>
                                <w:tcPr>
                                  <w:tcW w:w="558" w:type="pct"/>
                                  <w:tcBorders>
                                    <w:top w:val="nil"/>
                                    <w:left w:val="nil"/>
                                    <w:bottom w:val="nil"/>
                                    <w:right w:val="nil"/>
                                  </w:tcBorders>
                                  <w:hideMark/>
                                </w:tcPr>
                                <w:p w14:paraId="392F431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19.6x</w:t>
                                  </w:r>
                                </w:p>
                              </w:tc>
                              <w:tc>
                                <w:tcPr>
                                  <w:tcW w:w="558" w:type="pct"/>
                                  <w:tcBorders>
                                    <w:top w:val="nil"/>
                                    <w:left w:val="nil"/>
                                    <w:bottom w:val="nil"/>
                                    <w:right w:val="nil"/>
                                  </w:tcBorders>
                                  <w:hideMark/>
                                </w:tcPr>
                                <w:p w14:paraId="652DC4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21.0x</w:t>
                                  </w:r>
                                </w:p>
                              </w:tc>
                              <w:tc>
                                <w:tcPr>
                                  <w:tcW w:w="558" w:type="pct"/>
                                  <w:tcBorders>
                                    <w:top w:val="nil"/>
                                    <w:left w:val="nil"/>
                                    <w:bottom w:val="nil"/>
                                    <w:right w:val="nil"/>
                                  </w:tcBorders>
                                  <w:hideMark/>
                                </w:tcPr>
                                <w:p w14:paraId="27D6CD6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20.7x</w:t>
                                  </w:r>
                                </w:p>
                              </w:tc>
                              <w:tc>
                                <w:tcPr>
                                  <w:tcW w:w="558" w:type="pct"/>
                                  <w:tcBorders>
                                    <w:top w:val="nil"/>
                                    <w:left w:val="nil"/>
                                    <w:bottom w:val="nil"/>
                                    <w:right w:val="nil"/>
                                  </w:tcBorders>
                                  <w:hideMark/>
                                </w:tcPr>
                                <w:p w14:paraId="7693409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20.2x</w:t>
                                  </w:r>
                                </w:p>
                              </w:tc>
                              <w:tc>
                                <w:tcPr>
                                  <w:tcW w:w="558" w:type="pct"/>
                                  <w:tcBorders>
                                    <w:top w:val="nil"/>
                                    <w:left w:val="nil"/>
                                    <w:bottom w:val="nil"/>
                                    <w:right w:val="nil"/>
                                  </w:tcBorders>
                                  <w:hideMark/>
                                </w:tcPr>
                                <w:p w14:paraId="0A21959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23.5x</w:t>
                                  </w:r>
                                </w:p>
                              </w:tc>
                              <w:tc>
                                <w:tcPr>
                                  <w:tcW w:w="558" w:type="pct"/>
                                  <w:tcBorders>
                                    <w:top w:val="nil"/>
                                    <w:left w:val="nil"/>
                                    <w:bottom w:val="nil"/>
                                    <w:right w:val="nil"/>
                                  </w:tcBorders>
                                  <w:hideMark/>
                                </w:tcPr>
                                <w:p w14:paraId="4575305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06E2E92F" w14:textId="77777777" w:rsidTr="0062242B">
                              <w:trPr>
                                <w:trHeight w:val="204"/>
                              </w:trPr>
                              <w:tc>
                                <w:tcPr>
                                  <w:tcW w:w="1095" w:type="pct"/>
                                  <w:tcBorders>
                                    <w:top w:val="nil"/>
                                    <w:left w:val="nil"/>
                                    <w:bottom w:val="nil"/>
                                    <w:right w:val="nil"/>
                                  </w:tcBorders>
                                  <w:noWrap/>
                                  <w:hideMark/>
                                </w:tcPr>
                                <w:p w14:paraId="3AD7DCB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Inventory Turnover</w:t>
                                  </w:r>
                                </w:p>
                              </w:tc>
                              <w:tc>
                                <w:tcPr>
                                  <w:tcW w:w="558" w:type="pct"/>
                                  <w:tcBorders>
                                    <w:top w:val="nil"/>
                                    <w:left w:val="nil"/>
                                    <w:bottom w:val="nil"/>
                                    <w:right w:val="nil"/>
                                  </w:tcBorders>
                                  <w:hideMark/>
                                </w:tcPr>
                                <w:p w14:paraId="063AE8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31.2x</w:t>
                                  </w:r>
                                </w:p>
                              </w:tc>
                              <w:tc>
                                <w:tcPr>
                                  <w:tcW w:w="558" w:type="pct"/>
                                  <w:tcBorders>
                                    <w:top w:val="nil"/>
                                    <w:left w:val="nil"/>
                                    <w:bottom w:val="nil"/>
                                    <w:right w:val="nil"/>
                                  </w:tcBorders>
                                  <w:hideMark/>
                                </w:tcPr>
                                <w:p w14:paraId="1CF1251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23.9x</w:t>
                                  </w:r>
                                </w:p>
                              </w:tc>
                              <w:tc>
                                <w:tcPr>
                                  <w:tcW w:w="558" w:type="pct"/>
                                  <w:tcBorders>
                                    <w:top w:val="nil"/>
                                    <w:left w:val="nil"/>
                                    <w:bottom w:val="nil"/>
                                    <w:right w:val="nil"/>
                                  </w:tcBorders>
                                  <w:hideMark/>
                                </w:tcPr>
                                <w:p w14:paraId="6A2957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19.6x</w:t>
                                  </w:r>
                                </w:p>
                              </w:tc>
                              <w:tc>
                                <w:tcPr>
                                  <w:tcW w:w="558" w:type="pct"/>
                                  <w:tcBorders>
                                    <w:top w:val="nil"/>
                                    <w:left w:val="nil"/>
                                    <w:bottom w:val="nil"/>
                                    <w:right w:val="nil"/>
                                  </w:tcBorders>
                                  <w:hideMark/>
                                </w:tcPr>
                                <w:p w14:paraId="4F020F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18.6x</w:t>
                                  </w:r>
                                </w:p>
                              </w:tc>
                              <w:tc>
                                <w:tcPr>
                                  <w:tcW w:w="558" w:type="pct"/>
                                  <w:tcBorders>
                                    <w:top w:val="nil"/>
                                    <w:left w:val="nil"/>
                                    <w:bottom w:val="nil"/>
                                    <w:right w:val="nil"/>
                                  </w:tcBorders>
                                  <w:hideMark/>
                                </w:tcPr>
                                <w:p w14:paraId="1D09087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18.7x</w:t>
                                  </w:r>
                                </w:p>
                              </w:tc>
                              <w:tc>
                                <w:tcPr>
                                  <w:tcW w:w="558" w:type="pct"/>
                                  <w:tcBorders>
                                    <w:top w:val="nil"/>
                                    <w:left w:val="nil"/>
                                    <w:bottom w:val="nil"/>
                                    <w:right w:val="nil"/>
                                  </w:tcBorders>
                                  <w:hideMark/>
                                </w:tcPr>
                                <w:p w14:paraId="7E95CE4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21.7x</w:t>
                                  </w:r>
                                </w:p>
                              </w:tc>
                              <w:tc>
                                <w:tcPr>
                                  <w:tcW w:w="558" w:type="pct"/>
                                  <w:tcBorders>
                                    <w:top w:val="nil"/>
                                    <w:left w:val="nil"/>
                                    <w:bottom w:val="nil"/>
                                    <w:right w:val="nil"/>
                                  </w:tcBorders>
                                  <w:hideMark/>
                                </w:tcPr>
                                <w:p w14:paraId="5416B9C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645704FE" w14:textId="77777777" w:rsidTr="0062242B">
                              <w:trPr>
                                <w:trHeight w:val="204"/>
                              </w:trPr>
                              <w:tc>
                                <w:tcPr>
                                  <w:tcW w:w="1095" w:type="pct"/>
                                  <w:tcBorders>
                                    <w:top w:val="nil"/>
                                    <w:left w:val="nil"/>
                                    <w:bottom w:val="nil"/>
                                    <w:right w:val="nil"/>
                                  </w:tcBorders>
                                  <w:noWrap/>
                                  <w:hideMark/>
                                </w:tcPr>
                                <w:p w14:paraId="4A185F47"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Short Term Liquidity</w:t>
                                  </w:r>
                                </w:p>
                              </w:tc>
                              <w:tc>
                                <w:tcPr>
                                  <w:tcW w:w="558" w:type="pct"/>
                                  <w:tcBorders>
                                    <w:top w:val="nil"/>
                                    <w:left w:val="nil"/>
                                    <w:bottom w:val="nil"/>
                                    <w:right w:val="nil"/>
                                  </w:tcBorders>
                                  <w:noWrap/>
                                  <w:hideMark/>
                                </w:tcPr>
                                <w:p w14:paraId="240C1145"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7DFF3BC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43A679C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49B5BD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71FA4B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3FFF21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1CF7AA90"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7E8B261E" w14:textId="77777777" w:rsidTr="0062242B">
                              <w:trPr>
                                <w:trHeight w:val="204"/>
                              </w:trPr>
                              <w:tc>
                                <w:tcPr>
                                  <w:tcW w:w="1095" w:type="pct"/>
                                  <w:tcBorders>
                                    <w:top w:val="nil"/>
                                    <w:left w:val="nil"/>
                                    <w:bottom w:val="nil"/>
                                    <w:right w:val="nil"/>
                                  </w:tcBorders>
                                  <w:noWrap/>
                                  <w:hideMark/>
                                </w:tcPr>
                                <w:p w14:paraId="7967645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Current Ratio</w:t>
                                  </w:r>
                                </w:p>
                              </w:tc>
                              <w:tc>
                                <w:tcPr>
                                  <w:tcW w:w="558" w:type="pct"/>
                                  <w:tcBorders>
                                    <w:top w:val="nil"/>
                                    <w:left w:val="nil"/>
                                    <w:bottom w:val="nil"/>
                                    <w:right w:val="nil"/>
                                  </w:tcBorders>
                                  <w:hideMark/>
                                </w:tcPr>
                                <w:p w14:paraId="0E80E57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01F02FA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1.9x</w:t>
                                  </w:r>
                                </w:p>
                              </w:tc>
                              <w:tc>
                                <w:tcPr>
                                  <w:tcW w:w="558" w:type="pct"/>
                                  <w:tcBorders>
                                    <w:top w:val="nil"/>
                                    <w:left w:val="nil"/>
                                    <w:bottom w:val="nil"/>
                                    <w:right w:val="nil"/>
                                  </w:tcBorders>
                                  <w:hideMark/>
                                </w:tcPr>
                                <w:p w14:paraId="76609A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73220CE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7C557A4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1.8x</w:t>
                                  </w:r>
                                </w:p>
                              </w:tc>
                              <w:tc>
                                <w:tcPr>
                                  <w:tcW w:w="558" w:type="pct"/>
                                  <w:tcBorders>
                                    <w:top w:val="nil"/>
                                    <w:left w:val="nil"/>
                                    <w:bottom w:val="nil"/>
                                    <w:right w:val="nil"/>
                                  </w:tcBorders>
                                  <w:hideMark/>
                                </w:tcPr>
                                <w:p w14:paraId="764165A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1.8x</w:t>
                                  </w:r>
                                </w:p>
                              </w:tc>
                              <w:tc>
                                <w:tcPr>
                                  <w:tcW w:w="558" w:type="pct"/>
                                  <w:tcBorders>
                                    <w:top w:val="nil"/>
                                    <w:left w:val="nil"/>
                                    <w:bottom w:val="nil"/>
                                    <w:right w:val="nil"/>
                                  </w:tcBorders>
                                  <w:hideMark/>
                                </w:tcPr>
                                <w:p w14:paraId="45E508B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r>
                            <w:tr w:rsidR="0062242B" w:rsidRPr="0062242B" w14:paraId="63258B78" w14:textId="77777777" w:rsidTr="0062242B">
                              <w:trPr>
                                <w:trHeight w:val="204"/>
                              </w:trPr>
                              <w:tc>
                                <w:tcPr>
                                  <w:tcW w:w="1095" w:type="pct"/>
                                  <w:tcBorders>
                                    <w:top w:val="nil"/>
                                    <w:left w:val="nil"/>
                                    <w:bottom w:val="nil"/>
                                    <w:right w:val="nil"/>
                                  </w:tcBorders>
                                  <w:noWrap/>
                                  <w:hideMark/>
                                </w:tcPr>
                                <w:p w14:paraId="3B42597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Quick Ratio</w:t>
                                  </w:r>
                                </w:p>
                              </w:tc>
                              <w:tc>
                                <w:tcPr>
                                  <w:tcW w:w="558" w:type="pct"/>
                                  <w:tcBorders>
                                    <w:top w:val="nil"/>
                                    <w:left w:val="nil"/>
                                    <w:bottom w:val="nil"/>
                                    <w:right w:val="nil"/>
                                  </w:tcBorders>
                                  <w:hideMark/>
                                </w:tcPr>
                                <w:p w14:paraId="7B6EFAC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6B9788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2F52BEB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146B46A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7281414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63B2939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54D3F9D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1.0x</w:t>
                                  </w:r>
                                </w:p>
                              </w:tc>
                            </w:tr>
                            <w:tr w:rsidR="0062242B" w:rsidRPr="0062242B" w14:paraId="0FD6EDC7" w14:textId="77777777" w:rsidTr="0062242B">
                              <w:trPr>
                                <w:trHeight w:val="204"/>
                              </w:trPr>
                              <w:tc>
                                <w:tcPr>
                                  <w:tcW w:w="1095" w:type="pct"/>
                                  <w:tcBorders>
                                    <w:top w:val="nil"/>
                                    <w:left w:val="nil"/>
                                    <w:bottom w:val="nil"/>
                                    <w:right w:val="nil"/>
                                  </w:tcBorders>
                                  <w:noWrap/>
                                  <w:hideMark/>
                                </w:tcPr>
                                <w:p w14:paraId="326461EC"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Cash from Ops. to Curr. </w:t>
                                  </w:r>
                                  <w:r w:rsidRPr="0062242B">
                                    <w:rPr>
                                      <w:rFonts w:ascii="Cambria" w:eastAsia="Times New Roman" w:hAnsi="Cambria" w:cs="Arial"/>
                                      <w:color w:val="000000"/>
                                      <w:kern w:val="0"/>
                                      <w:sz w:val="16"/>
                                      <w:szCs w:val="16"/>
                                      <w:lang w:eastAsia="en-IN"/>
                                      <w14:ligatures w14:val="none"/>
                                    </w:rPr>
                                    <w:t>Liab.</w:t>
                                  </w:r>
                                </w:p>
                              </w:tc>
                              <w:tc>
                                <w:tcPr>
                                  <w:tcW w:w="558" w:type="pct"/>
                                  <w:tcBorders>
                                    <w:top w:val="nil"/>
                                    <w:left w:val="nil"/>
                                    <w:bottom w:val="nil"/>
                                    <w:right w:val="nil"/>
                                  </w:tcBorders>
                                  <w:hideMark/>
                                </w:tcPr>
                                <w:p w14:paraId="500D60B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0.7x</w:t>
                                  </w:r>
                                </w:p>
                              </w:tc>
                              <w:tc>
                                <w:tcPr>
                                  <w:tcW w:w="558" w:type="pct"/>
                                  <w:tcBorders>
                                    <w:top w:val="nil"/>
                                    <w:left w:val="nil"/>
                                    <w:bottom w:val="nil"/>
                                    <w:right w:val="nil"/>
                                  </w:tcBorders>
                                  <w:hideMark/>
                                </w:tcPr>
                                <w:p w14:paraId="2C443F5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0.7x</w:t>
                                  </w:r>
                                </w:p>
                              </w:tc>
                              <w:tc>
                                <w:tcPr>
                                  <w:tcW w:w="558" w:type="pct"/>
                                  <w:tcBorders>
                                    <w:top w:val="nil"/>
                                    <w:left w:val="nil"/>
                                    <w:bottom w:val="nil"/>
                                    <w:right w:val="nil"/>
                                  </w:tcBorders>
                                  <w:hideMark/>
                                </w:tcPr>
                                <w:p w14:paraId="513EFE4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0.6x</w:t>
                                  </w:r>
                                </w:p>
                              </w:tc>
                              <w:tc>
                                <w:tcPr>
                                  <w:tcW w:w="558" w:type="pct"/>
                                  <w:tcBorders>
                                    <w:top w:val="nil"/>
                                    <w:left w:val="nil"/>
                                    <w:bottom w:val="nil"/>
                                    <w:right w:val="nil"/>
                                  </w:tcBorders>
                                  <w:hideMark/>
                                </w:tcPr>
                                <w:p w14:paraId="78AD54B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2C98AEE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87B930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37C4B16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0.3x</w:t>
                                  </w:r>
                                </w:p>
                              </w:tc>
                            </w:tr>
                            <w:tr w:rsidR="0062242B" w:rsidRPr="0062242B" w14:paraId="4647CE2F" w14:textId="77777777" w:rsidTr="0062242B">
                              <w:trPr>
                                <w:trHeight w:val="204"/>
                              </w:trPr>
                              <w:tc>
                                <w:tcPr>
                                  <w:tcW w:w="1095" w:type="pct"/>
                                  <w:tcBorders>
                                    <w:top w:val="nil"/>
                                    <w:left w:val="nil"/>
                                    <w:bottom w:val="nil"/>
                                    <w:right w:val="nil"/>
                                  </w:tcBorders>
                                  <w:noWrap/>
                                  <w:hideMark/>
                                </w:tcPr>
                                <w:p w14:paraId="436C9C99"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Sales Out.</w:t>
                                  </w:r>
                                </w:p>
                              </w:tc>
                              <w:tc>
                                <w:tcPr>
                                  <w:tcW w:w="558" w:type="pct"/>
                                  <w:tcBorders>
                                    <w:top w:val="nil"/>
                                    <w:left w:val="nil"/>
                                    <w:bottom w:val="nil"/>
                                    <w:right w:val="nil"/>
                                  </w:tcBorders>
                                  <w:hideMark/>
                                </w:tcPr>
                                <w:p w14:paraId="38C060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17.7 </w:t>
                                  </w:r>
                                </w:p>
                              </w:tc>
                              <w:tc>
                                <w:tcPr>
                                  <w:tcW w:w="558" w:type="pct"/>
                                  <w:tcBorders>
                                    <w:top w:val="nil"/>
                                    <w:left w:val="nil"/>
                                    <w:bottom w:val="nil"/>
                                    <w:right w:val="nil"/>
                                  </w:tcBorders>
                                  <w:hideMark/>
                                </w:tcPr>
                                <w:p w14:paraId="4755A7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18.7 </w:t>
                                  </w:r>
                                </w:p>
                              </w:tc>
                              <w:tc>
                                <w:tcPr>
                                  <w:tcW w:w="558" w:type="pct"/>
                                  <w:tcBorders>
                                    <w:top w:val="nil"/>
                                    <w:left w:val="nil"/>
                                    <w:bottom w:val="nil"/>
                                    <w:right w:val="nil"/>
                                  </w:tcBorders>
                                  <w:hideMark/>
                                </w:tcPr>
                                <w:p w14:paraId="3C10279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17.4 </w:t>
                                  </w:r>
                                </w:p>
                              </w:tc>
                              <w:tc>
                                <w:tcPr>
                                  <w:tcW w:w="558" w:type="pct"/>
                                  <w:tcBorders>
                                    <w:top w:val="nil"/>
                                    <w:left w:val="nil"/>
                                    <w:bottom w:val="nil"/>
                                    <w:right w:val="nil"/>
                                  </w:tcBorders>
                                  <w:hideMark/>
                                </w:tcPr>
                                <w:p w14:paraId="52CACAD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17.6 </w:t>
                                  </w:r>
                                </w:p>
                              </w:tc>
                              <w:tc>
                                <w:tcPr>
                                  <w:tcW w:w="558" w:type="pct"/>
                                  <w:tcBorders>
                                    <w:top w:val="nil"/>
                                    <w:left w:val="nil"/>
                                    <w:bottom w:val="nil"/>
                                    <w:right w:val="nil"/>
                                  </w:tcBorders>
                                  <w:hideMark/>
                                </w:tcPr>
                                <w:p w14:paraId="48D4091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18.1 </w:t>
                                  </w:r>
                                </w:p>
                              </w:tc>
                              <w:tc>
                                <w:tcPr>
                                  <w:tcW w:w="558" w:type="pct"/>
                                  <w:tcBorders>
                                    <w:top w:val="nil"/>
                                    <w:left w:val="nil"/>
                                    <w:bottom w:val="nil"/>
                                    <w:right w:val="nil"/>
                                  </w:tcBorders>
                                  <w:hideMark/>
                                </w:tcPr>
                                <w:p w14:paraId="096DD50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15.6 </w:t>
                                  </w:r>
                                </w:p>
                              </w:tc>
                              <w:tc>
                                <w:tcPr>
                                  <w:tcW w:w="558" w:type="pct"/>
                                  <w:tcBorders>
                                    <w:top w:val="nil"/>
                                    <w:left w:val="nil"/>
                                    <w:bottom w:val="nil"/>
                                    <w:right w:val="nil"/>
                                  </w:tcBorders>
                                  <w:hideMark/>
                                </w:tcPr>
                                <w:p w14:paraId="559167C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392466FA" w14:textId="77777777" w:rsidTr="0062242B">
                              <w:trPr>
                                <w:trHeight w:val="204"/>
                              </w:trPr>
                              <w:tc>
                                <w:tcPr>
                                  <w:tcW w:w="1095" w:type="pct"/>
                                  <w:tcBorders>
                                    <w:top w:val="nil"/>
                                    <w:left w:val="nil"/>
                                    <w:bottom w:val="nil"/>
                                    <w:right w:val="nil"/>
                                  </w:tcBorders>
                                  <w:noWrap/>
                                  <w:hideMark/>
                                </w:tcPr>
                                <w:p w14:paraId="4BBDA91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Inventory Out.</w:t>
                                  </w:r>
                                </w:p>
                              </w:tc>
                              <w:tc>
                                <w:tcPr>
                                  <w:tcW w:w="558" w:type="pct"/>
                                  <w:tcBorders>
                                    <w:top w:val="nil"/>
                                    <w:left w:val="nil"/>
                                    <w:bottom w:val="nil"/>
                                    <w:right w:val="nil"/>
                                  </w:tcBorders>
                                  <w:hideMark/>
                                </w:tcPr>
                                <w:p w14:paraId="460C53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11.7 </w:t>
                                  </w:r>
                                </w:p>
                              </w:tc>
                              <w:tc>
                                <w:tcPr>
                                  <w:tcW w:w="558" w:type="pct"/>
                                  <w:tcBorders>
                                    <w:top w:val="nil"/>
                                    <w:left w:val="nil"/>
                                    <w:bottom w:val="nil"/>
                                    <w:right w:val="nil"/>
                                  </w:tcBorders>
                                  <w:hideMark/>
                                </w:tcPr>
                                <w:p w14:paraId="61EA9E9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00D421E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18.6 </w:t>
                                  </w:r>
                                </w:p>
                              </w:tc>
                              <w:tc>
                                <w:tcPr>
                                  <w:tcW w:w="558" w:type="pct"/>
                                  <w:tcBorders>
                                    <w:top w:val="nil"/>
                                    <w:left w:val="nil"/>
                                    <w:bottom w:val="nil"/>
                                    <w:right w:val="nil"/>
                                  </w:tcBorders>
                                  <w:hideMark/>
                                </w:tcPr>
                                <w:p w14:paraId="6525D3E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19.6 </w:t>
                                  </w:r>
                                </w:p>
                              </w:tc>
                              <w:tc>
                                <w:tcPr>
                                  <w:tcW w:w="558" w:type="pct"/>
                                  <w:tcBorders>
                                    <w:top w:val="nil"/>
                                    <w:left w:val="nil"/>
                                    <w:bottom w:val="nil"/>
                                    <w:right w:val="nil"/>
                                  </w:tcBorders>
                                  <w:hideMark/>
                                </w:tcPr>
                                <w:p w14:paraId="773FA3E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19.5 </w:t>
                                  </w:r>
                                </w:p>
                              </w:tc>
                              <w:tc>
                                <w:tcPr>
                                  <w:tcW w:w="558" w:type="pct"/>
                                  <w:tcBorders>
                                    <w:top w:val="nil"/>
                                    <w:left w:val="nil"/>
                                    <w:bottom w:val="nil"/>
                                    <w:right w:val="nil"/>
                                  </w:tcBorders>
                                  <w:hideMark/>
                                </w:tcPr>
                                <w:p w14:paraId="5F7FCFC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16.9 </w:t>
                                  </w:r>
                                </w:p>
                              </w:tc>
                              <w:tc>
                                <w:tcPr>
                                  <w:tcW w:w="558" w:type="pct"/>
                                  <w:tcBorders>
                                    <w:top w:val="nil"/>
                                    <w:left w:val="nil"/>
                                    <w:bottom w:val="nil"/>
                                    <w:right w:val="nil"/>
                                  </w:tcBorders>
                                  <w:hideMark/>
                                </w:tcPr>
                                <w:p w14:paraId="4553C11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1491902E" w14:textId="77777777" w:rsidTr="0062242B">
                              <w:trPr>
                                <w:trHeight w:val="204"/>
                              </w:trPr>
                              <w:tc>
                                <w:tcPr>
                                  <w:tcW w:w="1095" w:type="pct"/>
                                  <w:tcBorders>
                                    <w:top w:val="nil"/>
                                    <w:left w:val="nil"/>
                                    <w:bottom w:val="nil"/>
                                    <w:right w:val="nil"/>
                                  </w:tcBorders>
                                  <w:noWrap/>
                                  <w:hideMark/>
                                </w:tcPr>
                                <w:p w14:paraId="448F5EC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Payable Out.</w:t>
                                  </w:r>
                                </w:p>
                              </w:tc>
                              <w:tc>
                                <w:tcPr>
                                  <w:tcW w:w="558" w:type="pct"/>
                                  <w:tcBorders>
                                    <w:top w:val="nil"/>
                                    <w:left w:val="nil"/>
                                    <w:bottom w:val="nil"/>
                                    <w:right w:val="nil"/>
                                  </w:tcBorders>
                                  <w:hideMark/>
                                </w:tcPr>
                                <w:p w14:paraId="4B350AC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81.0 </w:t>
                                  </w:r>
                                </w:p>
                              </w:tc>
                              <w:tc>
                                <w:tcPr>
                                  <w:tcW w:w="558" w:type="pct"/>
                                  <w:tcBorders>
                                    <w:top w:val="nil"/>
                                    <w:left w:val="nil"/>
                                    <w:bottom w:val="nil"/>
                                    <w:right w:val="nil"/>
                                  </w:tcBorders>
                                  <w:hideMark/>
                                </w:tcPr>
                                <w:p w14:paraId="4CEC785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76.2 </w:t>
                                  </w:r>
                                </w:p>
                              </w:tc>
                              <w:tc>
                                <w:tcPr>
                                  <w:tcW w:w="558" w:type="pct"/>
                                  <w:tcBorders>
                                    <w:top w:val="nil"/>
                                    <w:left w:val="nil"/>
                                    <w:bottom w:val="nil"/>
                                    <w:right w:val="nil"/>
                                  </w:tcBorders>
                                  <w:hideMark/>
                                </w:tcPr>
                                <w:p w14:paraId="26D1BD4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68.2 </w:t>
                                  </w:r>
                                </w:p>
                              </w:tc>
                              <w:tc>
                                <w:tcPr>
                                  <w:tcW w:w="558" w:type="pct"/>
                                  <w:tcBorders>
                                    <w:top w:val="nil"/>
                                    <w:left w:val="nil"/>
                                    <w:bottom w:val="nil"/>
                                    <w:right w:val="nil"/>
                                  </w:tcBorders>
                                  <w:hideMark/>
                                </w:tcPr>
                                <w:p w14:paraId="575844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68.0 </w:t>
                                  </w:r>
                                </w:p>
                              </w:tc>
                              <w:tc>
                                <w:tcPr>
                                  <w:tcW w:w="558" w:type="pct"/>
                                  <w:tcBorders>
                                    <w:top w:val="nil"/>
                                    <w:left w:val="nil"/>
                                    <w:bottom w:val="nil"/>
                                    <w:right w:val="nil"/>
                                  </w:tcBorders>
                                  <w:hideMark/>
                                </w:tcPr>
                                <w:p w14:paraId="7045394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73.7 </w:t>
                                  </w:r>
                                </w:p>
                              </w:tc>
                              <w:tc>
                                <w:tcPr>
                                  <w:tcW w:w="558" w:type="pct"/>
                                  <w:tcBorders>
                                    <w:top w:val="nil"/>
                                    <w:left w:val="nil"/>
                                    <w:bottom w:val="nil"/>
                                    <w:right w:val="nil"/>
                                  </w:tcBorders>
                                  <w:hideMark/>
                                </w:tcPr>
                                <w:p w14:paraId="2AB3170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75.7 </w:t>
                                  </w:r>
                                </w:p>
                              </w:tc>
                              <w:tc>
                                <w:tcPr>
                                  <w:tcW w:w="558" w:type="pct"/>
                                  <w:tcBorders>
                                    <w:top w:val="nil"/>
                                    <w:left w:val="nil"/>
                                    <w:bottom w:val="nil"/>
                                    <w:right w:val="nil"/>
                                  </w:tcBorders>
                                  <w:hideMark/>
                                </w:tcPr>
                                <w:p w14:paraId="3388723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1820E169" w14:textId="77777777" w:rsidTr="0062242B">
                              <w:trPr>
                                <w:trHeight w:val="204"/>
                              </w:trPr>
                              <w:tc>
                                <w:tcPr>
                                  <w:tcW w:w="1095" w:type="pct"/>
                                  <w:tcBorders>
                                    <w:top w:val="nil"/>
                                    <w:left w:val="nil"/>
                                    <w:bottom w:val="nil"/>
                                    <w:right w:val="nil"/>
                                  </w:tcBorders>
                                  <w:noWrap/>
                                  <w:hideMark/>
                                </w:tcPr>
                                <w:p w14:paraId="2F54E80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Cash Conversion Cycle</w:t>
                                  </w:r>
                                </w:p>
                              </w:tc>
                              <w:tc>
                                <w:tcPr>
                                  <w:tcW w:w="558" w:type="pct"/>
                                  <w:tcBorders>
                                    <w:top w:val="nil"/>
                                    <w:left w:val="nil"/>
                                    <w:bottom w:val="nil"/>
                                    <w:right w:val="nil"/>
                                  </w:tcBorders>
                                  <w:hideMark/>
                                </w:tcPr>
                                <w:p w14:paraId="67568B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(51.6)  </w:t>
                                  </w:r>
                                </w:p>
                              </w:tc>
                              <w:tc>
                                <w:tcPr>
                                  <w:tcW w:w="558" w:type="pct"/>
                                  <w:tcBorders>
                                    <w:top w:val="nil"/>
                                    <w:left w:val="nil"/>
                                    <w:bottom w:val="nil"/>
                                    <w:right w:val="nil"/>
                                  </w:tcBorders>
                                  <w:hideMark/>
                                </w:tcPr>
                                <w:p w14:paraId="7E2D76C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(42.2)  </w:t>
                                  </w:r>
                                </w:p>
                              </w:tc>
                              <w:tc>
                                <w:tcPr>
                                  <w:tcW w:w="558" w:type="pct"/>
                                  <w:tcBorders>
                                    <w:top w:val="nil"/>
                                    <w:left w:val="nil"/>
                                    <w:bottom w:val="nil"/>
                                    <w:right w:val="nil"/>
                                  </w:tcBorders>
                                  <w:hideMark/>
                                </w:tcPr>
                                <w:p w14:paraId="3132A42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(32.2)  </w:t>
                                  </w:r>
                                </w:p>
                              </w:tc>
                              <w:tc>
                                <w:tcPr>
                                  <w:tcW w:w="558" w:type="pct"/>
                                  <w:tcBorders>
                                    <w:top w:val="nil"/>
                                    <w:left w:val="nil"/>
                                    <w:bottom w:val="nil"/>
                                    <w:right w:val="nil"/>
                                  </w:tcBorders>
                                  <w:hideMark/>
                                </w:tcPr>
                                <w:p w14:paraId="7ECF7F4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(30.7)  </w:t>
                                  </w:r>
                                </w:p>
                              </w:tc>
                              <w:tc>
                                <w:tcPr>
                                  <w:tcW w:w="558" w:type="pct"/>
                                  <w:tcBorders>
                                    <w:top w:val="nil"/>
                                    <w:left w:val="nil"/>
                                    <w:bottom w:val="nil"/>
                                    <w:right w:val="nil"/>
                                  </w:tcBorders>
                                  <w:hideMark/>
                                </w:tcPr>
                                <w:p w14:paraId="795363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(36.1)  </w:t>
                                  </w:r>
                                </w:p>
                              </w:tc>
                              <w:tc>
                                <w:tcPr>
                                  <w:tcW w:w="558" w:type="pct"/>
                                  <w:tcBorders>
                                    <w:top w:val="nil"/>
                                    <w:left w:val="nil"/>
                                    <w:bottom w:val="nil"/>
                                    <w:right w:val="nil"/>
                                  </w:tcBorders>
                                  <w:hideMark/>
                                </w:tcPr>
                                <w:p w14:paraId="0F1808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(43.3)  </w:t>
                                  </w:r>
                                </w:p>
                              </w:tc>
                              <w:tc>
                                <w:tcPr>
                                  <w:tcW w:w="558" w:type="pct"/>
                                  <w:tcBorders>
                                    <w:top w:val="nil"/>
                                    <w:left w:val="nil"/>
                                    <w:bottom w:val="nil"/>
                                    <w:right w:val="nil"/>
                                  </w:tcBorders>
                                  <w:hideMark/>
                                </w:tcPr>
                                <w:p w14:paraId="280D0FB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0A82B3EF" w14:textId="77777777" w:rsidTr="0062242B">
                              <w:trPr>
                                <w:trHeight w:val="204"/>
                              </w:trPr>
                              <w:tc>
                                <w:tcPr>
                                  <w:tcW w:w="1095" w:type="pct"/>
                                  <w:tcBorders>
                                    <w:top w:val="nil"/>
                                    <w:left w:val="nil"/>
                                    <w:bottom w:val="nil"/>
                                    <w:right w:val="nil"/>
                                  </w:tcBorders>
                                  <w:noWrap/>
                                  <w:hideMark/>
                                </w:tcPr>
                                <w:p w14:paraId="40742B46"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Long Term Solvency</w:t>
                                  </w:r>
                                </w:p>
                              </w:tc>
                              <w:tc>
                                <w:tcPr>
                                  <w:tcW w:w="558" w:type="pct"/>
                                  <w:tcBorders>
                                    <w:top w:val="nil"/>
                                    <w:left w:val="nil"/>
                                    <w:bottom w:val="nil"/>
                                    <w:right w:val="nil"/>
                                  </w:tcBorders>
                                  <w:noWrap/>
                                  <w:hideMark/>
                                </w:tcPr>
                                <w:p w14:paraId="43ACE3C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5AAA86A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AFDAF0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13190DD"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58F53E3"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169210F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CA2BEE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743976A0" w14:textId="77777777" w:rsidTr="0062242B">
                              <w:trPr>
                                <w:trHeight w:val="204"/>
                              </w:trPr>
                              <w:tc>
                                <w:tcPr>
                                  <w:tcW w:w="1095" w:type="pct"/>
                                  <w:tcBorders>
                                    <w:top w:val="nil"/>
                                    <w:left w:val="nil"/>
                                    <w:bottom w:val="nil"/>
                                    <w:right w:val="nil"/>
                                  </w:tcBorders>
                                  <w:noWrap/>
                                  <w:hideMark/>
                                </w:tcPr>
                                <w:p w14:paraId="533D8FC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Debt/Equity</w:t>
                                  </w:r>
                                </w:p>
                              </w:tc>
                              <w:tc>
                                <w:tcPr>
                                  <w:tcW w:w="558" w:type="pct"/>
                                  <w:tcBorders>
                                    <w:top w:val="nil"/>
                                    <w:left w:val="nil"/>
                                    <w:bottom w:val="nil"/>
                                    <w:right w:val="nil"/>
                                  </w:tcBorders>
                                  <w:hideMark/>
                                </w:tcPr>
                                <w:p w14:paraId="7BC252E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22.1% </w:t>
                                  </w:r>
                                </w:p>
                              </w:tc>
                              <w:tc>
                                <w:tcPr>
                                  <w:tcW w:w="558" w:type="pct"/>
                                  <w:tcBorders>
                                    <w:top w:val="nil"/>
                                    <w:left w:val="nil"/>
                                    <w:bottom w:val="nil"/>
                                    <w:right w:val="nil"/>
                                  </w:tcBorders>
                                  <w:hideMark/>
                                </w:tcPr>
                                <w:p w14:paraId="68F296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3D8EE8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2E745D9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16.3% </w:t>
                                  </w:r>
                                </w:p>
                              </w:tc>
                              <w:tc>
                                <w:tcPr>
                                  <w:tcW w:w="558" w:type="pct"/>
                                  <w:tcBorders>
                                    <w:top w:val="nil"/>
                                    <w:left w:val="nil"/>
                                    <w:bottom w:val="nil"/>
                                    <w:right w:val="nil"/>
                                  </w:tcBorders>
                                  <w:hideMark/>
                                </w:tcPr>
                                <w:p w14:paraId="41368F9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17.4% </w:t>
                                  </w:r>
                                </w:p>
                              </w:tc>
                              <w:tc>
                                <w:tcPr>
                                  <w:tcW w:w="558" w:type="pct"/>
                                  <w:tcBorders>
                                    <w:top w:val="nil"/>
                                    <w:left w:val="nil"/>
                                    <w:bottom w:val="nil"/>
                                    <w:right w:val="nil"/>
                                  </w:tcBorders>
                                  <w:hideMark/>
                                </w:tcPr>
                                <w:p w14:paraId="652E8C3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18.5% </w:t>
                                  </w:r>
                                </w:p>
                              </w:tc>
                              <w:tc>
                                <w:tcPr>
                                  <w:tcW w:w="558" w:type="pct"/>
                                  <w:tcBorders>
                                    <w:top w:val="nil"/>
                                    <w:left w:val="nil"/>
                                    <w:bottom w:val="nil"/>
                                    <w:right w:val="nil"/>
                                  </w:tcBorders>
                                  <w:hideMark/>
                                </w:tcPr>
                                <w:p w14:paraId="45C6BC7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24.1% </w:t>
                                  </w:r>
                                </w:p>
                              </w:tc>
                            </w:tr>
                            <w:tr w:rsidR="0062242B" w:rsidRPr="0062242B" w14:paraId="222F2515" w14:textId="77777777" w:rsidTr="0062242B">
                              <w:trPr>
                                <w:trHeight w:val="204"/>
                              </w:trPr>
                              <w:tc>
                                <w:tcPr>
                                  <w:tcW w:w="1095" w:type="pct"/>
                                  <w:tcBorders>
                                    <w:top w:val="nil"/>
                                    <w:left w:val="nil"/>
                                    <w:bottom w:val="nil"/>
                                    <w:right w:val="nil"/>
                                  </w:tcBorders>
                                  <w:noWrap/>
                                  <w:hideMark/>
                                </w:tcPr>
                                <w:p w14:paraId="5B88BDF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Debt/Capital</w:t>
                                  </w:r>
                                </w:p>
                              </w:tc>
                              <w:tc>
                                <w:tcPr>
                                  <w:tcW w:w="558" w:type="pct"/>
                                  <w:tcBorders>
                                    <w:top w:val="nil"/>
                                    <w:left w:val="nil"/>
                                    <w:bottom w:val="nil"/>
                                    <w:right w:val="nil"/>
                                  </w:tcBorders>
                                  <w:hideMark/>
                                </w:tcPr>
                                <w:p w14:paraId="27EC0DC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18.1% </w:t>
                                  </w:r>
                                </w:p>
                              </w:tc>
                              <w:tc>
                                <w:tcPr>
                                  <w:tcW w:w="558" w:type="pct"/>
                                  <w:tcBorders>
                                    <w:top w:val="nil"/>
                                    <w:left w:val="nil"/>
                                    <w:bottom w:val="nil"/>
                                    <w:right w:val="nil"/>
                                  </w:tcBorders>
                                  <w:hideMark/>
                                </w:tcPr>
                                <w:p w14:paraId="25D9B13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14.3% </w:t>
                                  </w:r>
                                </w:p>
                              </w:tc>
                              <w:tc>
                                <w:tcPr>
                                  <w:tcW w:w="558" w:type="pct"/>
                                  <w:tcBorders>
                                    <w:top w:val="nil"/>
                                    <w:left w:val="nil"/>
                                    <w:bottom w:val="nil"/>
                                    <w:right w:val="nil"/>
                                  </w:tcBorders>
                                  <w:hideMark/>
                                </w:tcPr>
                                <w:p w14:paraId="2B6F37C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14.3% </w:t>
                                  </w:r>
                                </w:p>
                              </w:tc>
                              <w:tc>
                                <w:tcPr>
                                  <w:tcW w:w="558" w:type="pct"/>
                                  <w:tcBorders>
                                    <w:top w:val="nil"/>
                                    <w:left w:val="nil"/>
                                    <w:bottom w:val="nil"/>
                                    <w:right w:val="nil"/>
                                  </w:tcBorders>
                                  <w:hideMark/>
                                </w:tcPr>
                                <w:p w14:paraId="64BAE59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14.0% </w:t>
                                  </w:r>
                                </w:p>
                              </w:tc>
                              <w:tc>
                                <w:tcPr>
                                  <w:tcW w:w="558" w:type="pct"/>
                                  <w:tcBorders>
                                    <w:top w:val="nil"/>
                                    <w:left w:val="nil"/>
                                    <w:bottom w:val="nil"/>
                                    <w:right w:val="nil"/>
                                  </w:tcBorders>
                                  <w:hideMark/>
                                </w:tcPr>
                                <w:p w14:paraId="7106C3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14.8% </w:t>
                                  </w:r>
                                </w:p>
                              </w:tc>
                              <w:tc>
                                <w:tcPr>
                                  <w:tcW w:w="558" w:type="pct"/>
                                  <w:tcBorders>
                                    <w:top w:val="nil"/>
                                    <w:left w:val="nil"/>
                                    <w:bottom w:val="nil"/>
                                    <w:right w:val="nil"/>
                                  </w:tcBorders>
                                  <w:hideMark/>
                                </w:tcPr>
                                <w:p w14:paraId="2B7674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15.6% </w:t>
                                  </w:r>
                                </w:p>
                              </w:tc>
                              <w:tc>
                                <w:tcPr>
                                  <w:tcW w:w="558" w:type="pct"/>
                                  <w:tcBorders>
                                    <w:top w:val="nil"/>
                                    <w:left w:val="nil"/>
                                    <w:bottom w:val="nil"/>
                                    <w:right w:val="nil"/>
                                  </w:tcBorders>
                                  <w:hideMark/>
                                </w:tcPr>
                                <w:p w14:paraId="7A72D3A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19.4% </w:t>
                                  </w:r>
                                </w:p>
                              </w:tc>
                            </w:tr>
                            <w:tr w:rsidR="0062242B" w:rsidRPr="0062242B" w14:paraId="28BB1669" w14:textId="77777777" w:rsidTr="0062242B">
                              <w:trPr>
                                <w:trHeight w:val="204"/>
                              </w:trPr>
                              <w:tc>
                                <w:tcPr>
                                  <w:tcW w:w="1095" w:type="pct"/>
                                  <w:tcBorders>
                                    <w:top w:val="nil"/>
                                    <w:left w:val="nil"/>
                                    <w:bottom w:val="nil"/>
                                    <w:right w:val="nil"/>
                                  </w:tcBorders>
                                  <w:noWrap/>
                                  <w:hideMark/>
                                </w:tcPr>
                                <w:p w14:paraId="05AE681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LT Debt/Equity</w:t>
                                  </w:r>
                                </w:p>
                              </w:tc>
                              <w:tc>
                                <w:tcPr>
                                  <w:tcW w:w="558" w:type="pct"/>
                                  <w:tcBorders>
                                    <w:top w:val="nil"/>
                                    <w:left w:val="nil"/>
                                    <w:bottom w:val="nil"/>
                                    <w:right w:val="nil"/>
                                  </w:tcBorders>
                                  <w:hideMark/>
                                </w:tcPr>
                                <w:p w14:paraId="0EDB8BC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18.4% </w:t>
                                  </w:r>
                                </w:p>
                              </w:tc>
                              <w:tc>
                                <w:tcPr>
                                  <w:tcW w:w="558" w:type="pct"/>
                                  <w:tcBorders>
                                    <w:top w:val="nil"/>
                                    <w:left w:val="nil"/>
                                    <w:bottom w:val="nil"/>
                                    <w:right w:val="nil"/>
                                  </w:tcBorders>
                                  <w:hideMark/>
                                </w:tcPr>
                                <w:p w14:paraId="178D1F5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15.8% </w:t>
                                  </w:r>
                                </w:p>
                              </w:tc>
                              <w:tc>
                                <w:tcPr>
                                  <w:tcW w:w="558" w:type="pct"/>
                                  <w:tcBorders>
                                    <w:top w:val="nil"/>
                                    <w:left w:val="nil"/>
                                    <w:bottom w:val="nil"/>
                                    <w:right w:val="nil"/>
                                  </w:tcBorders>
                                  <w:hideMark/>
                                </w:tcPr>
                                <w:p w14:paraId="1BF8173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c>
                                <w:tcPr>
                                  <w:tcW w:w="558" w:type="pct"/>
                                  <w:tcBorders>
                                    <w:top w:val="nil"/>
                                    <w:left w:val="nil"/>
                                    <w:bottom w:val="nil"/>
                                    <w:right w:val="nil"/>
                                  </w:tcBorders>
                                  <w:hideMark/>
                                </w:tcPr>
                                <w:p w14:paraId="17A02F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15.0% </w:t>
                                  </w:r>
                                </w:p>
                              </w:tc>
                              <w:tc>
                                <w:tcPr>
                                  <w:tcW w:w="558" w:type="pct"/>
                                  <w:tcBorders>
                                    <w:top w:val="nil"/>
                                    <w:left w:val="nil"/>
                                    <w:bottom w:val="nil"/>
                                    <w:right w:val="nil"/>
                                  </w:tcBorders>
                                  <w:hideMark/>
                                </w:tcPr>
                                <w:p w14:paraId="7744EE9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15.8% </w:t>
                                  </w:r>
                                </w:p>
                              </w:tc>
                              <w:tc>
                                <w:tcPr>
                                  <w:tcW w:w="558" w:type="pct"/>
                                  <w:tcBorders>
                                    <w:top w:val="nil"/>
                                    <w:left w:val="nil"/>
                                    <w:bottom w:val="nil"/>
                                    <w:right w:val="nil"/>
                                  </w:tcBorders>
                                  <w:hideMark/>
                                </w:tcPr>
                                <w:p w14:paraId="2A8172A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4318C7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22.2% </w:t>
                                  </w:r>
                                </w:p>
                              </w:tc>
                            </w:tr>
                            <w:tr w:rsidR="0062242B" w:rsidRPr="0062242B" w14:paraId="7147446F" w14:textId="77777777" w:rsidTr="0062242B">
                              <w:trPr>
                                <w:trHeight w:val="204"/>
                              </w:trPr>
                              <w:tc>
                                <w:tcPr>
                                  <w:tcW w:w="1095" w:type="pct"/>
                                  <w:tcBorders>
                                    <w:top w:val="nil"/>
                                    <w:left w:val="nil"/>
                                    <w:bottom w:val="nil"/>
                                    <w:right w:val="nil"/>
                                  </w:tcBorders>
                                  <w:noWrap/>
                                  <w:hideMark/>
                                </w:tcPr>
                                <w:p w14:paraId="2C5773E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LT Debt/Capital</w:t>
                                  </w:r>
                                </w:p>
                              </w:tc>
                              <w:tc>
                                <w:tcPr>
                                  <w:tcW w:w="558" w:type="pct"/>
                                  <w:tcBorders>
                                    <w:top w:val="nil"/>
                                    <w:left w:val="nil"/>
                                    <w:bottom w:val="nil"/>
                                    <w:right w:val="nil"/>
                                  </w:tcBorders>
                                  <w:hideMark/>
                                </w:tcPr>
                                <w:p w14:paraId="3206B39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c>
                                <w:tcPr>
                                  <w:tcW w:w="558" w:type="pct"/>
                                  <w:tcBorders>
                                    <w:top w:val="nil"/>
                                    <w:left w:val="nil"/>
                                    <w:bottom w:val="nil"/>
                                    <w:right w:val="nil"/>
                                  </w:tcBorders>
                                  <w:hideMark/>
                                </w:tcPr>
                                <w:p w14:paraId="4623C08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649DE8B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18F6718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12.9% </w:t>
                                  </w:r>
                                </w:p>
                              </w:tc>
                              <w:tc>
                                <w:tcPr>
                                  <w:tcW w:w="558" w:type="pct"/>
                                  <w:tcBorders>
                                    <w:top w:val="nil"/>
                                    <w:left w:val="nil"/>
                                    <w:bottom w:val="nil"/>
                                    <w:right w:val="nil"/>
                                  </w:tcBorders>
                                  <w:hideMark/>
                                </w:tcPr>
                                <w:p w14:paraId="416D29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13.5% </w:t>
                                  </w:r>
                                </w:p>
                              </w:tc>
                              <w:tc>
                                <w:tcPr>
                                  <w:tcW w:w="558" w:type="pct"/>
                                  <w:tcBorders>
                                    <w:top w:val="nil"/>
                                    <w:left w:val="nil"/>
                                    <w:bottom w:val="nil"/>
                                    <w:right w:val="nil"/>
                                  </w:tcBorders>
                                  <w:hideMark/>
                                </w:tcPr>
                                <w:p w14:paraId="13D7F9C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5F94F9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17.9% </w:t>
                                  </w:r>
                                </w:p>
                              </w:tc>
                            </w:tr>
                            <w:tr w:rsidR="0062242B" w:rsidRPr="0062242B" w14:paraId="004111FF" w14:textId="77777777" w:rsidTr="0062242B">
                              <w:trPr>
                                <w:trHeight w:val="204"/>
                              </w:trPr>
                              <w:tc>
                                <w:tcPr>
                                  <w:tcW w:w="1095" w:type="pct"/>
                                  <w:tcBorders>
                                    <w:top w:val="nil"/>
                                    <w:left w:val="nil"/>
                                    <w:bottom w:val="nil"/>
                                    <w:right w:val="nil"/>
                                  </w:tcBorders>
                                  <w:noWrap/>
                                  <w:hideMark/>
                                </w:tcPr>
                                <w:p w14:paraId="56195B3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Liabilities/Total Assets</w:t>
                                  </w:r>
                                </w:p>
                              </w:tc>
                              <w:tc>
                                <w:tcPr>
                                  <w:tcW w:w="558" w:type="pct"/>
                                  <w:tcBorders>
                                    <w:top w:val="nil"/>
                                    <w:left w:val="nil"/>
                                    <w:bottom w:val="nil"/>
                                    <w:right w:val="nil"/>
                                  </w:tcBorders>
                                  <w:hideMark/>
                                </w:tcPr>
                                <w:p w14:paraId="25CE62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79ADF6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33.0% </w:t>
                                  </w:r>
                                </w:p>
                              </w:tc>
                              <w:tc>
                                <w:tcPr>
                                  <w:tcW w:w="558" w:type="pct"/>
                                  <w:tcBorders>
                                    <w:top w:val="nil"/>
                                    <w:left w:val="nil"/>
                                    <w:bottom w:val="nil"/>
                                    <w:right w:val="nil"/>
                                  </w:tcBorders>
                                  <w:hideMark/>
                                </w:tcPr>
                                <w:p w14:paraId="21DEF4C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35.9% </w:t>
                                  </w:r>
                                </w:p>
                              </w:tc>
                              <w:tc>
                                <w:tcPr>
                                  <w:tcW w:w="558" w:type="pct"/>
                                  <w:tcBorders>
                                    <w:top w:val="nil"/>
                                    <w:left w:val="nil"/>
                                    <w:bottom w:val="nil"/>
                                    <w:right w:val="nil"/>
                                  </w:tcBorders>
                                  <w:hideMark/>
                                </w:tcPr>
                                <w:p w14:paraId="0161E4A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36.2% </w:t>
                                  </w:r>
                                </w:p>
                              </w:tc>
                              <w:tc>
                                <w:tcPr>
                                  <w:tcW w:w="558" w:type="pct"/>
                                  <w:tcBorders>
                                    <w:top w:val="nil"/>
                                    <w:left w:val="nil"/>
                                    <w:bottom w:val="nil"/>
                                    <w:right w:val="nil"/>
                                  </w:tcBorders>
                                  <w:hideMark/>
                                </w:tcPr>
                                <w:p w14:paraId="238D39B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35.9% </w:t>
                                  </w:r>
                                </w:p>
                              </w:tc>
                              <w:tc>
                                <w:tcPr>
                                  <w:tcW w:w="558" w:type="pct"/>
                                  <w:tcBorders>
                                    <w:top w:val="nil"/>
                                    <w:left w:val="nil"/>
                                    <w:bottom w:val="nil"/>
                                    <w:right w:val="nil"/>
                                  </w:tcBorders>
                                  <w:hideMark/>
                                </w:tcPr>
                                <w:p w14:paraId="7BEB64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37.0% </w:t>
                                  </w:r>
                                </w:p>
                              </w:tc>
                              <w:tc>
                                <w:tcPr>
                                  <w:tcW w:w="558" w:type="pct"/>
                                  <w:tcBorders>
                                    <w:top w:val="nil"/>
                                    <w:left w:val="nil"/>
                                    <w:bottom w:val="nil"/>
                                    <w:right w:val="nil"/>
                                  </w:tcBorders>
                                  <w:hideMark/>
                                </w:tcPr>
                                <w:p w14:paraId="108959A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41.0% </w:t>
                                  </w:r>
                                </w:p>
                              </w:tc>
                            </w:tr>
                            <w:tr w:rsidR="0062242B" w:rsidRPr="0062242B" w14:paraId="67CD4FAE" w14:textId="77777777" w:rsidTr="0062242B">
                              <w:trPr>
                                <w:trHeight w:val="204"/>
                              </w:trPr>
                              <w:tc>
                                <w:tcPr>
                                  <w:tcW w:w="1095" w:type="pct"/>
                                  <w:tcBorders>
                                    <w:top w:val="nil"/>
                                    <w:left w:val="nil"/>
                                    <w:bottom w:val="nil"/>
                                    <w:right w:val="nil"/>
                                  </w:tcBorders>
                                  <w:noWrap/>
                                  <w:hideMark/>
                                </w:tcPr>
                                <w:p w14:paraId="5B5C0B33"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 / Interest Exp.</w:t>
                                  </w:r>
                                </w:p>
                              </w:tc>
                              <w:tc>
                                <w:tcPr>
                                  <w:tcW w:w="558" w:type="pct"/>
                                  <w:tcBorders>
                                    <w:top w:val="nil"/>
                                    <w:left w:val="nil"/>
                                    <w:bottom w:val="nil"/>
                                    <w:right w:val="nil"/>
                                  </w:tcBorders>
                                  <w:hideMark/>
                                </w:tcPr>
                                <w:p w14:paraId="752679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11.9x</w:t>
                                  </w:r>
                                </w:p>
                              </w:tc>
                              <w:tc>
                                <w:tcPr>
                                  <w:tcW w:w="558" w:type="pct"/>
                                  <w:tcBorders>
                                    <w:top w:val="nil"/>
                                    <w:left w:val="nil"/>
                                    <w:bottom w:val="nil"/>
                                    <w:right w:val="nil"/>
                                  </w:tcBorders>
                                  <w:hideMark/>
                                </w:tcPr>
                                <w:p w14:paraId="601A656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18.4x</w:t>
                                  </w:r>
                                </w:p>
                              </w:tc>
                              <w:tc>
                                <w:tcPr>
                                  <w:tcW w:w="558" w:type="pct"/>
                                  <w:tcBorders>
                                    <w:top w:val="nil"/>
                                    <w:left w:val="nil"/>
                                    <w:bottom w:val="nil"/>
                                    <w:right w:val="nil"/>
                                  </w:tcBorders>
                                  <w:hideMark/>
                                </w:tcPr>
                                <w:p w14:paraId="6FB16E3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24.5x</w:t>
                                  </w:r>
                                </w:p>
                              </w:tc>
                              <w:tc>
                                <w:tcPr>
                                  <w:tcW w:w="558" w:type="pct"/>
                                  <w:tcBorders>
                                    <w:top w:val="nil"/>
                                    <w:left w:val="nil"/>
                                    <w:bottom w:val="nil"/>
                                    <w:right w:val="nil"/>
                                  </w:tcBorders>
                                  <w:hideMark/>
                                </w:tcPr>
                                <w:p w14:paraId="04DF3F7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19.7x</w:t>
                                  </w:r>
                                </w:p>
                              </w:tc>
                              <w:tc>
                                <w:tcPr>
                                  <w:tcW w:w="558" w:type="pct"/>
                                  <w:tcBorders>
                                    <w:top w:val="nil"/>
                                    <w:left w:val="nil"/>
                                    <w:bottom w:val="nil"/>
                                    <w:right w:val="nil"/>
                                  </w:tcBorders>
                                  <w:hideMark/>
                                </w:tcPr>
                                <w:p w14:paraId="0392139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18.1x</w:t>
                                  </w:r>
                                </w:p>
                              </w:tc>
                              <w:tc>
                                <w:tcPr>
                                  <w:tcW w:w="558" w:type="pct"/>
                                  <w:tcBorders>
                                    <w:top w:val="nil"/>
                                    <w:left w:val="nil"/>
                                    <w:bottom w:val="nil"/>
                                    <w:right w:val="nil"/>
                                  </w:tcBorders>
                                  <w:hideMark/>
                                </w:tcPr>
                                <w:p w14:paraId="160668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17.5x</w:t>
                                  </w:r>
                                </w:p>
                              </w:tc>
                              <w:tc>
                                <w:tcPr>
                                  <w:tcW w:w="558" w:type="pct"/>
                                  <w:tcBorders>
                                    <w:top w:val="nil"/>
                                    <w:left w:val="nil"/>
                                    <w:bottom w:val="nil"/>
                                    <w:right w:val="nil"/>
                                  </w:tcBorders>
                                  <w:hideMark/>
                                </w:tcPr>
                                <w:p w14:paraId="0EE44F9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16.0x</w:t>
                                  </w:r>
                                </w:p>
                              </w:tc>
                            </w:tr>
                            <w:tr w:rsidR="0062242B" w:rsidRPr="0062242B" w14:paraId="1E12AFF3" w14:textId="77777777" w:rsidTr="0062242B">
                              <w:trPr>
                                <w:trHeight w:val="204"/>
                              </w:trPr>
                              <w:tc>
                                <w:tcPr>
                                  <w:tcW w:w="1095" w:type="pct"/>
                                  <w:tcBorders>
                                    <w:top w:val="nil"/>
                                    <w:left w:val="nil"/>
                                    <w:bottom w:val="nil"/>
                                    <w:right w:val="nil"/>
                                  </w:tcBorders>
                                  <w:noWrap/>
                                  <w:hideMark/>
                                </w:tcPr>
                                <w:p w14:paraId="4A76B68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 / Interest Exp.</w:t>
                                  </w:r>
                                </w:p>
                              </w:tc>
                              <w:tc>
                                <w:tcPr>
                                  <w:tcW w:w="558" w:type="pct"/>
                                  <w:tcBorders>
                                    <w:top w:val="nil"/>
                                    <w:left w:val="nil"/>
                                    <w:bottom w:val="nil"/>
                                    <w:right w:val="nil"/>
                                  </w:tcBorders>
                                  <w:hideMark/>
                                </w:tcPr>
                                <w:p w14:paraId="47453D9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19.0x</w:t>
                                  </w:r>
                                </w:p>
                              </w:tc>
                              <w:tc>
                                <w:tcPr>
                                  <w:tcW w:w="558" w:type="pct"/>
                                  <w:tcBorders>
                                    <w:top w:val="nil"/>
                                    <w:left w:val="nil"/>
                                    <w:bottom w:val="nil"/>
                                    <w:right w:val="nil"/>
                                  </w:tcBorders>
                                  <w:hideMark/>
                                </w:tcPr>
                                <w:p w14:paraId="4658E74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27.7x</w:t>
                                  </w:r>
                                </w:p>
                              </w:tc>
                              <w:tc>
                                <w:tcPr>
                                  <w:tcW w:w="558" w:type="pct"/>
                                  <w:tcBorders>
                                    <w:top w:val="nil"/>
                                    <w:left w:val="nil"/>
                                    <w:bottom w:val="nil"/>
                                    <w:right w:val="nil"/>
                                  </w:tcBorders>
                                  <w:hideMark/>
                                </w:tcPr>
                                <w:p w14:paraId="5BAD80A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36.7x</w:t>
                                  </w:r>
                                </w:p>
                              </w:tc>
                              <w:tc>
                                <w:tcPr>
                                  <w:tcW w:w="558" w:type="pct"/>
                                  <w:tcBorders>
                                    <w:top w:val="nil"/>
                                    <w:left w:val="nil"/>
                                    <w:bottom w:val="nil"/>
                                    <w:right w:val="nil"/>
                                  </w:tcBorders>
                                  <w:hideMark/>
                                </w:tcPr>
                                <w:p w14:paraId="2A2E97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31.9x</w:t>
                                  </w:r>
                                </w:p>
                              </w:tc>
                              <w:tc>
                                <w:tcPr>
                                  <w:tcW w:w="558" w:type="pct"/>
                                  <w:tcBorders>
                                    <w:top w:val="nil"/>
                                    <w:left w:val="nil"/>
                                    <w:bottom w:val="nil"/>
                                    <w:right w:val="nil"/>
                                  </w:tcBorders>
                                  <w:hideMark/>
                                </w:tcPr>
                                <w:p w14:paraId="586414F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28.0x</w:t>
                                  </w:r>
                                </w:p>
                              </w:tc>
                              <w:tc>
                                <w:tcPr>
                                  <w:tcW w:w="558" w:type="pct"/>
                                  <w:tcBorders>
                                    <w:top w:val="nil"/>
                                    <w:left w:val="nil"/>
                                    <w:bottom w:val="nil"/>
                                    <w:right w:val="nil"/>
                                  </w:tcBorders>
                                  <w:hideMark/>
                                </w:tcPr>
                                <w:p w14:paraId="128567D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24.5x</w:t>
                                  </w:r>
                                </w:p>
                              </w:tc>
                              <w:tc>
                                <w:tcPr>
                                  <w:tcW w:w="558" w:type="pct"/>
                                  <w:tcBorders>
                                    <w:top w:val="nil"/>
                                    <w:left w:val="nil"/>
                                    <w:bottom w:val="nil"/>
                                    <w:right w:val="nil"/>
                                  </w:tcBorders>
                                  <w:hideMark/>
                                </w:tcPr>
                                <w:p w14:paraId="22EDF6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21.8x</w:t>
                                  </w:r>
                                </w:p>
                              </w:tc>
                            </w:tr>
                            <w:tr w:rsidR="0062242B" w:rsidRPr="0062242B" w14:paraId="0A18AE6C" w14:textId="77777777" w:rsidTr="0062242B">
                              <w:trPr>
                                <w:trHeight w:val="204"/>
                              </w:trPr>
                              <w:tc>
                                <w:tcPr>
                                  <w:tcW w:w="1095" w:type="pct"/>
                                  <w:tcBorders>
                                    <w:top w:val="nil"/>
                                    <w:left w:val="nil"/>
                                    <w:bottom w:val="nil"/>
                                    <w:right w:val="nil"/>
                                  </w:tcBorders>
                                  <w:noWrap/>
                                  <w:hideMark/>
                                </w:tcPr>
                                <w:p w14:paraId="4DF4D1A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(EBITDA-CAPEX) / Interest Exp.</w:t>
                                  </w:r>
                                </w:p>
                              </w:tc>
                              <w:tc>
                                <w:tcPr>
                                  <w:tcW w:w="558" w:type="pct"/>
                                  <w:tcBorders>
                                    <w:top w:val="nil"/>
                                    <w:left w:val="nil"/>
                                    <w:bottom w:val="nil"/>
                                    <w:right w:val="nil"/>
                                  </w:tcBorders>
                                  <w:hideMark/>
                                </w:tcPr>
                                <w:p w14:paraId="441B95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12.2x</w:t>
                                  </w:r>
                                </w:p>
                              </w:tc>
                              <w:tc>
                                <w:tcPr>
                                  <w:tcW w:w="558" w:type="pct"/>
                                  <w:tcBorders>
                                    <w:top w:val="nil"/>
                                    <w:left w:val="nil"/>
                                    <w:bottom w:val="nil"/>
                                    <w:right w:val="nil"/>
                                  </w:tcBorders>
                                  <w:hideMark/>
                                </w:tcPr>
                                <w:p w14:paraId="713067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21.4x</w:t>
                                  </w:r>
                                </w:p>
                              </w:tc>
                              <w:tc>
                                <w:tcPr>
                                  <w:tcW w:w="558" w:type="pct"/>
                                  <w:tcBorders>
                                    <w:top w:val="nil"/>
                                    <w:left w:val="nil"/>
                                    <w:bottom w:val="nil"/>
                                    <w:right w:val="nil"/>
                                  </w:tcBorders>
                                  <w:hideMark/>
                                </w:tcPr>
                                <w:p w14:paraId="68FC006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27.4x</w:t>
                                  </w:r>
                                </w:p>
                              </w:tc>
                              <w:tc>
                                <w:tcPr>
                                  <w:tcW w:w="558" w:type="pct"/>
                                  <w:tcBorders>
                                    <w:top w:val="nil"/>
                                    <w:left w:val="nil"/>
                                    <w:bottom w:val="nil"/>
                                    <w:right w:val="nil"/>
                                  </w:tcBorders>
                                  <w:hideMark/>
                                </w:tcPr>
                                <w:p w14:paraId="26A7965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21.0x</w:t>
                                  </w:r>
                                </w:p>
                              </w:tc>
                              <w:tc>
                                <w:tcPr>
                                  <w:tcW w:w="558" w:type="pct"/>
                                  <w:tcBorders>
                                    <w:top w:val="nil"/>
                                    <w:left w:val="nil"/>
                                    <w:bottom w:val="nil"/>
                                    <w:right w:val="nil"/>
                                  </w:tcBorders>
                                  <w:hideMark/>
                                </w:tcPr>
                                <w:p w14:paraId="063EEF7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22.2x</w:t>
                                  </w:r>
                                </w:p>
                              </w:tc>
                              <w:tc>
                                <w:tcPr>
                                  <w:tcW w:w="558" w:type="pct"/>
                                  <w:tcBorders>
                                    <w:top w:val="nil"/>
                                    <w:left w:val="nil"/>
                                    <w:bottom w:val="nil"/>
                                    <w:right w:val="nil"/>
                                  </w:tcBorders>
                                  <w:hideMark/>
                                </w:tcPr>
                                <w:p w14:paraId="377608C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20.5x</w:t>
                                  </w:r>
                                </w:p>
                              </w:tc>
                              <w:tc>
                                <w:tcPr>
                                  <w:tcW w:w="558" w:type="pct"/>
                                  <w:tcBorders>
                                    <w:top w:val="nil"/>
                                    <w:left w:val="nil"/>
                                    <w:bottom w:val="nil"/>
                                    <w:right w:val="nil"/>
                                  </w:tcBorders>
                                  <w:hideMark/>
                                </w:tcPr>
                                <w:p w14:paraId="463C15A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18.3x</w:t>
                                  </w:r>
                                </w:p>
                              </w:tc>
                            </w:tr>
                            <w:tr w:rsidR="0062242B" w:rsidRPr="0062242B" w14:paraId="3B124680" w14:textId="77777777" w:rsidTr="0062242B">
                              <w:trPr>
                                <w:trHeight w:val="204"/>
                              </w:trPr>
                              <w:tc>
                                <w:tcPr>
                                  <w:tcW w:w="1095" w:type="pct"/>
                                  <w:tcBorders>
                                    <w:top w:val="nil"/>
                                    <w:left w:val="nil"/>
                                    <w:bottom w:val="nil"/>
                                    <w:right w:val="nil"/>
                                  </w:tcBorders>
                                  <w:noWrap/>
                                  <w:hideMark/>
                                </w:tcPr>
                                <w:p w14:paraId="6FE82286"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Debt/EBITDA</w:t>
                                  </w:r>
                                </w:p>
                              </w:tc>
                              <w:tc>
                                <w:tcPr>
                                  <w:tcW w:w="558" w:type="pct"/>
                                  <w:tcBorders>
                                    <w:top w:val="nil"/>
                                    <w:left w:val="nil"/>
                                    <w:bottom w:val="nil"/>
                                    <w:right w:val="nil"/>
                                  </w:tcBorders>
                                  <w:hideMark/>
                                </w:tcPr>
                                <w:p w14:paraId="37815ED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7920818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1.0x</w:t>
                                  </w:r>
                                </w:p>
                              </w:tc>
                              <w:tc>
                                <w:tcPr>
                                  <w:tcW w:w="558" w:type="pct"/>
                                  <w:tcBorders>
                                    <w:top w:val="nil"/>
                                    <w:left w:val="nil"/>
                                    <w:bottom w:val="nil"/>
                                    <w:right w:val="nil"/>
                                  </w:tcBorders>
                                  <w:hideMark/>
                                </w:tcPr>
                                <w:p w14:paraId="6F15D1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331654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7AB50A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1.2x</w:t>
                                  </w:r>
                                </w:p>
                              </w:tc>
                              <w:tc>
                                <w:tcPr>
                                  <w:tcW w:w="558" w:type="pct"/>
                                  <w:tcBorders>
                                    <w:top w:val="nil"/>
                                    <w:left w:val="nil"/>
                                    <w:bottom w:val="nil"/>
                                    <w:right w:val="nil"/>
                                  </w:tcBorders>
                                  <w:hideMark/>
                                </w:tcPr>
                                <w:p w14:paraId="0E615D7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484C883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r>
                            <w:tr w:rsidR="0062242B" w:rsidRPr="0062242B" w14:paraId="77C24665" w14:textId="77777777" w:rsidTr="0062242B">
                              <w:trPr>
                                <w:trHeight w:val="204"/>
                              </w:trPr>
                              <w:tc>
                                <w:tcPr>
                                  <w:tcW w:w="1095" w:type="pct"/>
                                  <w:tcBorders>
                                    <w:top w:val="nil"/>
                                    <w:left w:val="nil"/>
                                    <w:bottom w:val="nil"/>
                                    <w:right w:val="nil"/>
                                  </w:tcBorders>
                                  <w:noWrap/>
                                  <w:hideMark/>
                                </w:tcPr>
                                <w:p w14:paraId="47276FE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Debt/EBITDA</w:t>
                                  </w:r>
                                </w:p>
                              </w:tc>
                              <w:tc>
                                <w:tcPr>
                                  <w:tcW w:w="558" w:type="pct"/>
                                  <w:tcBorders>
                                    <w:top w:val="nil"/>
                                    <w:left w:val="nil"/>
                                    <w:bottom w:val="nil"/>
                                    <w:right w:val="nil"/>
                                  </w:tcBorders>
                                  <w:hideMark/>
                                </w:tcPr>
                                <w:p w14:paraId="4EFC846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48701F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107891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7C8092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6B93ED9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250EB9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40EDA43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r>
                            <w:tr w:rsidR="0062242B" w:rsidRPr="0062242B" w14:paraId="422FF3D9" w14:textId="77777777" w:rsidTr="0062242B">
                              <w:trPr>
                                <w:trHeight w:val="204"/>
                              </w:trPr>
                              <w:tc>
                                <w:tcPr>
                                  <w:tcW w:w="1095" w:type="pct"/>
                                  <w:tcBorders>
                                    <w:top w:val="nil"/>
                                    <w:left w:val="nil"/>
                                    <w:bottom w:val="nil"/>
                                    <w:right w:val="nil"/>
                                  </w:tcBorders>
                                  <w:noWrap/>
                                  <w:hideMark/>
                                </w:tcPr>
                                <w:p w14:paraId="73137E29"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Debt/(EBITDA-CAPEX)</w:t>
                                  </w:r>
                                </w:p>
                              </w:tc>
                              <w:tc>
                                <w:tcPr>
                                  <w:tcW w:w="558" w:type="pct"/>
                                  <w:tcBorders>
                                    <w:top w:val="nil"/>
                                    <w:left w:val="nil"/>
                                    <w:bottom w:val="nil"/>
                                    <w:right w:val="nil"/>
                                  </w:tcBorders>
                                  <w:hideMark/>
                                </w:tcPr>
                                <w:p w14:paraId="4DDBD34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2.1x</w:t>
                                  </w:r>
                                </w:p>
                              </w:tc>
                              <w:tc>
                                <w:tcPr>
                                  <w:tcW w:w="558" w:type="pct"/>
                                  <w:tcBorders>
                                    <w:top w:val="nil"/>
                                    <w:left w:val="nil"/>
                                    <w:bottom w:val="nil"/>
                                    <w:right w:val="nil"/>
                                  </w:tcBorders>
                                  <w:hideMark/>
                                </w:tcPr>
                                <w:p w14:paraId="0544D8F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3D43EF2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723A247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3B9715F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2E32B26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69F39F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1.6x</w:t>
                                  </w:r>
                                </w:p>
                              </w:tc>
                            </w:tr>
                            <w:tr w:rsidR="0062242B" w:rsidRPr="0062242B" w14:paraId="78B3A400" w14:textId="77777777" w:rsidTr="0062242B">
                              <w:trPr>
                                <w:trHeight w:val="204"/>
                              </w:trPr>
                              <w:tc>
                                <w:tcPr>
                                  <w:tcW w:w="1095" w:type="pct"/>
                                  <w:tcBorders>
                                    <w:top w:val="nil"/>
                                    <w:left w:val="nil"/>
                                    <w:bottom w:val="nil"/>
                                    <w:right w:val="nil"/>
                                  </w:tcBorders>
                                  <w:noWrap/>
                                  <w:hideMark/>
                                </w:tcPr>
                                <w:p w14:paraId="44AA90C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Altman Z Score</w:t>
                                  </w:r>
                                </w:p>
                              </w:tc>
                              <w:tc>
                                <w:tcPr>
                                  <w:tcW w:w="558" w:type="pct"/>
                                  <w:tcBorders>
                                    <w:top w:val="nil"/>
                                    <w:left w:val="nil"/>
                                    <w:bottom w:val="nil"/>
                                    <w:right w:val="nil"/>
                                  </w:tcBorders>
                                  <w:hideMark/>
                                </w:tcPr>
                                <w:p w14:paraId="5E808D3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6.02 </w:t>
                                  </w:r>
                                </w:p>
                              </w:tc>
                              <w:tc>
                                <w:tcPr>
                                  <w:tcW w:w="558" w:type="pct"/>
                                  <w:tcBorders>
                                    <w:top w:val="nil"/>
                                    <w:left w:val="nil"/>
                                    <w:bottom w:val="nil"/>
                                    <w:right w:val="nil"/>
                                  </w:tcBorders>
                                  <w:hideMark/>
                                </w:tcPr>
                                <w:p w14:paraId="04B7356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5.97 </w:t>
                                  </w:r>
                                </w:p>
                              </w:tc>
                              <w:tc>
                                <w:tcPr>
                                  <w:tcW w:w="558" w:type="pct"/>
                                  <w:tcBorders>
                                    <w:top w:val="nil"/>
                                    <w:left w:val="nil"/>
                                    <w:bottom w:val="nil"/>
                                    <w:right w:val="nil"/>
                                  </w:tcBorders>
                                  <w:hideMark/>
                                </w:tcPr>
                                <w:p w14:paraId="03896F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5.79 </w:t>
                                  </w:r>
                                </w:p>
                              </w:tc>
                              <w:tc>
                                <w:tcPr>
                                  <w:tcW w:w="558" w:type="pct"/>
                                  <w:tcBorders>
                                    <w:top w:val="nil"/>
                                    <w:left w:val="nil"/>
                                    <w:bottom w:val="nil"/>
                                    <w:right w:val="nil"/>
                                  </w:tcBorders>
                                  <w:hideMark/>
                                </w:tcPr>
                                <w:p w14:paraId="4A830C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4.18 </w:t>
                                  </w:r>
                                </w:p>
                              </w:tc>
                              <w:tc>
                                <w:tcPr>
                                  <w:tcW w:w="558" w:type="pct"/>
                                  <w:tcBorders>
                                    <w:top w:val="nil"/>
                                    <w:left w:val="nil"/>
                                    <w:bottom w:val="nil"/>
                                    <w:right w:val="nil"/>
                                  </w:tcBorders>
                                  <w:hideMark/>
                                </w:tcPr>
                                <w:p w14:paraId="2076BA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3.01 </w:t>
                                  </w:r>
                                </w:p>
                              </w:tc>
                              <w:tc>
                                <w:tcPr>
                                  <w:tcW w:w="558" w:type="pct"/>
                                  <w:tcBorders>
                                    <w:top w:val="nil"/>
                                    <w:left w:val="nil"/>
                                    <w:bottom w:val="nil"/>
                                    <w:right w:val="nil"/>
                                  </w:tcBorders>
                                  <w:hideMark/>
                                </w:tcPr>
                                <w:p w14:paraId="05D78AF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 </w:t>
                                  </w:r>
                                </w:p>
                              </w:tc>
                              <w:tc>
                                <w:tcPr>
                                  <w:tcW w:w="558" w:type="pct"/>
                                  <w:tcBorders>
                                    <w:top w:val="nil"/>
                                    <w:left w:val="nil"/>
                                    <w:bottom w:val="nil"/>
                                    <w:right w:val="nil"/>
                                  </w:tcBorders>
                                  <w:hideMark/>
                                </w:tcPr>
                                <w:p w14:paraId="38FA62F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2.54 </w:t>
                                  </w:r>
                                </w:p>
                              </w:tc>
                            </w:tr>
                          </w:tbl>
                          <w:p w14:paraId="2D2618BA" w14:textId="45A6F5C3" w:rsidR="0062242B" w:rsidRDefault="006224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65B0B" id="_x0000_s1057" type="#_x0000_t202" style="position:absolute;left:0;text-align:left;margin-left:434.2pt;margin-top:22.8pt;width:485.4pt;height:573.6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" stroked="f">
                <v:textbox>
                  <w:txbxContent>
                    <w:tbl>
                      <w:tblPr>
                        <w:tblW w:w="5000" w:type="pct"/>
                        <w:tblLook w:val="04A0" w:firstRow="1" w:lastRow="0" w:firstColumn="1" w:lastColumn="0" w:noHBand="0" w:noVBand="1"/>
                      </w:tblPr>
                      <w:tblGrid>
                        <w:gridCol w:w="3071"/>
                        <w:gridCol w:w="907"/>
                        <w:gridCol w:w="907"/>
                        <w:gridCol w:w="907"/>
                        <w:gridCol w:w="907"/>
                        <w:gridCol w:w="908"/>
                        <w:gridCol w:w="908"/>
                        <w:gridCol w:w="906"/>
                      </w:tblGrid>
                      <w:tr w:rsidR="0062242B" w:rsidRPr="0062242B" w14:paraId="01F881E7" w14:textId="77777777" w:rsidTr="0062242B">
                        <w:trPr>
                          <w:trHeight w:val="324"/>
                        </w:trPr>
                        <w:tc>
                          <w:tcPr>
                            <w:tcW w:w="3884" w:type="pct"/>
                            <w:gridSpan w:val="6"/>
                            <w:tcBorders>
                              <w:top w:val="nil"/>
                              <w:left w:val="nil"/>
                              <w:bottom w:val="nil"/>
                              <w:right w:val="nil"/>
                            </w:tcBorders>
                            <w:noWrap/>
                            <w:vAlign w:val="bottom"/>
                            <w:hideMark/>
                          </w:tcPr>
                          <w:p w14:paraId="3CDAABDE" w14:textId="77777777" w:rsidR="0062242B" w:rsidRDefault="0062242B" w:rsidP="0062242B">
                            <w:pPr>
                              <w:spacing w:after="0" w:line="240" w:lineRule="auto"/>
                              <w:rPr>
                                <w:rFonts w:ascii="Cambria" w:eastAsia="Times New Roman" w:hAnsi="Cambria" w:cs="Arial"/>
                                <w:b/>
                                <w:bCs/>
                                <w:color w:val="000000"/>
                                <w:kern w:val="0"/>
                                <w:sz w:val="26"/>
                                <w:szCs w:val="26"/>
                                <w:lang w:eastAsia="en-IN"/>
                                <w14:ligatures w14:val="none"/>
                              </w:rPr>
                            </w:pPr>
                          </w:p>
                          <w:p w14:paraId="1EE6FD7F" w14:textId="13C27518" w:rsidR="0062242B" w:rsidRPr="0062242B" w:rsidRDefault="0062242B" w:rsidP="0062242B">
                            <w:pPr>
                              <w:spacing w:after="0" w:line="240" w:lineRule="auto"/>
                              <w:rPr>
                                <w:rFonts w:ascii="Cambria" w:eastAsia="Times New Roman" w:hAnsi="Cambria" w:cs="Arial"/>
                                <w:b/>
                                <w:bCs/>
                                <w:color w:val="000000"/>
                                <w:kern w:val="0"/>
                                <w:sz w:val="14"/>
                                <w:szCs w:val="14"/>
                                <w:lang w:eastAsia="en-IN"/>
                                <w14:ligatures w14:val="none"/>
                              </w:rPr>
                            </w:pPr>
                          </w:p>
                        </w:tc>
                        <w:tc>
                          <w:tcPr>
                            <w:tcW w:w="558" w:type="pct"/>
                            <w:tcBorders>
                              <w:top w:val="nil"/>
                              <w:left w:val="nil"/>
                              <w:bottom w:val="nil"/>
                              <w:right w:val="nil"/>
                            </w:tcBorders>
                            <w:noWrap/>
                            <w:vAlign w:val="bottom"/>
                            <w:hideMark/>
                          </w:tcPr>
                          <w:p w14:paraId="1E97B1CD" w14:textId="77777777" w:rsidR="0062242B" w:rsidRPr="0062242B" w:rsidRDefault="0062242B" w:rsidP="0062242B">
                            <w:pPr>
                              <w:spacing w:after="0" w:line="240" w:lineRule="auto"/>
                              <w:rPr>
                                <w:rFonts w:ascii="Cambria" w:eastAsia="Times New Roman" w:hAnsi="Cambria" w:cs="Arial"/>
                                <w:b/>
                                <w:bCs/>
                                <w:color w:val="000000"/>
                                <w:kern w:val="0"/>
                                <w:sz w:val="26"/>
                                <w:szCs w:val="26"/>
                                <w:lang w:eastAsia="en-IN"/>
                                <w14:ligatures w14:val="none"/>
                              </w:rPr>
                            </w:pPr>
                          </w:p>
                        </w:tc>
                        <w:tc>
                          <w:tcPr>
                            <w:tcW w:w="558" w:type="pct"/>
                            <w:tcBorders>
                              <w:top w:val="nil"/>
                              <w:left w:val="nil"/>
                              <w:bottom w:val="nil"/>
                              <w:right w:val="nil"/>
                            </w:tcBorders>
                            <w:noWrap/>
                            <w:vAlign w:val="bottom"/>
                            <w:hideMark/>
                          </w:tcPr>
                          <w:p w14:paraId="3C8CD5F2"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0440A016" w14:textId="77777777" w:rsidTr="0062242B">
                        <w:trPr>
                          <w:trHeight w:val="204"/>
                        </w:trPr>
                        <w:tc>
                          <w:tcPr>
                            <w:tcW w:w="1095" w:type="pct"/>
                            <w:tcBorders>
                              <w:top w:val="nil"/>
                              <w:left w:val="nil"/>
                              <w:bottom w:val="nil"/>
                              <w:right w:val="nil"/>
                            </w:tcBorders>
                            <w:shd w:val="clear" w:color="000000" w:fill="003366"/>
                            <w:noWrap/>
                            <w:vAlign w:val="bottom"/>
                            <w:hideMark/>
                          </w:tcPr>
                          <w:p w14:paraId="359C3E5B"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Ratios</w:t>
                            </w:r>
                          </w:p>
                        </w:tc>
                        <w:tc>
                          <w:tcPr>
                            <w:tcW w:w="558" w:type="pct"/>
                            <w:tcBorders>
                              <w:top w:val="nil"/>
                              <w:left w:val="nil"/>
                              <w:bottom w:val="nil"/>
                              <w:right w:val="nil"/>
                            </w:tcBorders>
                            <w:shd w:val="clear" w:color="000000" w:fill="003366"/>
                            <w:noWrap/>
                            <w:vAlign w:val="bottom"/>
                            <w:hideMark/>
                          </w:tcPr>
                          <w:p w14:paraId="4610EED2"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2A6BCE4"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21A93F10"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74E5002E"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044EDD5"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3F64C771"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c>
                          <w:tcPr>
                            <w:tcW w:w="558" w:type="pct"/>
                            <w:tcBorders>
                              <w:top w:val="nil"/>
                              <w:left w:val="nil"/>
                              <w:bottom w:val="nil"/>
                              <w:right w:val="nil"/>
                            </w:tcBorders>
                            <w:shd w:val="clear" w:color="000000" w:fill="003366"/>
                            <w:noWrap/>
                            <w:vAlign w:val="bottom"/>
                            <w:hideMark/>
                          </w:tcPr>
                          <w:p w14:paraId="18440355" w14:textId="77777777" w:rsidR="0062242B" w:rsidRPr="0062242B" w:rsidRDefault="0062242B" w:rsidP="0062242B">
                            <w:pPr>
                              <w:spacing w:after="0" w:line="240" w:lineRule="auto"/>
                              <w:rPr>
                                <w:rFonts w:ascii="Cambria" w:eastAsia="Times New Roman" w:hAnsi="Cambria" w:cs="Arial"/>
                                <w:b/>
                                <w:bCs/>
                                <w:color w:val="FFFFFF"/>
                                <w:kern w:val="0"/>
                                <w:sz w:val="16"/>
                                <w:szCs w:val="16"/>
                                <w:lang w:eastAsia="en-IN"/>
                                <w14:ligatures w14:val="none"/>
                              </w:rPr>
                            </w:pPr>
                            <w:r w:rsidRPr="0062242B">
                              <w:rPr>
                                <w:rFonts w:ascii="Cambria" w:eastAsia="Times New Roman" w:hAnsi="Cambria" w:cs="Arial"/>
                                <w:b/>
                                <w:bCs/>
                                <w:color w:val="FFFFFF"/>
                                <w:kern w:val="0"/>
                                <w:sz w:val="16"/>
                                <w:szCs w:val="16"/>
                                <w:lang w:eastAsia="en-IN"/>
                                <w14:ligatures w14:val="none"/>
                              </w:rPr>
                              <w:t> </w:t>
                            </w:r>
                          </w:p>
                        </w:tc>
                      </w:tr>
                      <w:tr w:rsidR="0062242B" w:rsidRPr="0062242B" w14:paraId="637D1FFF" w14:textId="77777777" w:rsidTr="0062242B">
                        <w:trPr>
                          <w:trHeight w:val="612"/>
                        </w:trPr>
                        <w:tc>
                          <w:tcPr>
                            <w:tcW w:w="1095" w:type="pct"/>
                            <w:tcBorders>
                              <w:top w:val="nil"/>
                              <w:left w:val="nil"/>
                              <w:bottom w:val="nil"/>
                              <w:right w:val="nil"/>
                            </w:tcBorders>
                            <w:shd w:val="clear" w:color="000000" w:fill="F0F0DC"/>
                            <w:vAlign w:val="bottom"/>
                            <w:hideMark/>
                          </w:tcPr>
                          <w:p w14:paraId="3E4A150E"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For the Fiscal Period Ending</w:t>
                            </w:r>
                          </w:p>
                        </w:tc>
                        <w:tc>
                          <w:tcPr>
                            <w:tcW w:w="558" w:type="pct"/>
                            <w:tcBorders>
                              <w:top w:val="nil"/>
                              <w:left w:val="nil"/>
                              <w:bottom w:val="nil"/>
                              <w:right w:val="nil"/>
                            </w:tcBorders>
                            <w:shd w:val="clear" w:color="000000" w:fill="F0F0DC"/>
                            <w:vAlign w:val="bottom"/>
                            <w:hideMark/>
                          </w:tcPr>
                          <w:p w14:paraId="3B16823E"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Mar-31-2019</w:t>
                            </w:r>
                          </w:p>
                        </w:tc>
                        <w:tc>
                          <w:tcPr>
                            <w:tcW w:w="558" w:type="pct"/>
                            <w:tcBorders>
                              <w:top w:val="nil"/>
                              <w:left w:val="nil"/>
                              <w:bottom w:val="nil"/>
                              <w:right w:val="nil"/>
                            </w:tcBorders>
                            <w:shd w:val="clear" w:color="000000" w:fill="F0F0DC"/>
                            <w:vAlign w:val="bottom"/>
                            <w:hideMark/>
                          </w:tcPr>
                          <w:p w14:paraId="698F5B4A"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Mar-31-2020</w:t>
                            </w:r>
                          </w:p>
                        </w:tc>
                        <w:tc>
                          <w:tcPr>
                            <w:tcW w:w="558" w:type="pct"/>
                            <w:tcBorders>
                              <w:top w:val="nil"/>
                              <w:left w:val="nil"/>
                              <w:bottom w:val="nil"/>
                              <w:right w:val="nil"/>
                            </w:tcBorders>
                            <w:shd w:val="clear" w:color="000000" w:fill="F0F0DC"/>
                            <w:vAlign w:val="bottom"/>
                            <w:hideMark/>
                          </w:tcPr>
                          <w:p w14:paraId="3BAE0CC3"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Mar-31-2021</w:t>
                            </w:r>
                          </w:p>
                        </w:tc>
                        <w:tc>
                          <w:tcPr>
                            <w:tcW w:w="558" w:type="pct"/>
                            <w:tcBorders>
                              <w:top w:val="nil"/>
                              <w:left w:val="nil"/>
                              <w:bottom w:val="nil"/>
                              <w:right w:val="nil"/>
                            </w:tcBorders>
                            <w:shd w:val="clear" w:color="000000" w:fill="F0F0DC"/>
                            <w:vAlign w:val="bottom"/>
                            <w:hideMark/>
                          </w:tcPr>
                          <w:p w14:paraId="1F2C5761"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Mar-31-2022</w:t>
                            </w:r>
                          </w:p>
                        </w:tc>
                        <w:tc>
                          <w:tcPr>
                            <w:tcW w:w="558" w:type="pct"/>
                            <w:tcBorders>
                              <w:top w:val="nil"/>
                              <w:left w:val="nil"/>
                              <w:bottom w:val="nil"/>
                              <w:right w:val="nil"/>
                            </w:tcBorders>
                            <w:shd w:val="clear" w:color="000000" w:fill="F0F0DC"/>
                            <w:vAlign w:val="bottom"/>
                            <w:hideMark/>
                          </w:tcPr>
                          <w:p w14:paraId="0320E31B"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Mar-31-2023</w:t>
                            </w:r>
                          </w:p>
                        </w:tc>
                        <w:tc>
                          <w:tcPr>
                            <w:tcW w:w="558" w:type="pct"/>
                            <w:tcBorders>
                              <w:top w:val="nil"/>
                              <w:left w:val="nil"/>
                              <w:bottom w:val="nil"/>
                              <w:right w:val="nil"/>
                            </w:tcBorders>
                            <w:shd w:val="clear" w:color="000000" w:fill="F0F0DC"/>
                            <w:vAlign w:val="bottom"/>
                            <w:hideMark/>
                          </w:tcPr>
                          <w:p w14:paraId="1FB5457F"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12 months</w:t>
                            </w:r>
                            <w:r w:rsidRPr="0062242B">
                              <w:rPr>
                                <w:rFonts w:ascii="Cambria" w:eastAsia="Times New Roman" w:hAnsi="Cambria" w:cs="Arial"/>
                                <w:b/>
                                <w:bCs/>
                                <w:color w:val="000000"/>
                                <w:kern w:val="0"/>
                                <w:sz w:val="16"/>
                                <w:szCs w:val="16"/>
                                <w:lang w:eastAsia="en-IN"/>
                                <w14:ligatures w14:val="none"/>
                              </w:rPr>
                              <w:br/>
                              <w:t>Mar-31-2024</w:t>
                            </w:r>
                          </w:p>
                        </w:tc>
                        <w:tc>
                          <w:tcPr>
                            <w:tcW w:w="558" w:type="pct"/>
                            <w:tcBorders>
                              <w:top w:val="nil"/>
                              <w:left w:val="nil"/>
                              <w:bottom w:val="nil"/>
                              <w:right w:val="nil"/>
                            </w:tcBorders>
                            <w:shd w:val="clear" w:color="000000" w:fill="F0F0DC"/>
                            <w:vAlign w:val="bottom"/>
                            <w:hideMark/>
                          </w:tcPr>
                          <w:p w14:paraId="0837E5F2" w14:textId="77777777" w:rsidR="0062242B" w:rsidRPr="0062242B" w:rsidRDefault="0062242B" w:rsidP="0062242B">
                            <w:pPr>
                              <w:spacing w:after="0" w:line="240" w:lineRule="auto"/>
                              <w:jc w:val="right"/>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LTM</w:t>
                            </w:r>
                            <w:r w:rsidRPr="0062242B">
                              <w:rPr>
                                <w:rFonts w:ascii="Cambria" w:eastAsia="Times New Roman" w:hAnsi="Cambria" w:cs="Arial"/>
                                <w:b/>
                                <w:bCs/>
                                <w:color w:val="000000"/>
                                <w:kern w:val="0"/>
                                <w:sz w:val="16"/>
                                <w:szCs w:val="16"/>
                                <w:lang w:eastAsia="en-IN"/>
                                <w14:ligatures w14:val="none"/>
                              </w:rPr>
                              <w:br/>
                              <w:t>12 months</w:t>
                            </w:r>
                            <w:r w:rsidRPr="0062242B">
                              <w:rPr>
                                <w:rFonts w:ascii="Cambria" w:eastAsia="Times New Roman" w:hAnsi="Cambria" w:cs="Arial"/>
                                <w:b/>
                                <w:bCs/>
                                <w:color w:val="000000"/>
                                <w:kern w:val="0"/>
                                <w:sz w:val="16"/>
                                <w:szCs w:val="16"/>
                                <w:lang w:eastAsia="en-IN"/>
                                <w14:ligatures w14:val="none"/>
                              </w:rPr>
                              <w:br/>
                              <w:t>Dec-31-2024</w:t>
                            </w:r>
                          </w:p>
                        </w:tc>
                      </w:tr>
                      <w:tr w:rsidR="0062242B" w:rsidRPr="0062242B" w14:paraId="33F198AB" w14:textId="77777777" w:rsidTr="0062242B">
                        <w:trPr>
                          <w:trHeight w:val="204"/>
                        </w:trPr>
                        <w:tc>
                          <w:tcPr>
                            <w:tcW w:w="1095" w:type="pct"/>
                            <w:tcBorders>
                              <w:top w:val="nil"/>
                              <w:left w:val="nil"/>
                              <w:bottom w:val="nil"/>
                              <w:right w:val="nil"/>
                            </w:tcBorders>
                            <w:noWrap/>
                            <w:hideMark/>
                          </w:tcPr>
                          <w:p w14:paraId="5241647C"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Profitability</w:t>
                            </w:r>
                          </w:p>
                        </w:tc>
                        <w:tc>
                          <w:tcPr>
                            <w:tcW w:w="558" w:type="pct"/>
                            <w:tcBorders>
                              <w:top w:val="nil"/>
                              <w:left w:val="nil"/>
                              <w:bottom w:val="nil"/>
                              <w:right w:val="nil"/>
                            </w:tcBorders>
                            <w:noWrap/>
                            <w:hideMark/>
                          </w:tcPr>
                          <w:p w14:paraId="31B8C3A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18360ED9"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CE44B02"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D1E841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6BD28D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1D571F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481D5BD"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5D9338F2" w14:textId="77777777" w:rsidTr="0062242B">
                        <w:trPr>
                          <w:trHeight w:val="204"/>
                        </w:trPr>
                        <w:tc>
                          <w:tcPr>
                            <w:tcW w:w="1095" w:type="pct"/>
                            <w:tcBorders>
                              <w:top w:val="nil"/>
                              <w:left w:val="nil"/>
                              <w:bottom w:val="nil"/>
                              <w:right w:val="nil"/>
                            </w:tcBorders>
                            <w:noWrap/>
                            <w:hideMark/>
                          </w:tcPr>
                          <w:p w14:paraId="567A9CF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Assets %</w:t>
                            </w:r>
                          </w:p>
                        </w:tc>
                        <w:tc>
                          <w:tcPr>
                            <w:tcW w:w="558" w:type="pct"/>
                            <w:tcBorders>
                              <w:top w:val="nil"/>
                              <w:left w:val="nil"/>
                              <w:bottom w:val="nil"/>
                              <w:right w:val="nil"/>
                            </w:tcBorders>
                            <w:hideMark/>
                          </w:tcPr>
                          <w:p w14:paraId="38E5204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4.6% </w:t>
                            </w:r>
                          </w:p>
                        </w:tc>
                        <w:tc>
                          <w:tcPr>
                            <w:tcW w:w="558" w:type="pct"/>
                            <w:tcBorders>
                              <w:top w:val="nil"/>
                              <w:left w:val="nil"/>
                              <w:bottom w:val="nil"/>
                              <w:right w:val="nil"/>
                            </w:tcBorders>
                            <w:hideMark/>
                          </w:tcPr>
                          <w:p w14:paraId="491313A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5.2% </w:t>
                            </w:r>
                          </w:p>
                        </w:tc>
                        <w:tc>
                          <w:tcPr>
                            <w:tcW w:w="558" w:type="pct"/>
                            <w:tcBorders>
                              <w:top w:val="nil"/>
                              <w:left w:val="nil"/>
                              <w:bottom w:val="nil"/>
                              <w:right w:val="nil"/>
                            </w:tcBorders>
                            <w:hideMark/>
                          </w:tcPr>
                          <w:p w14:paraId="7BE52CA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4.6% </w:t>
                            </w:r>
                          </w:p>
                        </w:tc>
                        <w:tc>
                          <w:tcPr>
                            <w:tcW w:w="558" w:type="pct"/>
                            <w:tcBorders>
                              <w:top w:val="nil"/>
                              <w:left w:val="nil"/>
                              <w:bottom w:val="nil"/>
                              <w:right w:val="nil"/>
                            </w:tcBorders>
                            <w:hideMark/>
                          </w:tcPr>
                          <w:p w14:paraId="21EE033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 </w:t>
                            </w:r>
                          </w:p>
                        </w:tc>
                        <w:tc>
                          <w:tcPr>
                            <w:tcW w:w="558" w:type="pct"/>
                            <w:tcBorders>
                              <w:top w:val="nil"/>
                              <w:left w:val="nil"/>
                              <w:bottom w:val="nil"/>
                              <w:right w:val="nil"/>
                            </w:tcBorders>
                            <w:hideMark/>
                          </w:tcPr>
                          <w:p w14:paraId="42FE300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3.9% </w:t>
                            </w:r>
                          </w:p>
                        </w:tc>
                        <w:tc>
                          <w:tcPr>
                            <w:tcW w:w="558" w:type="pct"/>
                            <w:tcBorders>
                              <w:top w:val="nil"/>
                              <w:left w:val="nil"/>
                              <w:bottom w:val="nil"/>
                              <w:right w:val="nil"/>
                            </w:tcBorders>
                            <w:hideMark/>
                          </w:tcPr>
                          <w:p w14:paraId="2C84FDE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4.9% </w:t>
                            </w:r>
                          </w:p>
                        </w:tc>
                        <w:tc>
                          <w:tcPr>
                            <w:tcW w:w="558" w:type="pct"/>
                            <w:tcBorders>
                              <w:top w:val="nil"/>
                              <w:left w:val="nil"/>
                              <w:bottom w:val="nil"/>
                              <w:right w:val="nil"/>
                            </w:tcBorders>
                            <w:hideMark/>
                          </w:tcPr>
                          <w:p w14:paraId="050CF8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5.0% </w:t>
                            </w:r>
                          </w:p>
                        </w:tc>
                      </w:tr>
                      <w:tr w:rsidR="0062242B" w:rsidRPr="0062242B" w14:paraId="26EC7201" w14:textId="77777777" w:rsidTr="0062242B">
                        <w:trPr>
                          <w:trHeight w:val="204"/>
                        </w:trPr>
                        <w:tc>
                          <w:tcPr>
                            <w:tcW w:w="1095" w:type="pct"/>
                            <w:tcBorders>
                              <w:top w:val="nil"/>
                              <w:left w:val="nil"/>
                              <w:bottom w:val="nil"/>
                              <w:right w:val="nil"/>
                            </w:tcBorders>
                            <w:noWrap/>
                            <w:hideMark/>
                          </w:tcPr>
                          <w:p w14:paraId="73FC7C0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Capital %</w:t>
                            </w:r>
                          </w:p>
                        </w:tc>
                        <w:tc>
                          <w:tcPr>
                            <w:tcW w:w="558" w:type="pct"/>
                            <w:tcBorders>
                              <w:top w:val="nil"/>
                              <w:left w:val="nil"/>
                              <w:bottom w:val="nil"/>
                              <w:right w:val="nil"/>
                            </w:tcBorders>
                            <w:hideMark/>
                          </w:tcPr>
                          <w:p w14:paraId="382FB3E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 </w:t>
                            </w:r>
                          </w:p>
                        </w:tc>
                        <w:tc>
                          <w:tcPr>
                            <w:tcW w:w="558" w:type="pct"/>
                            <w:tcBorders>
                              <w:top w:val="nil"/>
                              <w:left w:val="nil"/>
                              <w:bottom w:val="nil"/>
                              <w:right w:val="nil"/>
                            </w:tcBorders>
                            <w:hideMark/>
                          </w:tcPr>
                          <w:p w14:paraId="19163D6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6.7% </w:t>
                            </w:r>
                          </w:p>
                        </w:tc>
                        <w:tc>
                          <w:tcPr>
                            <w:tcW w:w="558" w:type="pct"/>
                            <w:tcBorders>
                              <w:top w:val="nil"/>
                              <w:left w:val="nil"/>
                              <w:bottom w:val="nil"/>
                              <w:right w:val="nil"/>
                            </w:tcBorders>
                            <w:hideMark/>
                          </w:tcPr>
                          <w:p w14:paraId="053D612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6.0% </w:t>
                            </w:r>
                          </w:p>
                        </w:tc>
                        <w:tc>
                          <w:tcPr>
                            <w:tcW w:w="558" w:type="pct"/>
                            <w:tcBorders>
                              <w:top w:val="nil"/>
                              <w:left w:val="nil"/>
                              <w:bottom w:val="nil"/>
                              <w:right w:val="nil"/>
                            </w:tcBorders>
                            <w:hideMark/>
                          </w:tcPr>
                          <w:p w14:paraId="1EC4970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4.8% </w:t>
                            </w:r>
                          </w:p>
                        </w:tc>
                        <w:tc>
                          <w:tcPr>
                            <w:tcW w:w="558" w:type="pct"/>
                            <w:tcBorders>
                              <w:top w:val="nil"/>
                              <w:left w:val="nil"/>
                              <w:bottom w:val="nil"/>
                              <w:right w:val="nil"/>
                            </w:tcBorders>
                            <w:hideMark/>
                          </w:tcPr>
                          <w:p w14:paraId="76E3493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5.2% </w:t>
                            </w:r>
                          </w:p>
                        </w:tc>
                        <w:tc>
                          <w:tcPr>
                            <w:tcW w:w="558" w:type="pct"/>
                            <w:tcBorders>
                              <w:top w:val="nil"/>
                              <w:left w:val="nil"/>
                              <w:bottom w:val="nil"/>
                              <w:right w:val="nil"/>
                            </w:tcBorders>
                            <w:hideMark/>
                          </w:tcPr>
                          <w:p w14:paraId="087D13C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6.6% </w:t>
                            </w:r>
                          </w:p>
                        </w:tc>
                        <w:tc>
                          <w:tcPr>
                            <w:tcW w:w="558" w:type="pct"/>
                            <w:tcBorders>
                              <w:top w:val="nil"/>
                              <w:left w:val="nil"/>
                              <w:bottom w:val="nil"/>
                              <w:right w:val="nil"/>
                            </w:tcBorders>
                            <w:hideMark/>
                          </w:tcPr>
                          <w:p w14:paraId="416DA8A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6.9% </w:t>
                            </w:r>
                          </w:p>
                        </w:tc>
                      </w:tr>
                      <w:tr w:rsidR="0062242B" w:rsidRPr="0062242B" w14:paraId="1AF4B8AF" w14:textId="77777777" w:rsidTr="0062242B">
                        <w:trPr>
                          <w:trHeight w:val="204"/>
                        </w:trPr>
                        <w:tc>
                          <w:tcPr>
                            <w:tcW w:w="1095" w:type="pct"/>
                            <w:tcBorders>
                              <w:top w:val="nil"/>
                              <w:left w:val="nil"/>
                              <w:bottom w:val="nil"/>
                              <w:right w:val="nil"/>
                            </w:tcBorders>
                            <w:noWrap/>
                            <w:hideMark/>
                          </w:tcPr>
                          <w:p w14:paraId="57DE4796"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Equity %</w:t>
                            </w:r>
                          </w:p>
                        </w:tc>
                        <w:tc>
                          <w:tcPr>
                            <w:tcW w:w="558" w:type="pct"/>
                            <w:tcBorders>
                              <w:top w:val="nil"/>
                              <w:left w:val="nil"/>
                              <w:bottom w:val="nil"/>
                              <w:right w:val="nil"/>
                            </w:tcBorders>
                            <w:hideMark/>
                          </w:tcPr>
                          <w:p w14:paraId="056D1A5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15.4% </w:t>
                            </w:r>
                          </w:p>
                        </w:tc>
                        <w:tc>
                          <w:tcPr>
                            <w:tcW w:w="558" w:type="pct"/>
                            <w:tcBorders>
                              <w:top w:val="nil"/>
                              <w:left w:val="nil"/>
                              <w:bottom w:val="nil"/>
                              <w:right w:val="nil"/>
                            </w:tcBorders>
                            <w:hideMark/>
                          </w:tcPr>
                          <w:p w14:paraId="45973A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18.9% </w:t>
                            </w:r>
                          </w:p>
                        </w:tc>
                        <w:tc>
                          <w:tcPr>
                            <w:tcW w:w="558" w:type="pct"/>
                            <w:tcBorders>
                              <w:top w:val="nil"/>
                              <w:left w:val="nil"/>
                              <w:bottom w:val="nil"/>
                              <w:right w:val="nil"/>
                            </w:tcBorders>
                            <w:hideMark/>
                          </w:tcPr>
                          <w:p w14:paraId="55A130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14.6% </w:t>
                            </w:r>
                          </w:p>
                        </w:tc>
                        <w:tc>
                          <w:tcPr>
                            <w:tcW w:w="558" w:type="pct"/>
                            <w:tcBorders>
                              <w:top w:val="nil"/>
                              <w:left w:val="nil"/>
                              <w:bottom w:val="nil"/>
                              <w:right w:val="nil"/>
                            </w:tcBorders>
                            <w:hideMark/>
                          </w:tcPr>
                          <w:p w14:paraId="23DF42A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4.3% </w:t>
                            </w:r>
                          </w:p>
                        </w:tc>
                        <w:tc>
                          <w:tcPr>
                            <w:tcW w:w="558" w:type="pct"/>
                            <w:tcBorders>
                              <w:top w:val="nil"/>
                              <w:left w:val="nil"/>
                              <w:bottom w:val="nil"/>
                              <w:right w:val="nil"/>
                            </w:tcBorders>
                            <w:hideMark/>
                          </w:tcPr>
                          <w:p w14:paraId="470DB85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 </w:t>
                            </w:r>
                          </w:p>
                        </w:tc>
                        <w:tc>
                          <w:tcPr>
                            <w:tcW w:w="558" w:type="pct"/>
                            <w:tcBorders>
                              <w:top w:val="nil"/>
                              <w:left w:val="nil"/>
                              <w:bottom w:val="nil"/>
                              <w:right w:val="nil"/>
                            </w:tcBorders>
                            <w:hideMark/>
                          </w:tcPr>
                          <w:p w14:paraId="7466DFF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6.4% </w:t>
                            </w:r>
                          </w:p>
                        </w:tc>
                        <w:tc>
                          <w:tcPr>
                            <w:tcW w:w="558" w:type="pct"/>
                            <w:tcBorders>
                              <w:top w:val="nil"/>
                              <w:left w:val="nil"/>
                              <w:bottom w:val="nil"/>
                              <w:right w:val="nil"/>
                            </w:tcBorders>
                            <w:hideMark/>
                          </w:tcPr>
                          <w:p w14:paraId="29AADD3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10.3% </w:t>
                            </w:r>
                          </w:p>
                        </w:tc>
                      </w:tr>
                      <w:tr w:rsidR="0062242B" w:rsidRPr="0062242B" w14:paraId="45E3508A" w14:textId="77777777" w:rsidTr="0062242B">
                        <w:trPr>
                          <w:trHeight w:val="204"/>
                        </w:trPr>
                        <w:tc>
                          <w:tcPr>
                            <w:tcW w:w="1095" w:type="pct"/>
                            <w:tcBorders>
                              <w:top w:val="nil"/>
                              <w:left w:val="nil"/>
                              <w:bottom w:val="nil"/>
                              <w:right w:val="nil"/>
                            </w:tcBorders>
                            <w:noWrap/>
                            <w:hideMark/>
                          </w:tcPr>
                          <w:p w14:paraId="395DCC2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Return on Common Equity %</w:t>
                            </w:r>
                          </w:p>
                        </w:tc>
                        <w:tc>
                          <w:tcPr>
                            <w:tcW w:w="558" w:type="pct"/>
                            <w:tcBorders>
                              <w:top w:val="nil"/>
                              <w:left w:val="nil"/>
                              <w:bottom w:val="nil"/>
                              <w:right w:val="nil"/>
                            </w:tcBorders>
                            <w:hideMark/>
                          </w:tcPr>
                          <w:p w14:paraId="5E6E691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20.4% </w:t>
                            </w:r>
                          </w:p>
                        </w:tc>
                        <w:tc>
                          <w:tcPr>
                            <w:tcW w:w="558" w:type="pct"/>
                            <w:tcBorders>
                              <w:top w:val="nil"/>
                              <w:left w:val="nil"/>
                              <w:bottom w:val="nil"/>
                              <w:right w:val="nil"/>
                            </w:tcBorders>
                            <w:hideMark/>
                          </w:tcPr>
                          <w:p w14:paraId="4CC328B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23.9% </w:t>
                            </w:r>
                          </w:p>
                        </w:tc>
                        <w:tc>
                          <w:tcPr>
                            <w:tcW w:w="558" w:type="pct"/>
                            <w:tcBorders>
                              <w:top w:val="nil"/>
                              <w:left w:val="nil"/>
                              <w:bottom w:val="nil"/>
                              <w:right w:val="nil"/>
                            </w:tcBorders>
                            <w:hideMark/>
                          </w:tcPr>
                          <w:p w14:paraId="75FD001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05FA555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6.6% </w:t>
                            </w:r>
                          </w:p>
                        </w:tc>
                        <w:tc>
                          <w:tcPr>
                            <w:tcW w:w="558" w:type="pct"/>
                            <w:tcBorders>
                              <w:top w:val="nil"/>
                              <w:left w:val="nil"/>
                              <w:bottom w:val="nil"/>
                              <w:right w:val="nil"/>
                            </w:tcBorders>
                            <w:hideMark/>
                          </w:tcPr>
                          <w:p w14:paraId="6FA9C24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 </w:t>
                            </w:r>
                          </w:p>
                        </w:tc>
                        <w:tc>
                          <w:tcPr>
                            <w:tcW w:w="558" w:type="pct"/>
                            <w:tcBorders>
                              <w:top w:val="nil"/>
                              <w:left w:val="nil"/>
                              <w:bottom w:val="nil"/>
                              <w:right w:val="nil"/>
                            </w:tcBorders>
                            <w:hideMark/>
                          </w:tcPr>
                          <w:p w14:paraId="5E8FE4E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8.1% </w:t>
                            </w:r>
                          </w:p>
                        </w:tc>
                        <w:tc>
                          <w:tcPr>
                            <w:tcW w:w="558" w:type="pct"/>
                            <w:tcBorders>
                              <w:top w:val="nil"/>
                              <w:left w:val="nil"/>
                              <w:bottom w:val="nil"/>
                              <w:right w:val="nil"/>
                            </w:tcBorders>
                            <w:hideMark/>
                          </w:tcPr>
                          <w:p w14:paraId="514E5A1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12.0% </w:t>
                            </w:r>
                          </w:p>
                        </w:tc>
                      </w:tr>
                      <w:tr w:rsidR="0062242B" w:rsidRPr="0062242B" w14:paraId="391EF1B7" w14:textId="77777777" w:rsidTr="0062242B">
                        <w:trPr>
                          <w:trHeight w:val="204"/>
                        </w:trPr>
                        <w:tc>
                          <w:tcPr>
                            <w:tcW w:w="1095" w:type="pct"/>
                            <w:tcBorders>
                              <w:top w:val="nil"/>
                              <w:left w:val="nil"/>
                              <w:bottom w:val="nil"/>
                              <w:right w:val="nil"/>
                            </w:tcBorders>
                            <w:noWrap/>
                            <w:hideMark/>
                          </w:tcPr>
                          <w:p w14:paraId="3C95A7B5"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Margin Analysis</w:t>
                            </w:r>
                          </w:p>
                        </w:tc>
                        <w:tc>
                          <w:tcPr>
                            <w:tcW w:w="558" w:type="pct"/>
                            <w:tcBorders>
                              <w:top w:val="nil"/>
                              <w:left w:val="nil"/>
                              <w:bottom w:val="nil"/>
                              <w:right w:val="nil"/>
                            </w:tcBorders>
                            <w:noWrap/>
                            <w:hideMark/>
                          </w:tcPr>
                          <w:p w14:paraId="544FA1F8"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0E05916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6A8860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A2B3B7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79564E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94BCFF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C7755A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300524BD" w14:textId="77777777" w:rsidTr="0062242B">
                        <w:trPr>
                          <w:trHeight w:val="204"/>
                        </w:trPr>
                        <w:tc>
                          <w:tcPr>
                            <w:tcW w:w="1095" w:type="pct"/>
                            <w:tcBorders>
                              <w:top w:val="nil"/>
                              <w:left w:val="nil"/>
                              <w:bottom w:val="nil"/>
                              <w:right w:val="nil"/>
                            </w:tcBorders>
                            <w:noWrap/>
                            <w:hideMark/>
                          </w:tcPr>
                          <w:p w14:paraId="732BDCE8"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Gross Margin %</w:t>
                            </w:r>
                          </w:p>
                        </w:tc>
                        <w:tc>
                          <w:tcPr>
                            <w:tcW w:w="558" w:type="pct"/>
                            <w:tcBorders>
                              <w:top w:val="nil"/>
                              <w:left w:val="nil"/>
                              <w:bottom w:val="nil"/>
                              <w:right w:val="nil"/>
                            </w:tcBorders>
                            <w:hideMark/>
                          </w:tcPr>
                          <w:p w14:paraId="74C6B1E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45.8% </w:t>
                            </w:r>
                          </w:p>
                        </w:tc>
                        <w:tc>
                          <w:tcPr>
                            <w:tcW w:w="558" w:type="pct"/>
                            <w:tcBorders>
                              <w:top w:val="nil"/>
                              <w:left w:val="nil"/>
                              <w:bottom w:val="nil"/>
                              <w:right w:val="nil"/>
                            </w:tcBorders>
                            <w:hideMark/>
                          </w:tcPr>
                          <w:p w14:paraId="05A3F46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45.1% </w:t>
                            </w:r>
                          </w:p>
                        </w:tc>
                        <w:tc>
                          <w:tcPr>
                            <w:tcW w:w="558" w:type="pct"/>
                            <w:tcBorders>
                              <w:top w:val="nil"/>
                              <w:left w:val="nil"/>
                              <w:bottom w:val="nil"/>
                              <w:right w:val="nil"/>
                            </w:tcBorders>
                            <w:hideMark/>
                          </w:tcPr>
                          <w:p w14:paraId="7DE445F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41.5% </w:t>
                            </w:r>
                          </w:p>
                        </w:tc>
                        <w:tc>
                          <w:tcPr>
                            <w:tcW w:w="558" w:type="pct"/>
                            <w:tcBorders>
                              <w:top w:val="nil"/>
                              <w:left w:val="nil"/>
                              <w:bottom w:val="nil"/>
                              <w:right w:val="nil"/>
                            </w:tcBorders>
                            <w:hideMark/>
                          </w:tcPr>
                          <w:p w14:paraId="395D358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47DB4E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435B1DB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37.7% </w:t>
                            </w:r>
                          </w:p>
                        </w:tc>
                        <w:tc>
                          <w:tcPr>
                            <w:tcW w:w="558" w:type="pct"/>
                            <w:tcBorders>
                              <w:top w:val="nil"/>
                              <w:left w:val="nil"/>
                              <w:bottom w:val="nil"/>
                              <w:right w:val="nil"/>
                            </w:tcBorders>
                            <w:hideMark/>
                          </w:tcPr>
                          <w:p w14:paraId="198F784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38.8% </w:t>
                            </w:r>
                          </w:p>
                        </w:tc>
                      </w:tr>
                      <w:tr w:rsidR="0062242B" w:rsidRPr="0062242B" w14:paraId="6A6E6B3D" w14:textId="77777777" w:rsidTr="0062242B">
                        <w:trPr>
                          <w:trHeight w:val="204"/>
                        </w:trPr>
                        <w:tc>
                          <w:tcPr>
                            <w:tcW w:w="1095" w:type="pct"/>
                            <w:tcBorders>
                              <w:top w:val="nil"/>
                              <w:left w:val="nil"/>
                              <w:bottom w:val="nil"/>
                              <w:right w:val="nil"/>
                            </w:tcBorders>
                            <w:noWrap/>
                            <w:hideMark/>
                          </w:tcPr>
                          <w:p w14:paraId="505F394E"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SG&amp;A Margin %</w:t>
                            </w:r>
                          </w:p>
                        </w:tc>
                        <w:tc>
                          <w:tcPr>
                            <w:tcW w:w="558" w:type="pct"/>
                            <w:tcBorders>
                              <w:top w:val="nil"/>
                              <w:left w:val="nil"/>
                              <w:bottom w:val="nil"/>
                              <w:right w:val="nil"/>
                            </w:tcBorders>
                            <w:hideMark/>
                          </w:tcPr>
                          <w:p w14:paraId="70264C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0854FBE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15.5% </w:t>
                            </w:r>
                          </w:p>
                        </w:tc>
                        <w:tc>
                          <w:tcPr>
                            <w:tcW w:w="558" w:type="pct"/>
                            <w:tcBorders>
                              <w:top w:val="nil"/>
                              <w:left w:val="nil"/>
                              <w:bottom w:val="nil"/>
                              <w:right w:val="nil"/>
                            </w:tcBorders>
                            <w:hideMark/>
                          </w:tcPr>
                          <w:p w14:paraId="3F4F6AB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16.5% </w:t>
                            </w:r>
                          </w:p>
                        </w:tc>
                        <w:tc>
                          <w:tcPr>
                            <w:tcW w:w="558" w:type="pct"/>
                            <w:tcBorders>
                              <w:top w:val="nil"/>
                              <w:left w:val="nil"/>
                              <w:bottom w:val="nil"/>
                              <w:right w:val="nil"/>
                            </w:tcBorders>
                            <w:hideMark/>
                          </w:tcPr>
                          <w:p w14:paraId="64BD93A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57D5FE6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16.8% </w:t>
                            </w:r>
                          </w:p>
                        </w:tc>
                        <w:tc>
                          <w:tcPr>
                            <w:tcW w:w="558" w:type="pct"/>
                            <w:tcBorders>
                              <w:top w:val="nil"/>
                              <w:left w:val="nil"/>
                              <w:bottom w:val="nil"/>
                              <w:right w:val="nil"/>
                            </w:tcBorders>
                            <w:hideMark/>
                          </w:tcPr>
                          <w:p w14:paraId="478C961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7767F6A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18.8% </w:t>
                            </w:r>
                          </w:p>
                        </w:tc>
                      </w:tr>
                      <w:tr w:rsidR="0062242B" w:rsidRPr="0062242B" w14:paraId="3DB9E1F9" w14:textId="77777777" w:rsidTr="0062242B">
                        <w:trPr>
                          <w:trHeight w:val="204"/>
                        </w:trPr>
                        <w:tc>
                          <w:tcPr>
                            <w:tcW w:w="1095" w:type="pct"/>
                            <w:tcBorders>
                              <w:top w:val="nil"/>
                              <w:left w:val="nil"/>
                              <w:bottom w:val="nil"/>
                              <w:right w:val="nil"/>
                            </w:tcBorders>
                            <w:noWrap/>
                            <w:hideMark/>
                          </w:tcPr>
                          <w:p w14:paraId="2914E5B1"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 Margin %</w:t>
                            </w:r>
                          </w:p>
                        </w:tc>
                        <w:tc>
                          <w:tcPr>
                            <w:tcW w:w="558" w:type="pct"/>
                            <w:tcBorders>
                              <w:top w:val="nil"/>
                              <w:left w:val="nil"/>
                              <w:bottom w:val="nil"/>
                              <w:right w:val="nil"/>
                            </w:tcBorders>
                            <w:hideMark/>
                          </w:tcPr>
                          <w:p w14:paraId="21BC8BA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26.1% </w:t>
                            </w:r>
                          </w:p>
                        </w:tc>
                        <w:tc>
                          <w:tcPr>
                            <w:tcW w:w="558" w:type="pct"/>
                            <w:tcBorders>
                              <w:top w:val="nil"/>
                              <w:left w:val="nil"/>
                              <w:bottom w:val="nil"/>
                              <w:right w:val="nil"/>
                            </w:tcBorders>
                            <w:hideMark/>
                          </w:tcPr>
                          <w:p w14:paraId="59470D3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27.0% </w:t>
                            </w:r>
                          </w:p>
                        </w:tc>
                        <w:tc>
                          <w:tcPr>
                            <w:tcW w:w="558" w:type="pct"/>
                            <w:tcBorders>
                              <w:top w:val="nil"/>
                              <w:left w:val="nil"/>
                              <w:bottom w:val="nil"/>
                              <w:right w:val="nil"/>
                            </w:tcBorders>
                            <w:hideMark/>
                          </w:tcPr>
                          <w:p w14:paraId="15D1E42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22.0% </w:t>
                            </w:r>
                          </w:p>
                        </w:tc>
                        <w:tc>
                          <w:tcPr>
                            <w:tcW w:w="558" w:type="pct"/>
                            <w:tcBorders>
                              <w:top w:val="nil"/>
                              <w:left w:val="nil"/>
                              <w:bottom w:val="nil"/>
                              <w:right w:val="nil"/>
                            </w:tcBorders>
                            <w:hideMark/>
                          </w:tcPr>
                          <w:p w14:paraId="3029528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16.9% </w:t>
                            </w:r>
                          </w:p>
                        </w:tc>
                        <w:tc>
                          <w:tcPr>
                            <w:tcW w:w="558" w:type="pct"/>
                            <w:tcBorders>
                              <w:top w:val="nil"/>
                              <w:left w:val="nil"/>
                              <w:bottom w:val="nil"/>
                              <w:right w:val="nil"/>
                            </w:tcBorders>
                            <w:hideMark/>
                          </w:tcPr>
                          <w:p w14:paraId="3C4EDF2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17.7% </w:t>
                            </w:r>
                          </w:p>
                        </w:tc>
                        <w:tc>
                          <w:tcPr>
                            <w:tcW w:w="558" w:type="pct"/>
                            <w:tcBorders>
                              <w:top w:val="nil"/>
                              <w:left w:val="nil"/>
                              <w:bottom w:val="nil"/>
                              <w:right w:val="nil"/>
                            </w:tcBorders>
                            <w:hideMark/>
                          </w:tcPr>
                          <w:p w14:paraId="38D3AF2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19.5% </w:t>
                            </w:r>
                          </w:p>
                        </w:tc>
                        <w:tc>
                          <w:tcPr>
                            <w:tcW w:w="558" w:type="pct"/>
                            <w:tcBorders>
                              <w:top w:val="nil"/>
                              <w:left w:val="nil"/>
                              <w:bottom w:val="nil"/>
                              <w:right w:val="nil"/>
                            </w:tcBorders>
                            <w:hideMark/>
                          </w:tcPr>
                          <w:p w14:paraId="2BF3A97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19.4% </w:t>
                            </w:r>
                          </w:p>
                        </w:tc>
                      </w:tr>
                      <w:tr w:rsidR="0062242B" w:rsidRPr="0062242B" w14:paraId="13B59344" w14:textId="77777777" w:rsidTr="0062242B">
                        <w:trPr>
                          <w:trHeight w:val="204"/>
                        </w:trPr>
                        <w:tc>
                          <w:tcPr>
                            <w:tcW w:w="1095" w:type="pct"/>
                            <w:tcBorders>
                              <w:top w:val="nil"/>
                              <w:left w:val="nil"/>
                              <w:bottom w:val="nil"/>
                              <w:right w:val="nil"/>
                            </w:tcBorders>
                            <w:noWrap/>
                            <w:hideMark/>
                          </w:tcPr>
                          <w:p w14:paraId="1F1EE4D3"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EBITA Margin %</w:t>
                            </w:r>
                          </w:p>
                        </w:tc>
                        <w:tc>
                          <w:tcPr>
                            <w:tcW w:w="558" w:type="pct"/>
                            <w:tcBorders>
                              <w:top w:val="nil"/>
                              <w:left w:val="nil"/>
                              <w:bottom w:val="nil"/>
                              <w:right w:val="nil"/>
                            </w:tcBorders>
                            <w:hideMark/>
                          </w:tcPr>
                          <w:p w14:paraId="7F3D448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22.2% </w:t>
                            </w:r>
                          </w:p>
                        </w:tc>
                        <w:tc>
                          <w:tcPr>
                            <w:tcW w:w="558" w:type="pct"/>
                            <w:tcBorders>
                              <w:top w:val="nil"/>
                              <w:left w:val="nil"/>
                              <w:bottom w:val="nil"/>
                              <w:right w:val="nil"/>
                            </w:tcBorders>
                            <w:hideMark/>
                          </w:tcPr>
                          <w:p w14:paraId="6C7B9D2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23.0% </w:t>
                            </w:r>
                          </w:p>
                        </w:tc>
                        <w:tc>
                          <w:tcPr>
                            <w:tcW w:w="558" w:type="pct"/>
                            <w:tcBorders>
                              <w:top w:val="nil"/>
                              <w:left w:val="nil"/>
                              <w:bottom w:val="nil"/>
                              <w:right w:val="nil"/>
                            </w:tcBorders>
                            <w:hideMark/>
                          </w:tcPr>
                          <w:p w14:paraId="5D48C9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18.3% </w:t>
                            </w:r>
                          </w:p>
                        </w:tc>
                        <w:tc>
                          <w:tcPr>
                            <w:tcW w:w="558" w:type="pct"/>
                            <w:tcBorders>
                              <w:top w:val="nil"/>
                              <w:left w:val="nil"/>
                              <w:bottom w:val="nil"/>
                              <w:right w:val="nil"/>
                            </w:tcBorders>
                            <w:hideMark/>
                          </w:tcPr>
                          <w:p w14:paraId="4C62F4A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13.7% </w:t>
                            </w:r>
                          </w:p>
                        </w:tc>
                        <w:tc>
                          <w:tcPr>
                            <w:tcW w:w="558" w:type="pct"/>
                            <w:tcBorders>
                              <w:top w:val="nil"/>
                              <w:left w:val="nil"/>
                              <w:bottom w:val="nil"/>
                              <w:right w:val="nil"/>
                            </w:tcBorders>
                            <w:hideMark/>
                          </w:tcPr>
                          <w:p w14:paraId="0B50265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14.5% </w:t>
                            </w:r>
                          </w:p>
                        </w:tc>
                        <w:tc>
                          <w:tcPr>
                            <w:tcW w:w="558" w:type="pct"/>
                            <w:tcBorders>
                              <w:top w:val="nil"/>
                              <w:left w:val="nil"/>
                              <w:bottom w:val="nil"/>
                              <w:right w:val="nil"/>
                            </w:tcBorders>
                            <w:hideMark/>
                          </w:tcPr>
                          <w:p w14:paraId="1CDB037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16.6% </w:t>
                            </w:r>
                          </w:p>
                        </w:tc>
                        <w:tc>
                          <w:tcPr>
                            <w:tcW w:w="558" w:type="pct"/>
                            <w:tcBorders>
                              <w:top w:val="nil"/>
                              <w:left w:val="nil"/>
                              <w:bottom w:val="nil"/>
                              <w:right w:val="nil"/>
                            </w:tcBorders>
                            <w:hideMark/>
                          </w:tcPr>
                          <w:p w14:paraId="1920A06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r>
                      <w:tr w:rsidR="0062242B" w:rsidRPr="0062242B" w14:paraId="39E3BC21" w14:textId="77777777" w:rsidTr="0062242B">
                        <w:trPr>
                          <w:trHeight w:val="204"/>
                        </w:trPr>
                        <w:tc>
                          <w:tcPr>
                            <w:tcW w:w="1095" w:type="pct"/>
                            <w:tcBorders>
                              <w:top w:val="nil"/>
                              <w:left w:val="nil"/>
                              <w:bottom w:val="nil"/>
                              <w:right w:val="nil"/>
                            </w:tcBorders>
                            <w:noWrap/>
                            <w:hideMark/>
                          </w:tcPr>
                          <w:p w14:paraId="37DF4C01"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 Margin %</w:t>
                            </w:r>
                          </w:p>
                        </w:tc>
                        <w:tc>
                          <w:tcPr>
                            <w:tcW w:w="558" w:type="pct"/>
                            <w:tcBorders>
                              <w:top w:val="nil"/>
                              <w:left w:val="nil"/>
                              <w:bottom w:val="nil"/>
                              <w:right w:val="nil"/>
                            </w:tcBorders>
                            <w:hideMark/>
                          </w:tcPr>
                          <w:p w14:paraId="0C7393F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16.3% </w:t>
                            </w:r>
                          </w:p>
                        </w:tc>
                        <w:tc>
                          <w:tcPr>
                            <w:tcW w:w="558" w:type="pct"/>
                            <w:tcBorders>
                              <w:top w:val="nil"/>
                              <w:left w:val="nil"/>
                              <w:bottom w:val="nil"/>
                              <w:right w:val="nil"/>
                            </w:tcBorders>
                            <w:hideMark/>
                          </w:tcPr>
                          <w:p w14:paraId="490016C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18.7% </w:t>
                            </w:r>
                          </w:p>
                        </w:tc>
                        <w:tc>
                          <w:tcPr>
                            <w:tcW w:w="558" w:type="pct"/>
                            <w:tcBorders>
                              <w:top w:val="nil"/>
                              <w:left w:val="nil"/>
                              <w:bottom w:val="nil"/>
                              <w:right w:val="nil"/>
                            </w:tcBorders>
                            <w:hideMark/>
                          </w:tcPr>
                          <w:p w14:paraId="237715B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2A89725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11.3% </w:t>
                            </w:r>
                          </w:p>
                        </w:tc>
                        <w:tc>
                          <w:tcPr>
                            <w:tcW w:w="558" w:type="pct"/>
                            <w:tcBorders>
                              <w:top w:val="nil"/>
                              <w:left w:val="nil"/>
                              <w:bottom w:val="nil"/>
                              <w:right w:val="nil"/>
                            </w:tcBorders>
                            <w:hideMark/>
                          </w:tcPr>
                          <w:p w14:paraId="75F336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c>
                          <w:tcPr>
                            <w:tcW w:w="558" w:type="pct"/>
                            <w:tcBorders>
                              <w:top w:val="nil"/>
                              <w:left w:val="nil"/>
                              <w:bottom w:val="nil"/>
                              <w:right w:val="nil"/>
                            </w:tcBorders>
                            <w:hideMark/>
                          </w:tcPr>
                          <w:p w14:paraId="0E81017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14.7% </w:t>
                            </w:r>
                          </w:p>
                        </w:tc>
                        <w:tc>
                          <w:tcPr>
                            <w:tcW w:w="558" w:type="pct"/>
                            <w:tcBorders>
                              <w:top w:val="nil"/>
                              <w:left w:val="nil"/>
                              <w:bottom w:val="nil"/>
                              <w:right w:val="nil"/>
                            </w:tcBorders>
                            <w:hideMark/>
                          </w:tcPr>
                          <w:p w14:paraId="0620F85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r>
                      <w:tr w:rsidR="0062242B" w:rsidRPr="0062242B" w14:paraId="01062087" w14:textId="77777777" w:rsidTr="0062242B">
                        <w:trPr>
                          <w:trHeight w:val="204"/>
                        </w:trPr>
                        <w:tc>
                          <w:tcPr>
                            <w:tcW w:w="1095" w:type="pct"/>
                            <w:tcBorders>
                              <w:top w:val="nil"/>
                              <w:left w:val="nil"/>
                              <w:bottom w:val="nil"/>
                              <w:right w:val="nil"/>
                            </w:tcBorders>
                            <w:noWrap/>
                            <w:hideMark/>
                          </w:tcPr>
                          <w:p w14:paraId="70B5235D"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Earnings from Cont. Ops Margin %</w:t>
                            </w:r>
                          </w:p>
                        </w:tc>
                        <w:tc>
                          <w:tcPr>
                            <w:tcW w:w="558" w:type="pct"/>
                            <w:tcBorders>
                              <w:top w:val="nil"/>
                              <w:left w:val="nil"/>
                              <w:bottom w:val="nil"/>
                              <w:right w:val="nil"/>
                            </w:tcBorders>
                            <w:hideMark/>
                          </w:tcPr>
                          <w:p w14:paraId="701A9D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21.3% </w:t>
                            </w:r>
                          </w:p>
                        </w:tc>
                        <w:tc>
                          <w:tcPr>
                            <w:tcW w:w="558" w:type="pct"/>
                            <w:tcBorders>
                              <w:top w:val="nil"/>
                              <w:left w:val="nil"/>
                              <w:bottom w:val="nil"/>
                              <w:right w:val="nil"/>
                            </w:tcBorders>
                            <w:hideMark/>
                          </w:tcPr>
                          <w:p w14:paraId="4823797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27.5% </w:t>
                            </w:r>
                          </w:p>
                        </w:tc>
                        <w:tc>
                          <w:tcPr>
                            <w:tcW w:w="558" w:type="pct"/>
                            <w:tcBorders>
                              <w:top w:val="nil"/>
                              <w:left w:val="nil"/>
                              <w:bottom w:val="nil"/>
                              <w:right w:val="nil"/>
                            </w:tcBorders>
                            <w:hideMark/>
                          </w:tcPr>
                          <w:p w14:paraId="13F8920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20.0% </w:t>
                            </w:r>
                          </w:p>
                        </w:tc>
                        <w:tc>
                          <w:tcPr>
                            <w:tcW w:w="558" w:type="pct"/>
                            <w:tcBorders>
                              <w:top w:val="nil"/>
                              <w:left w:val="nil"/>
                              <w:bottom w:val="nil"/>
                              <w:right w:val="nil"/>
                            </w:tcBorders>
                            <w:hideMark/>
                          </w:tcPr>
                          <w:p w14:paraId="42077D7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5.5% </w:t>
                            </w:r>
                          </w:p>
                        </w:tc>
                        <w:tc>
                          <w:tcPr>
                            <w:tcW w:w="558" w:type="pct"/>
                            <w:tcBorders>
                              <w:top w:val="nil"/>
                              <w:left w:val="nil"/>
                              <w:bottom w:val="nil"/>
                              <w:right w:val="nil"/>
                            </w:tcBorders>
                            <w:hideMark/>
                          </w:tcPr>
                          <w:p w14:paraId="34655DC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 </w:t>
                            </w:r>
                          </w:p>
                        </w:tc>
                        <w:tc>
                          <w:tcPr>
                            <w:tcW w:w="558" w:type="pct"/>
                            <w:tcBorders>
                              <w:top w:val="nil"/>
                              <w:left w:val="nil"/>
                              <w:bottom w:val="nil"/>
                              <w:right w:val="nil"/>
                            </w:tcBorders>
                            <w:hideMark/>
                          </w:tcPr>
                          <w:p w14:paraId="2FCA83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7.6% </w:t>
                            </w:r>
                          </w:p>
                        </w:tc>
                        <w:tc>
                          <w:tcPr>
                            <w:tcW w:w="558" w:type="pct"/>
                            <w:tcBorders>
                              <w:top w:val="nil"/>
                              <w:left w:val="nil"/>
                              <w:bottom w:val="nil"/>
                              <w:right w:val="nil"/>
                            </w:tcBorders>
                            <w:hideMark/>
                          </w:tcPr>
                          <w:p w14:paraId="07346B5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11.7% </w:t>
                            </w:r>
                          </w:p>
                        </w:tc>
                      </w:tr>
                      <w:tr w:rsidR="0062242B" w:rsidRPr="0062242B" w14:paraId="27DB5F04" w14:textId="77777777" w:rsidTr="0062242B">
                        <w:trPr>
                          <w:trHeight w:val="204"/>
                        </w:trPr>
                        <w:tc>
                          <w:tcPr>
                            <w:tcW w:w="1095" w:type="pct"/>
                            <w:tcBorders>
                              <w:top w:val="nil"/>
                              <w:left w:val="nil"/>
                              <w:bottom w:val="nil"/>
                              <w:right w:val="nil"/>
                            </w:tcBorders>
                            <w:noWrap/>
                            <w:hideMark/>
                          </w:tcPr>
                          <w:p w14:paraId="631A988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Income Margin %</w:t>
                            </w:r>
                          </w:p>
                        </w:tc>
                        <w:tc>
                          <w:tcPr>
                            <w:tcW w:w="558" w:type="pct"/>
                            <w:tcBorders>
                              <w:top w:val="nil"/>
                              <w:left w:val="nil"/>
                              <w:bottom w:val="nil"/>
                              <w:right w:val="nil"/>
                            </w:tcBorders>
                            <w:hideMark/>
                          </w:tcPr>
                          <w:p w14:paraId="0E5B84A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23.3% </w:t>
                            </w:r>
                          </w:p>
                        </w:tc>
                        <w:tc>
                          <w:tcPr>
                            <w:tcW w:w="558" w:type="pct"/>
                            <w:tcBorders>
                              <w:top w:val="nil"/>
                              <w:left w:val="nil"/>
                              <w:bottom w:val="nil"/>
                              <w:right w:val="nil"/>
                            </w:tcBorders>
                            <w:hideMark/>
                          </w:tcPr>
                          <w:p w14:paraId="67FD1D1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29.3% </w:t>
                            </w:r>
                          </w:p>
                        </w:tc>
                        <w:tc>
                          <w:tcPr>
                            <w:tcW w:w="558" w:type="pct"/>
                            <w:tcBorders>
                              <w:top w:val="nil"/>
                              <w:left w:val="nil"/>
                              <w:bottom w:val="nil"/>
                              <w:right w:val="nil"/>
                            </w:tcBorders>
                            <w:hideMark/>
                          </w:tcPr>
                          <w:p w14:paraId="7452B39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21.0% </w:t>
                            </w:r>
                          </w:p>
                        </w:tc>
                        <w:tc>
                          <w:tcPr>
                            <w:tcW w:w="558" w:type="pct"/>
                            <w:tcBorders>
                              <w:top w:val="nil"/>
                              <w:left w:val="nil"/>
                              <w:bottom w:val="nil"/>
                              <w:right w:val="nil"/>
                            </w:tcBorders>
                            <w:hideMark/>
                          </w:tcPr>
                          <w:p w14:paraId="23C0310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1F2486C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8.4% </w:t>
                            </w:r>
                          </w:p>
                        </w:tc>
                        <w:tc>
                          <w:tcPr>
                            <w:tcW w:w="558" w:type="pct"/>
                            <w:tcBorders>
                              <w:top w:val="nil"/>
                              <w:left w:val="nil"/>
                              <w:bottom w:val="nil"/>
                              <w:right w:val="nil"/>
                            </w:tcBorders>
                            <w:hideMark/>
                          </w:tcPr>
                          <w:p w14:paraId="57530F2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8.5% </w:t>
                            </w:r>
                          </w:p>
                        </w:tc>
                        <w:tc>
                          <w:tcPr>
                            <w:tcW w:w="558" w:type="pct"/>
                            <w:tcBorders>
                              <w:top w:val="nil"/>
                              <w:left w:val="nil"/>
                              <w:bottom w:val="nil"/>
                              <w:right w:val="nil"/>
                            </w:tcBorders>
                            <w:hideMark/>
                          </w:tcPr>
                          <w:p w14:paraId="28783D7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r>
                      <w:tr w:rsidR="0062242B" w:rsidRPr="0062242B" w14:paraId="31DC09AE" w14:textId="77777777" w:rsidTr="0062242B">
                        <w:trPr>
                          <w:trHeight w:val="204"/>
                        </w:trPr>
                        <w:tc>
                          <w:tcPr>
                            <w:tcW w:w="1095" w:type="pct"/>
                            <w:tcBorders>
                              <w:top w:val="nil"/>
                              <w:left w:val="nil"/>
                              <w:bottom w:val="nil"/>
                              <w:right w:val="nil"/>
                            </w:tcBorders>
                            <w:noWrap/>
                            <w:hideMark/>
                          </w:tcPr>
                          <w:p w14:paraId="25D8F34C"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Income Avail. for Common Margin %</w:t>
                            </w:r>
                          </w:p>
                        </w:tc>
                        <w:tc>
                          <w:tcPr>
                            <w:tcW w:w="558" w:type="pct"/>
                            <w:tcBorders>
                              <w:top w:val="nil"/>
                              <w:left w:val="nil"/>
                              <w:bottom w:val="nil"/>
                              <w:right w:val="nil"/>
                            </w:tcBorders>
                            <w:hideMark/>
                          </w:tcPr>
                          <w:p w14:paraId="0EFA721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23.2% </w:t>
                            </w:r>
                          </w:p>
                        </w:tc>
                        <w:tc>
                          <w:tcPr>
                            <w:tcW w:w="558" w:type="pct"/>
                            <w:tcBorders>
                              <w:top w:val="nil"/>
                              <w:left w:val="nil"/>
                              <w:bottom w:val="nil"/>
                              <w:right w:val="nil"/>
                            </w:tcBorders>
                            <w:hideMark/>
                          </w:tcPr>
                          <w:p w14:paraId="38F7C12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29.3% </w:t>
                            </w:r>
                          </w:p>
                        </w:tc>
                        <w:tc>
                          <w:tcPr>
                            <w:tcW w:w="558" w:type="pct"/>
                            <w:tcBorders>
                              <w:top w:val="nil"/>
                              <w:left w:val="nil"/>
                              <w:bottom w:val="nil"/>
                              <w:right w:val="nil"/>
                            </w:tcBorders>
                            <w:hideMark/>
                          </w:tcPr>
                          <w:p w14:paraId="13B91AF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21.0% </w:t>
                            </w:r>
                          </w:p>
                        </w:tc>
                        <w:tc>
                          <w:tcPr>
                            <w:tcW w:w="558" w:type="pct"/>
                            <w:tcBorders>
                              <w:top w:val="nil"/>
                              <w:left w:val="nil"/>
                              <w:bottom w:val="nil"/>
                              <w:right w:val="nil"/>
                            </w:tcBorders>
                            <w:hideMark/>
                          </w:tcPr>
                          <w:p w14:paraId="3F4BE8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5E16982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8.3% </w:t>
                            </w:r>
                          </w:p>
                        </w:tc>
                        <w:tc>
                          <w:tcPr>
                            <w:tcW w:w="558" w:type="pct"/>
                            <w:tcBorders>
                              <w:top w:val="nil"/>
                              <w:left w:val="nil"/>
                              <w:bottom w:val="nil"/>
                              <w:right w:val="nil"/>
                            </w:tcBorders>
                            <w:hideMark/>
                          </w:tcPr>
                          <w:p w14:paraId="23D8FF6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8.5% </w:t>
                            </w:r>
                          </w:p>
                        </w:tc>
                        <w:tc>
                          <w:tcPr>
                            <w:tcW w:w="558" w:type="pct"/>
                            <w:tcBorders>
                              <w:top w:val="nil"/>
                              <w:left w:val="nil"/>
                              <w:bottom w:val="nil"/>
                              <w:right w:val="nil"/>
                            </w:tcBorders>
                            <w:hideMark/>
                          </w:tcPr>
                          <w:p w14:paraId="56CA81A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12.3% </w:t>
                            </w:r>
                          </w:p>
                        </w:tc>
                      </w:tr>
                      <w:tr w:rsidR="0062242B" w:rsidRPr="0062242B" w14:paraId="22E5183F" w14:textId="77777777" w:rsidTr="0062242B">
                        <w:trPr>
                          <w:trHeight w:val="204"/>
                        </w:trPr>
                        <w:tc>
                          <w:tcPr>
                            <w:tcW w:w="1095" w:type="pct"/>
                            <w:tcBorders>
                              <w:top w:val="nil"/>
                              <w:left w:val="nil"/>
                              <w:bottom w:val="nil"/>
                              <w:right w:val="nil"/>
                            </w:tcBorders>
                            <w:noWrap/>
                            <w:hideMark/>
                          </w:tcPr>
                          <w:p w14:paraId="616C2C4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Normalized Net Income Margin %</w:t>
                            </w:r>
                          </w:p>
                        </w:tc>
                        <w:tc>
                          <w:tcPr>
                            <w:tcW w:w="558" w:type="pct"/>
                            <w:tcBorders>
                              <w:top w:val="nil"/>
                              <w:left w:val="nil"/>
                              <w:bottom w:val="nil"/>
                              <w:right w:val="nil"/>
                            </w:tcBorders>
                            <w:hideMark/>
                          </w:tcPr>
                          <w:p w14:paraId="0DEB985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18.8% </w:t>
                            </w:r>
                          </w:p>
                        </w:tc>
                        <w:tc>
                          <w:tcPr>
                            <w:tcW w:w="558" w:type="pct"/>
                            <w:tcBorders>
                              <w:top w:val="nil"/>
                              <w:left w:val="nil"/>
                              <w:bottom w:val="nil"/>
                              <w:right w:val="nil"/>
                            </w:tcBorders>
                            <w:hideMark/>
                          </w:tcPr>
                          <w:p w14:paraId="2240988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22.0% </w:t>
                            </w:r>
                          </w:p>
                        </w:tc>
                        <w:tc>
                          <w:tcPr>
                            <w:tcW w:w="558" w:type="pct"/>
                            <w:tcBorders>
                              <w:top w:val="nil"/>
                              <w:left w:val="nil"/>
                              <w:bottom w:val="nil"/>
                              <w:right w:val="nil"/>
                            </w:tcBorders>
                            <w:hideMark/>
                          </w:tcPr>
                          <w:p w14:paraId="23273E3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17.8% </w:t>
                            </w:r>
                          </w:p>
                        </w:tc>
                        <w:tc>
                          <w:tcPr>
                            <w:tcW w:w="558" w:type="pct"/>
                            <w:tcBorders>
                              <w:top w:val="nil"/>
                              <w:left w:val="nil"/>
                              <w:bottom w:val="nil"/>
                              <w:right w:val="nil"/>
                            </w:tcBorders>
                            <w:hideMark/>
                          </w:tcPr>
                          <w:p w14:paraId="338B9EE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10.3% </w:t>
                            </w:r>
                          </w:p>
                        </w:tc>
                        <w:tc>
                          <w:tcPr>
                            <w:tcW w:w="558" w:type="pct"/>
                            <w:tcBorders>
                              <w:top w:val="nil"/>
                              <w:left w:val="nil"/>
                              <w:bottom w:val="nil"/>
                              <w:right w:val="nil"/>
                            </w:tcBorders>
                            <w:hideMark/>
                          </w:tcPr>
                          <w:p w14:paraId="0E5BB7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7.9% </w:t>
                            </w:r>
                          </w:p>
                        </w:tc>
                        <w:tc>
                          <w:tcPr>
                            <w:tcW w:w="558" w:type="pct"/>
                            <w:tcBorders>
                              <w:top w:val="nil"/>
                              <w:left w:val="nil"/>
                              <w:bottom w:val="nil"/>
                              <w:right w:val="nil"/>
                            </w:tcBorders>
                            <w:hideMark/>
                          </w:tcPr>
                          <w:p w14:paraId="6F91AF9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9.5% </w:t>
                            </w:r>
                          </w:p>
                        </w:tc>
                        <w:tc>
                          <w:tcPr>
                            <w:tcW w:w="558" w:type="pct"/>
                            <w:tcBorders>
                              <w:top w:val="nil"/>
                              <w:left w:val="nil"/>
                              <w:bottom w:val="nil"/>
                              <w:right w:val="nil"/>
                            </w:tcBorders>
                            <w:hideMark/>
                          </w:tcPr>
                          <w:p w14:paraId="430B486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11.8% </w:t>
                            </w:r>
                          </w:p>
                        </w:tc>
                      </w:tr>
                      <w:tr w:rsidR="0062242B" w:rsidRPr="0062242B" w14:paraId="7B015701" w14:textId="77777777" w:rsidTr="0062242B">
                        <w:trPr>
                          <w:trHeight w:val="204"/>
                        </w:trPr>
                        <w:tc>
                          <w:tcPr>
                            <w:tcW w:w="1095" w:type="pct"/>
                            <w:tcBorders>
                              <w:top w:val="nil"/>
                              <w:left w:val="nil"/>
                              <w:bottom w:val="nil"/>
                              <w:right w:val="nil"/>
                            </w:tcBorders>
                            <w:noWrap/>
                            <w:hideMark/>
                          </w:tcPr>
                          <w:p w14:paraId="49DFDC4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Levered Free Cash Flow Margin %</w:t>
                            </w:r>
                          </w:p>
                        </w:tc>
                        <w:tc>
                          <w:tcPr>
                            <w:tcW w:w="558" w:type="pct"/>
                            <w:tcBorders>
                              <w:top w:val="nil"/>
                              <w:left w:val="nil"/>
                              <w:bottom w:val="nil"/>
                              <w:right w:val="nil"/>
                            </w:tcBorders>
                            <w:hideMark/>
                          </w:tcPr>
                          <w:p w14:paraId="2C12CD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25.2% </w:t>
                            </w:r>
                          </w:p>
                        </w:tc>
                        <w:tc>
                          <w:tcPr>
                            <w:tcW w:w="558" w:type="pct"/>
                            <w:tcBorders>
                              <w:top w:val="nil"/>
                              <w:left w:val="nil"/>
                              <w:bottom w:val="nil"/>
                              <w:right w:val="nil"/>
                            </w:tcBorders>
                            <w:hideMark/>
                          </w:tcPr>
                          <w:p w14:paraId="6865D10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22.4% </w:t>
                            </w:r>
                          </w:p>
                        </w:tc>
                        <w:tc>
                          <w:tcPr>
                            <w:tcW w:w="558" w:type="pct"/>
                            <w:tcBorders>
                              <w:top w:val="nil"/>
                              <w:left w:val="nil"/>
                              <w:bottom w:val="nil"/>
                              <w:right w:val="nil"/>
                            </w:tcBorders>
                            <w:hideMark/>
                          </w:tcPr>
                          <w:p w14:paraId="250FE1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26.0% </w:t>
                            </w:r>
                          </w:p>
                        </w:tc>
                        <w:tc>
                          <w:tcPr>
                            <w:tcW w:w="558" w:type="pct"/>
                            <w:tcBorders>
                              <w:top w:val="nil"/>
                              <w:left w:val="nil"/>
                              <w:bottom w:val="nil"/>
                              <w:right w:val="nil"/>
                            </w:tcBorders>
                            <w:hideMark/>
                          </w:tcPr>
                          <w:p w14:paraId="6D3FCA4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 </w:t>
                            </w:r>
                          </w:p>
                        </w:tc>
                        <w:tc>
                          <w:tcPr>
                            <w:tcW w:w="558" w:type="pct"/>
                            <w:tcBorders>
                              <w:top w:val="nil"/>
                              <w:left w:val="nil"/>
                              <w:bottom w:val="nil"/>
                              <w:right w:val="nil"/>
                            </w:tcBorders>
                            <w:hideMark/>
                          </w:tcPr>
                          <w:p w14:paraId="433F00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13.1% </w:t>
                            </w:r>
                          </w:p>
                        </w:tc>
                        <w:tc>
                          <w:tcPr>
                            <w:tcW w:w="558" w:type="pct"/>
                            <w:tcBorders>
                              <w:top w:val="nil"/>
                              <w:left w:val="nil"/>
                              <w:bottom w:val="nil"/>
                              <w:right w:val="nil"/>
                            </w:tcBorders>
                            <w:hideMark/>
                          </w:tcPr>
                          <w:p w14:paraId="62F75D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46C126F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9.8% </w:t>
                            </w:r>
                          </w:p>
                        </w:tc>
                      </w:tr>
                      <w:tr w:rsidR="0062242B" w:rsidRPr="0062242B" w14:paraId="298CE73A" w14:textId="77777777" w:rsidTr="0062242B">
                        <w:trPr>
                          <w:trHeight w:val="204"/>
                        </w:trPr>
                        <w:tc>
                          <w:tcPr>
                            <w:tcW w:w="1095" w:type="pct"/>
                            <w:tcBorders>
                              <w:top w:val="nil"/>
                              <w:left w:val="nil"/>
                              <w:bottom w:val="nil"/>
                              <w:right w:val="nil"/>
                            </w:tcBorders>
                            <w:noWrap/>
                            <w:hideMark/>
                          </w:tcPr>
                          <w:p w14:paraId="7D73A9C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Unlevered Free Cash Flow Margin %</w:t>
                            </w:r>
                          </w:p>
                        </w:tc>
                        <w:tc>
                          <w:tcPr>
                            <w:tcW w:w="558" w:type="pct"/>
                            <w:tcBorders>
                              <w:top w:val="nil"/>
                              <w:left w:val="nil"/>
                              <w:bottom w:val="nil"/>
                              <w:right w:val="nil"/>
                            </w:tcBorders>
                            <w:hideMark/>
                          </w:tcPr>
                          <w:p w14:paraId="5946727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26.1% </w:t>
                            </w:r>
                          </w:p>
                        </w:tc>
                        <w:tc>
                          <w:tcPr>
                            <w:tcW w:w="558" w:type="pct"/>
                            <w:tcBorders>
                              <w:top w:val="nil"/>
                              <w:left w:val="nil"/>
                              <w:bottom w:val="nil"/>
                              <w:right w:val="nil"/>
                            </w:tcBorders>
                            <w:hideMark/>
                          </w:tcPr>
                          <w:p w14:paraId="7EA335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23.0% </w:t>
                            </w:r>
                          </w:p>
                        </w:tc>
                        <w:tc>
                          <w:tcPr>
                            <w:tcW w:w="558" w:type="pct"/>
                            <w:tcBorders>
                              <w:top w:val="nil"/>
                              <w:left w:val="nil"/>
                              <w:bottom w:val="nil"/>
                              <w:right w:val="nil"/>
                            </w:tcBorders>
                            <w:hideMark/>
                          </w:tcPr>
                          <w:p w14:paraId="563CAEC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26.4% </w:t>
                            </w:r>
                          </w:p>
                        </w:tc>
                        <w:tc>
                          <w:tcPr>
                            <w:tcW w:w="558" w:type="pct"/>
                            <w:tcBorders>
                              <w:top w:val="nil"/>
                              <w:left w:val="nil"/>
                              <w:bottom w:val="nil"/>
                              <w:right w:val="nil"/>
                            </w:tcBorders>
                            <w:hideMark/>
                          </w:tcPr>
                          <w:p w14:paraId="710B078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7.7% </w:t>
                            </w:r>
                          </w:p>
                        </w:tc>
                        <w:tc>
                          <w:tcPr>
                            <w:tcW w:w="558" w:type="pct"/>
                            <w:tcBorders>
                              <w:top w:val="nil"/>
                              <w:left w:val="nil"/>
                              <w:bottom w:val="nil"/>
                              <w:right w:val="nil"/>
                            </w:tcBorders>
                            <w:hideMark/>
                          </w:tcPr>
                          <w:p w14:paraId="4F2D899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2103FF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316FD00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10.4% </w:t>
                            </w:r>
                          </w:p>
                        </w:tc>
                      </w:tr>
                      <w:tr w:rsidR="0062242B" w:rsidRPr="0062242B" w14:paraId="095E0E05" w14:textId="77777777" w:rsidTr="0062242B">
                        <w:trPr>
                          <w:trHeight w:val="204"/>
                        </w:trPr>
                        <w:tc>
                          <w:tcPr>
                            <w:tcW w:w="1095" w:type="pct"/>
                            <w:tcBorders>
                              <w:top w:val="nil"/>
                              <w:left w:val="nil"/>
                              <w:bottom w:val="nil"/>
                              <w:right w:val="nil"/>
                            </w:tcBorders>
                            <w:noWrap/>
                            <w:hideMark/>
                          </w:tcPr>
                          <w:p w14:paraId="1D8F5C8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Asset Turnover</w:t>
                            </w:r>
                          </w:p>
                        </w:tc>
                        <w:tc>
                          <w:tcPr>
                            <w:tcW w:w="558" w:type="pct"/>
                            <w:tcBorders>
                              <w:top w:val="nil"/>
                              <w:left w:val="nil"/>
                              <w:bottom w:val="nil"/>
                              <w:right w:val="nil"/>
                            </w:tcBorders>
                            <w:noWrap/>
                            <w:hideMark/>
                          </w:tcPr>
                          <w:p w14:paraId="1FDCC929"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741DECE1"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B155C6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D871EE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03B9804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E7BD187"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F2213C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54C08DED" w14:textId="77777777" w:rsidTr="0062242B">
                        <w:trPr>
                          <w:trHeight w:val="204"/>
                        </w:trPr>
                        <w:tc>
                          <w:tcPr>
                            <w:tcW w:w="1095" w:type="pct"/>
                            <w:tcBorders>
                              <w:top w:val="nil"/>
                              <w:left w:val="nil"/>
                              <w:bottom w:val="nil"/>
                              <w:right w:val="nil"/>
                            </w:tcBorders>
                            <w:noWrap/>
                            <w:hideMark/>
                          </w:tcPr>
                          <w:p w14:paraId="784C7D00"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Asset Turnover</w:t>
                            </w:r>
                          </w:p>
                        </w:tc>
                        <w:tc>
                          <w:tcPr>
                            <w:tcW w:w="558" w:type="pct"/>
                            <w:tcBorders>
                              <w:top w:val="nil"/>
                              <w:left w:val="nil"/>
                              <w:bottom w:val="nil"/>
                              <w:right w:val="nil"/>
                            </w:tcBorders>
                            <w:hideMark/>
                          </w:tcPr>
                          <w:p w14:paraId="2964692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0C21E1D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0AE1E08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16706D3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219E72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66C6F5F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9D7540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r>
                      <w:tr w:rsidR="0062242B" w:rsidRPr="0062242B" w14:paraId="111DA042" w14:textId="77777777" w:rsidTr="0062242B">
                        <w:trPr>
                          <w:trHeight w:val="204"/>
                        </w:trPr>
                        <w:tc>
                          <w:tcPr>
                            <w:tcW w:w="1095" w:type="pct"/>
                            <w:tcBorders>
                              <w:top w:val="nil"/>
                              <w:left w:val="nil"/>
                              <w:bottom w:val="nil"/>
                              <w:right w:val="nil"/>
                            </w:tcBorders>
                            <w:noWrap/>
                            <w:hideMark/>
                          </w:tcPr>
                          <w:p w14:paraId="7A11AC3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Fixed Asset Turnover</w:t>
                            </w:r>
                          </w:p>
                        </w:tc>
                        <w:tc>
                          <w:tcPr>
                            <w:tcW w:w="558" w:type="pct"/>
                            <w:tcBorders>
                              <w:top w:val="nil"/>
                              <w:left w:val="nil"/>
                              <w:bottom w:val="nil"/>
                              <w:right w:val="nil"/>
                            </w:tcBorders>
                            <w:hideMark/>
                          </w:tcPr>
                          <w:p w14:paraId="1308A22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4.8x</w:t>
                            </w:r>
                          </w:p>
                        </w:tc>
                        <w:tc>
                          <w:tcPr>
                            <w:tcW w:w="558" w:type="pct"/>
                            <w:tcBorders>
                              <w:top w:val="nil"/>
                              <w:left w:val="nil"/>
                              <w:bottom w:val="nil"/>
                              <w:right w:val="nil"/>
                            </w:tcBorders>
                            <w:hideMark/>
                          </w:tcPr>
                          <w:p w14:paraId="4D40B86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4.4x</w:t>
                            </w:r>
                          </w:p>
                        </w:tc>
                        <w:tc>
                          <w:tcPr>
                            <w:tcW w:w="558" w:type="pct"/>
                            <w:tcBorders>
                              <w:top w:val="nil"/>
                              <w:left w:val="nil"/>
                              <w:bottom w:val="nil"/>
                              <w:right w:val="nil"/>
                            </w:tcBorders>
                            <w:hideMark/>
                          </w:tcPr>
                          <w:p w14:paraId="46EF679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4.0x</w:t>
                            </w:r>
                          </w:p>
                        </w:tc>
                        <w:tc>
                          <w:tcPr>
                            <w:tcW w:w="558" w:type="pct"/>
                            <w:tcBorders>
                              <w:top w:val="nil"/>
                              <w:left w:val="nil"/>
                              <w:bottom w:val="nil"/>
                              <w:right w:val="nil"/>
                            </w:tcBorders>
                            <w:hideMark/>
                          </w:tcPr>
                          <w:p w14:paraId="6966D93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3.6x</w:t>
                            </w:r>
                          </w:p>
                        </w:tc>
                        <w:tc>
                          <w:tcPr>
                            <w:tcW w:w="558" w:type="pct"/>
                            <w:tcBorders>
                              <w:top w:val="nil"/>
                              <w:left w:val="nil"/>
                              <w:bottom w:val="nil"/>
                              <w:right w:val="nil"/>
                            </w:tcBorders>
                            <w:hideMark/>
                          </w:tcPr>
                          <w:p w14:paraId="29A7CB0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3.5x</w:t>
                            </w:r>
                          </w:p>
                        </w:tc>
                        <w:tc>
                          <w:tcPr>
                            <w:tcW w:w="558" w:type="pct"/>
                            <w:tcBorders>
                              <w:top w:val="nil"/>
                              <w:left w:val="nil"/>
                              <w:bottom w:val="nil"/>
                              <w:right w:val="nil"/>
                            </w:tcBorders>
                            <w:hideMark/>
                          </w:tcPr>
                          <w:p w14:paraId="2524A04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3.7x</w:t>
                            </w:r>
                          </w:p>
                        </w:tc>
                        <w:tc>
                          <w:tcPr>
                            <w:tcW w:w="558" w:type="pct"/>
                            <w:tcBorders>
                              <w:top w:val="nil"/>
                              <w:left w:val="nil"/>
                              <w:bottom w:val="nil"/>
                              <w:right w:val="nil"/>
                            </w:tcBorders>
                            <w:hideMark/>
                          </w:tcPr>
                          <w:p w14:paraId="0925FB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4.8x</w:t>
                            </w:r>
                          </w:p>
                        </w:tc>
                      </w:tr>
                      <w:tr w:rsidR="0062242B" w:rsidRPr="0062242B" w14:paraId="3BCCCCC1" w14:textId="77777777" w:rsidTr="0062242B">
                        <w:trPr>
                          <w:trHeight w:val="204"/>
                        </w:trPr>
                        <w:tc>
                          <w:tcPr>
                            <w:tcW w:w="1095" w:type="pct"/>
                            <w:tcBorders>
                              <w:top w:val="nil"/>
                              <w:left w:val="nil"/>
                              <w:bottom w:val="nil"/>
                              <w:right w:val="nil"/>
                            </w:tcBorders>
                            <w:noWrap/>
                            <w:hideMark/>
                          </w:tcPr>
                          <w:p w14:paraId="3899B8B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Accounts Receivable Turnover</w:t>
                            </w:r>
                          </w:p>
                        </w:tc>
                        <w:tc>
                          <w:tcPr>
                            <w:tcW w:w="558" w:type="pct"/>
                            <w:tcBorders>
                              <w:top w:val="nil"/>
                              <w:left w:val="nil"/>
                              <w:bottom w:val="nil"/>
                              <w:right w:val="nil"/>
                            </w:tcBorders>
                            <w:hideMark/>
                          </w:tcPr>
                          <w:p w14:paraId="7C508C9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20.6x</w:t>
                            </w:r>
                          </w:p>
                        </w:tc>
                        <w:tc>
                          <w:tcPr>
                            <w:tcW w:w="558" w:type="pct"/>
                            <w:tcBorders>
                              <w:top w:val="nil"/>
                              <w:left w:val="nil"/>
                              <w:bottom w:val="nil"/>
                              <w:right w:val="nil"/>
                            </w:tcBorders>
                            <w:hideMark/>
                          </w:tcPr>
                          <w:p w14:paraId="392F431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19.6x</w:t>
                            </w:r>
                          </w:p>
                        </w:tc>
                        <w:tc>
                          <w:tcPr>
                            <w:tcW w:w="558" w:type="pct"/>
                            <w:tcBorders>
                              <w:top w:val="nil"/>
                              <w:left w:val="nil"/>
                              <w:bottom w:val="nil"/>
                              <w:right w:val="nil"/>
                            </w:tcBorders>
                            <w:hideMark/>
                          </w:tcPr>
                          <w:p w14:paraId="652DC4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21.0x</w:t>
                            </w:r>
                          </w:p>
                        </w:tc>
                        <w:tc>
                          <w:tcPr>
                            <w:tcW w:w="558" w:type="pct"/>
                            <w:tcBorders>
                              <w:top w:val="nil"/>
                              <w:left w:val="nil"/>
                              <w:bottom w:val="nil"/>
                              <w:right w:val="nil"/>
                            </w:tcBorders>
                            <w:hideMark/>
                          </w:tcPr>
                          <w:p w14:paraId="27D6CD6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20.7x</w:t>
                            </w:r>
                          </w:p>
                        </w:tc>
                        <w:tc>
                          <w:tcPr>
                            <w:tcW w:w="558" w:type="pct"/>
                            <w:tcBorders>
                              <w:top w:val="nil"/>
                              <w:left w:val="nil"/>
                              <w:bottom w:val="nil"/>
                              <w:right w:val="nil"/>
                            </w:tcBorders>
                            <w:hideMark/>
                          </w:tcPr>
                          <w:p w14:paraId="7693409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20.2x</w:t>
                            </w:r>
                          </w:p>
                        </w:tc>
                        <w:tc>
                          <w:tcPr>
                            <w:tcW w:w="558" w:type="pct"/>
                            <w:tcBorders>
                              <w:top w:val="nil"/>
                              <w:left w:val="nil"/>
                              <w:bottom w:val="nil"/>
                              <w:right w:val="nil"/>
                            </w:tcBorders>
                            <w:hideMark/>
                          </w:tcPr>
                          <w:p w14:paraId="0A21959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23.5x</w:t>
                            </w:r>
                          </w:p>
                        </w:tc>
                        <w:tc>
                          <w:tcPr>
                            <w:tcW w:w="558" w:type="pct"/>
                            <w:tcBorders>
                              <w:top w:val="nil"/>
                              <w:left w:val="nil"/>
                              <w:bottom w:val="nil"/>
                              <w:right w:val="nil"/>
                            </w:tcBorders>
                            <w:hideMark/>
                          </w:tcPr>
                          <w:p w14:paraId="4575305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06E2E92F" w14:textId="77777777" w:rsidTr="0062242B">
                        <w:trPr>
                          <w:trHeight w:val="204"/>
                        </w:trPr>
                        <w:tc>
                          <w:tcPr>
                            <w:tcW w:w="1095" w:type="pct"/>
                            <w:tcBorders>
                              <w:top w:val="nil"/>
                              <w:left w:val="nil"/>
                              <w:bottom w:val="nil"/>
                              <w:right w:val="nil"/>
                            </w:tcBorders>
                            <w:noWrap/>
                            <w:hideMark/>
                          </w:tcPr>
                          <w:p w14:paraId="3AD7DCB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Inventory Turnover</w:t>
                            </w:r>
                          </w:p>
                        </w:tc>
                        <w:tc>
                          <w:tcPr>
                            <w:tcW w:w="558" w:type="pct"/>
                            <w:tcBorders>
                              <w:top w:val="nil"/>
                              <w:left w:val="nil"/>
                              <w:bottom w:val="nil"/>
                              <w:right w:val="nil"/>
                            </w:tcBorders>
                            <w:hideMark/>
                          </w:tcPr>
                          <w:p w14:paraId="063AE8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31.2x</w:t>
                            </w:r>
                          </w:p>
                        </w:tc>
                        <w:tc>
                          <w:tcPr>
                            <w:tcW w:w="558" w:type="pct"/>
                            <w:tcBorders>
                              <w:top w:val="nil"/>
                              <w:left w:val="nil"/>
                              <w:bottom w:val="nil"/>
                              <w:right w:val="nil"/>
                            </w:tcBorders>
                            <w:hideMark/>
                          </w:tcPr>
                          <w:p w14:paraId="1CF1251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23.9x</w:t>
                            </w:r>
                          </w:p>
                        </w:tc>
                        <w:tc>
                          <w:tcPr>
                            <w:tcW w:w="558" w:type="pct"/>
                            <w:tcBorders>
                              <w:top w:val="nil"/>
                              <w:left w:val="nil"/>
                              <w:bottom w:val="nil"/>
                              <w:right w:val="nil"/>
                            </w:tcBorders>
                            <w:hideMark/>
                          </w:tcPr>
                          <w:p w14:paraId="6A2957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19.6x</w:t>
                            </w:r>
                          </w:p>
                        </w:tc>
                        <w:tc>
                          <w:tcPr>
                            <w:tcW w:w="558" w:type="pct"/>
                            <w:tcBorders>
                              <w:top w:val="nil"/>
                              <w:left w:val="nil"/>
                              <w:bottom w:val="nil"/>
                              <w:right w:val="nil"/>
                            </w:tcBorders>
                            <w:hideMark/>
                          </w:tcPr>
                          <w:p w14:paraId="4F020F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18.6x</w:t>
                            </w:r>
                          </w:p>
                        </w:tc>
                        <w:tc>
                          <w:tcPr>
                            <w:tcW w:w="558" w:type="pct"/>
                            <w:tcBorders>
                              <w:top w:val="nil"/>
                              <w:left w:val="nil"/>
                              <w:bottom w:val="nil"/>
                              <w:right w:val="nil"/>
                            </w:tcBorders>
                            <w:hideMark/>
                          </w:tcPr>
                          <w:p w14:paraId="1D09087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18.7x</w:t>
                            </w:r>
                          </w:p>
                        </w:tc>
                        <w:tc>
                          <w:tcPr>
                            <w:tcW w:w="558" w:type="pct"/>
                            <w:tcBorders>
                              <w:top w:val="nil"/>
                              <w:left w:val="nil"/>
                              <w:bottom w:val="nil"/>
                              <w:right w:val="nil"/>
                            </w:tcBorders>
                            <w:hideMark/>
                          </w:tcPr>
                          <w:p w14:paraId="7E95CE4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21.7x</w:t>
                            </w:r>
                          </w:p>
                        </w:tc>
                        <w:tc>
                          <w:tcPr>
                            <w:tcW w:w="558" w:type="pct"/>
                            <w:tcBorders>
                              <w:top w:val="nil"/>
                              <w:left w:val="nil"/>
                              <w:bottom w:val="nil"/>
                              <w:right w:val="nil"/>
                            </w:tcBorders>
                            <w:hideMark/>
                          </w:tcPr>
                          <w:p w14:paraId="5416B9C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645704FE" w14:textId="77777777" w:rsidTr="0062242B">
                        <w:trPr>
                          <w:trHeight w:val="204"/>
                        </w:trPr>
                        <w:tc>
                          <w:tcPr>
                            <w:tcW w:w="1095" w:type="pct"/>
                            <w:tcBorders>
                              <w:top w:val="nil"/>
                              <w:left w:val="nil"/>
                              <w:bottom w:val="nil"/>
                              <w:right w:val="nil"/>
                            </w:tcBorders>
                            <w:noWrap/>
                            <w:hideMark/>
                          </w:tcPr>
                          <w:p w14:paraId="4A185F47"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Short Term Liquidity</w:t>
                            </w:r>
                          </w:p>
                        </w:tc>
                        <w:tc>
                          <w:tcPr>
                            <w:tcW w:w="558" w:type="pct"/>
                            <w:tcBorders>
                              <w:top w:val="nil"/>
                              <w:left w:val="nil"/>
                              <w:bottom w:val="nil"/>
                              <w:right w:val="nil"/>
                            </w:tcBorders>
                            <w:noWrap/>
                            <w:hideMark/>
                          </w:tcPr>
                          <w:p w14:paraId="240C1145"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7DFF3BC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43A679CC"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649B5BD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371FA4B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3FFF21A"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1CF7AA90"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7E8B261E" w14:textId="77777777" w:rsidTr="0062242B">
                        <w:trPr>
                          <w:trHeight w:val="204"/>
                        </w:trPr>
                        <w:tc>
                          <w:tcPr>
                            <w:tcW w:w="1095" w:type="pct"/>
                            <w:tcBorders>
                              <w:top w:val="nil"/>
                              <w:left w:val="nil"/>
                              <w:bottom w:val="nil"/>
                              <w:right w:val="nil"/>
                            </w:tcBorders>
                            <w:noWrap/>
                            <w:hideMark/>
                          </w:tcPr>
                          <w:p w14:paraId="7967645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Current Ratio</w:t>
                            </w:r>
                          </w:p>
                        </w:tc>
                        <w:tc>
                          <w:tcPr>
                            <w:tcW w:w="558" w:type="pct"/>
                            <w:tcBorders>
                              <w:top w:val="nil"/>
                              <w:left w:val="nil"/>
                              <w:bottom w:val="nil"/>
                              <w:right w:val="nil"/>
                            </w:tcBorders>
                            <w:hideMark/>
                          </w:tcPr>
                          <w:p w14:paraId="0E80E57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01F02FA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1.9x</w:t>
                            </w:r>
                          </w:p>
                        </w:tc>
                        <w:tc>
                          <w:tcPr>
                            <w:tcW w:w="558" w:type="pct"/>
                            <w:tcBorders>
                              <w:top w:val="nil"/>
                              <w:left w:val="nil"/>
                              <w:bottom w:val="nil"/>
                              <w:right w:val="nil"/>
                            </w:tcBorders>
                            <w:hideMark/>
                          </w:tcPr>
                          <w:p w14:paraId="76609A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73220CE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7C557A4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1.8x</w:t>
                            </w:r>
                          </w:p>
                        </w:tc>
                        <w:tc>
                          <w:tcPr>
                            <w:tcW w:w="558" w:type="pct"/>
                            <w:tcBorders>
                              <w:top w:val="nil"/>
                              <w:left w:val="nil"/>
                              <w:bottom w:val="nil"/>
                              <w:right w:val="nil"/>
                            </w:tcBorders>
                            <w:hideMark/>
                          </w:tcPr>
                          <w:p w14:paraId="764165A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1.8x</w:t>
                            </w:r>
                          </w:p>
                        </w:tc>
                        <w:tc>
                          <w:tcPr>
                            <w:tcW w:w="558" w:type="pct"/>
                            <w:tcBorders>
                              <w:top w:val="nil"/>
                              <w:left w:val="nil"/>
                              <w:bottom w:val="nil"/>
                              <w:right w:val="nil"/>
                            </w:tcBorders>
                            <w:hideMark/>
                          </w:tcPr>
                          <w:p w14:paraId="45E508B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r>
                      <w:tr w:rsidR="0062242B" w:rsidRPr="0062242B" w14:paraId="63258B78" w14:textId="77777777" w:rsidTr="0062242B">
                        <w:trPr>
                          <w:trHeight w:val="204"/>
                        </w:trPr>
                        <w:tc>
                          <w:tcPr>
                            <w:tcW w:w="1095" w:type="pct"/>
                            <w:tcBorders>
                              <w:top w:val="nil"/>
                              <w:left w:val="nil"/>
                              <w:bottom w:val="nil"/>
                              <w:right w:val="nil"/>
                            </w:tcBorders>
                            <w:noWrap/>
                            <w:hideMark/>
                          </w:tcPr>
                          <w:p w14:paraId="3B42597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Quick Ratio</w:t>
                            </w:r>
                          </w:p>
                        </w:tc>
                        <w:tc>
                          <w:tcPr>
                            <w:tcW w:w="558" w:type="pct"/>
                            <w:tcBorders>
                              <w:top w:val="nil"/>
                              <w:left w:val="nil"/>
                              <w:bottom w:val="nil"/>
                              <w:right w:val="nil"/>
                            </w:tcBorders>
                            <w:hideMark/>
                          </w:tcPr>
                          <w:p w14:paraId="7B6EFAC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6B97883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2F52BEB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146B46A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7281414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63B2939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54D3F9D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1.0x</w:t>
                            </w:r>
                          </w:p>
                        </w:tc>
                      </w:tr>
                      <w:tr w:rsidR="0062242B" w:rsidRPr="0062242B" w14:paraId="0FD6EDC7" w14:textId="77777777" w:rsidTr="0062242B">
                        <w:trPr>
                          <w:trHeight w:val="204"/>
                        </w:trPr>
                        <w:tc>
                          <w:tcPr>
                            <w:tcW w:w="1095" w:type="pct"/>
                            <w:tcBorders>
                              <w:top w:val="nil"/>
                              <w:left w:val="nil"/>
                              <w:bottom w:val="nil"/>
                              <w:right w:val="nil"/>
                            </w:tcBorders>
                            <w:noWrap/>
                            <w:hideMark/>
                          </w:tcPr>
                          <w:p w14:paraId="326461EC"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Cash from Ops. to Curr. </w:t>
                            </w:r>
                            <w:r w:rsidRPr="0062242B">
                              <w:rPr>
                                <w:rFonts w:ascii="Cambria" w:eastAsia="Times New Roman" w:hAnsi="Cambria" w:cs="Arial"/>
                                <w:color w:val="000000"/>
                                <w:kern w:val="0"/>
                                <w:sz w:val="16"/>
                                <w:szCs w:val="16"/>
                                <w:lang w:eastAsia="en-IN"/>
                                <w14:ligatures w14:val="none"/>
                              </w:rPr>
                              <w:t>Liab.</w:t>
                            </w:r>
                          </w:p>
                        </w:tc>
                        <w:tc>
                          <w:tcPr>
                            <w:tcW w:w="558" w:type="pct"/>
                            <w:tcBorders>
                              <w:top w:val="nil"/>
                              <w:left w:val="nil"/>
                              <w:bottom w:val="nil"/>
                              <w:right w:val="nil"/>
                            </w:tcBorders>
                            <w:hideMark/>
                          </w:tcPr>
                          <w:p w14:paraId="500D60B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0.7x</w:t>
                            </w:r>
                          </w:p>
                        </w:tc>
                        <w:tc>
                          <w:tcPr>
                            <w:tcW w:w="558" w:type="pct"/>
                            <w:tcBorders>
                              <w:top w:val="nil"/>
                              <w:left w:val="nil"/>
                              <w:bottom w:val="nil"/>
                              <w:right w:val="nil"/>
                            </w:tcBorders>
                            <w:hideMark/>
                          </w:tcPr>
                          <w:p w14:paraId="2C443F5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0.7x</w:t>
                            </w:r>
                          </w:p>
                        </w:tc>
                        <w:tc>
                          <w:tcPr>
                            <w:tcW w:w="558" w:type="pct"/>
                            <w:tcBorders>
                              <w:top w:val="nil"/>
                              <w:left w:val="nil"/>
                              <w:bottom w:val="nil"/>
                              <w:right w:val="nil"/>
                            </w:tcBorders>
                            <w:hideMark/>
                          </w:tcPr>
                          <w:p w14:paraId="513EFE4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0.6x</w:t>
                            </w:r>
                          </w:p>
                        </w:tc>
                        <w:tc>
                          <w:tcPr>
                            <w:tcW w:w="558" w:type="pct"/>
                            <w:tcBorders>
                              <w:top w:val="nil"/>
                              <w:left w:val="nil"/>
                              <w:bottom w:val="nil"/>
                              <w:right w:val="nil"/>
                            </w:tcBorders>
                            <w:hideMark/>
                          </w:tcPr>
                          <w:p w14:paraId="78AD54B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2C98AEE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0.5x</w:t>
                            </w:r>
                          </w:p>
                        </w:tc>
                        <w:tc>
                          <w:tcPr>
                            <w:tcW w:w="558" w:type="pct"/>
                            <w:tcBorders>
                              <w:top w:val="nil"/>
                              <w:left w:val="nil"/>
                              <w:bottom w:val="nil"/>
                              <w:right w:val="nil"/>
                            </w:tcBorders>
                            <w:hideMark/>
                          </w:tcPr>
                          <w:p w14:paraId="787B930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0.4x</w:t>
                            </w:r>
                          </w:p>
                        </w:tc>
                        <w:tc>
                          <w:tcPr>
                            <w:tcW w:w="558" w:type="pct"/>
                            <w:tcBorders>
                              <w:top w:val="nil"/>
                              <w:left w:val="nil"/>
                              <w:bottom w:val="nil"/>
                              <w:right w:val="nil"/>
                            </w:tcBorders>
                            <w:hideMark/>
                          </w:tcPr>
                          <w:p w14:paraId="37C4B16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0.3x</w:t>
                            </w:r>
                          </w:p>
                        </w:tc>
                      </w:tr>
                      <w:tr w:rsidR="0062242B" w:rsidRPr="0062242B" w14:paraId="4647CE2F" w14:textId="77777777" w:rsidTr="0062242B">
                        <w:trPr>
                          <w:trHeight w:val="204"/>
                        </w:trPr>
                        <w:tc>
                          <w:tcPr>
                            <w:tcW w:w="1095" w:type="pct"/>
                            <w:tcBorders>
                              <w:top w:val="nil"/>
                              <w:left w:val="nil"/>
                              <w:bottom w:val="nil"/>
                              <w:right w:val="nil"/>
                            </w:tcBorders>
                            <w:noWrap/>
                            <w:hideMark/>
                          </w:tcPr>
                          <w:p w14:paraId="436C9C99"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Sales Out.</w:t>
                            </w:r>
                          </w:p>
                        </w:tc>
                        <w:tc>
                          <w:tcPr>
                            <w:tcW w:w="558" w:type="pct"/>
                            <w:tcBorders>
                              <w:top w:val="nil"/>
                              <w:left w:val="nil"/>
                              <w:bottom w:val="nil"/>
                              <w:right w:val="nil"/>
                            </w:tcBorders>
                            <w:hideMark/>
                          </w:tcPr>
                          <w:p w14:paraId="38C060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17.7 </w:t>
                            </w:r>
                          </w:p>
                        </w:tc>
                        <w:tc>
                          <w:tcPr>
                            <w:tcW w:w="558" w:type="pct"/>
                            <w:tcBorders>
                              <w:top w:val="nil"/>
                              <w:left w:val="nil"/>
                              <w:bottom w:val="nil"/>
                              <w:right w:val="nil"/>
                            </w:tcBorders>
                            <w:hideMark/>
                          </w:tcPr>
                          <w:p w14:paraId="4755A7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18.7 </w:t>
                            </w:r>
                          </w:p>
                        </w:tc>
                        <w:tc>
                          <w:tcPr>
                            <w:tcW w:w="558" w:type="pct"/>
                            <w:tcBorders>
                              <w:top w:val="nil"/>
                              <w:left w:val="nil"/>
                              <w:bottom w:val="nil"/>
                              <w:right w:val="nil"/>
                            </w:tcBorders>
                            <w:hideMark/>
                          </w:tcPr>
                          <w:p w14:paraId="3C10279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17.4 </w:t>
                            </w:r>
                          </w:p>
                        </w:tc>
                        <w:tc>
                          <w:tcPr>
                            <w:tcW w:w="558" w:type="pct"/>
                            <w:tcBorders>
                              <w:top w:val="nil"/>
                              <w:left w:val="nil"/>
                              <w:bottom w:val="nil"/>
                              <w:right w:val="nil"/>
                            </w:tcBorders>
                            <w:hideMark/>
                          </w:tcPr>
                          <w:p w14:paraId="52CACAD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17.6 </w:t>
                            </w:r>
                          </w:p>
                        </w:tc>
                        <w:tc>
                          <w:tcPr>
                            <w:tcW w:w="558" w:type="pct"/>
                            <w:tcBorders>
                              <w:top w:val="nil"/>
                              <w:left w:val="nil"/>
                              <w:bottom w:val="nil"/>
                              <w:right w:val="nil"/>
                            </w:tcBorders>
                            <w:hideMark/>
                          </w:tcPr>
                          <w:p w14:paraId="48D4091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18.1 </w:t>
                            </w:r>
                          </w:p>
                        </w:tc>
                        <w:tc>
                          <w:tcPr>
                            <w:tcW w:w="558" w:type="pct"/>
                            <w:tcBorders>
                              <w:top w:val="nil"/>
                              <w:left w:val="nil"/>
                              <w:bottom w:val="nil"/>
                              <w:right w:val="nil"/>
                            </w:tcBorders>
                            <w:hideMark/>
                          </w:tcPr>
                          <w:p w14:paraId="096DD50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15.6 </w:t>
                            </w:r>
                          </w:p>
                        </w:tc>
                        <w:tc>
                          <w:tcPr>
                            <w:tcW w:w="558" w:type="pct"/>
                            <w:tcBorders>
                              <w:top w:val="nil"/>
                              <w:left w:val="nil"/>
                              <w:bottom w:val="nil"/>
                              <w:right w:val="nil"/>
                            </w:tcBorders>
                            <w:hideMark/>
                          </w:tcPr>
                          <w:p w14:paraId="559167C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392466FA" w14:textId="77777777" w:rsidTr="0062242B">
                        <w:trPr>
                          <w:trHeight w:val="204"/>
                        </w:trPr>
                        <w:tc>
                          <w:tcPr>
                            <w:tcW w:w="1095" w:type="pct"/>
                            <w:tcBorders>
                              <w:top w:val="nil"/>
                              <w:left w:val="nil"/>
                              <w:bottom w:val="nil"/>
                              <w:right w:val="nil"/>
                            </w:tcBorders>
                            <w:noWrap/>
                            <w:hideMark/>
                          </w:tcPr>
                          <w:p w14:paraId="4BBDA91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Inventory Out.</w:t>
                            </w:r>
                          </w:p>
                        </w:tc>
                        <w:tc>
                          <w:tcPr>
                            <w:tcW w:w="558" w:type="pct"/>
                            <w:tcBorders>
                              <w:top w:val="nil"/>
                              <w:left w:val="nil"/>
                              <w:bottom w:val="nil"/>
                              <w:right w:val="nil"/>
                            </w:tcBorders>
                            <w:hideMark/>
                          </w:tcPr>
                          <w:p w14:paraId="460C53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11.7 </w:t>
                            </w:r>
                          </w:p>
                        </w:tc>
                        <w:tc>
                          <w:tcPr>
                            <w:tcW w:w="558" w:type="pct"/>
                            <w:tcBorders>
                              <w:top w:val="nil"/>
                              <w:left w:val="nil"/>
                              <w:bottom w:val="nil"/>
                              <w:right w:val="nil"/>
                            </w:tcBorders>
                            <w:hideMark/>
                          </w:tcPr>
                          <w:p w14:paraId="61EA9E9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00D421E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18.6 </w:t>
                            </w:r>
                          </w:p>
                        </w:tc>
                        <w:tc>
                          <w:tcPr>
                            <w:tcW w:w="558" w:type="pct"/>
                            <w:tcBorders>
                              <w:top w:val="nil"/>
                              <w:left w:val="nil"/>
                              <w:bottom w:val="nil"/>
                              <w:right w:val="nil"/>
                            </w:tcBorders>
                            <w:hideMark/>
                          </w:tcPr>
                          <w:p w14:paraId="6525D3E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19.6 </w:t>
                            </w:r>
                          </w:p>
                        </w:tc>
                        <w:tc>
                          <w:tcPr>
                            <w:tcW w:w="558" w:type="pct"/>
                            <w:tcBorders>
                              <w:top w:val="nil"/>
                              <w:left w:val="nil"/>
                              <w:bottom w:val="nil"/>
                              <w:right w:val="nil"/>
                            </w:tcBorders>
                            <w:hideMark/>
                          </w:tcPr>
                          <w:p w14:paraId="773FA3E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19.5 </w:t>
                            </w:r>
                          </w:p>
                        </w:tc>
                        <w:tc>
                          <w:tcPr>
                            <w:tcW w:w="558" w:type="pct"/>
                            <w:tcBorders>
                              <w:top w:val="nil"/>
                              <w:left w:val="nil"/>
                              <w:bottom w:val="nil"/>
                              <w:right w:val="nil"/>
                            </w:tcBorders>
                            <w:hideMark/>
                          </w:tcPr>
                          <w:p w14:paraId="5F7FCFC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16.9 </w:t>
                            </w:r>
                          </w:p>
                        </w:tc>
                        <w:tc>
                          <w:tcPr>
                            <w:tcW w:w="558" w:type="pct"/>
                            <w:tcBorders>
                              <w:top w:val="nil"/>
                              <w:left w:val="nil"/>
                              <w:bottom w:val="nil"/>
                              <w:right w:val="nil"/>
                            </w:tcBorders>
                            <w:hideMark/>
                          </w:tcPr>
                          <w:p w14:paraId="4553C11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1491902E" w14:textId="77777777" w:rsidTr="0062242B">
                        <w:trPr>
                          <w:trHeight w:val="204"/>
                        </w:trPr>
                        <w:tc>
                          <w:tcPr>
                            <w:tcW w:w="1095" w:type="pct"/>
                            <w:tcBorders>
                              <w:top w:val="nil"/>
                              <w:left w:val="nil"/>
                              <w:bottom w:val="nil"/>
                              <w:right w:val="nil"/>
                            </w:tcBorders>
                            <w:noWrap/>
                            <w:hideMark/>
                          </w:tcPr>
                          <w:p w14:paraId="448F5EC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Days Payable Out.</w:t>
                            </w:r>
                          </w:p>
                        </w:tc>
                        <w:tc>
                          <w:tcPr>
                            <w:tcW w:w="558" w:type="pct"/>
                            <w:tcBorders>
                              <w:top w:val="nil"/>
                              <w:left w:val="nil"/>
                              <w:bottom w:val="nil"/>
                              <w:right w:val="nil"/>
                            </w:tcBorders>
                            <w:hideMark/>
                          </w:tcPr>
                          <w:p w14:paraId="4B350AC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81.0 </w:t>
                            </w:r>
                          </w:p>
                        </w:tc>
                        <w:tc>
                          <w:tcPr>
                            <w:tcW w:w="558" w:type="pct"/>
                            <w:tcBorders>
                              <w:top w:val="nil"/>
                              <w:left w:val="nil"/>
                              <w:bottom w:val="nil"/>
                              <w:right w:val="nil"/>
                            </w:tcBorders>
                            <w:hideMark/>
                          </w:tcPr>
                          <w:p w14:paraId="4CEC785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76.2 </w:t>
                            </w:r>
                          </w:p>
                        </w:tc>
                        <w:tc>
                          <w:tcPr>
                            <w:tcW w:w="558" w:type="pct"/>
                            <w:tcBorders>
                              <w:top w:val="nil"/>
                              <w:left w:val="nil"/>
                              <w:bottom w:val="nil"/>
                              <w:right w:val="nil"/>
                            </w:tcBorders>
                            <w:hideMark/>
                          </w:tcPr>
                          <w:p w14:paraId="26D1BD4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68.2 </w:t>
                            </w:r>
                          </w:p>
                        </w:tc>
                        <w:tc>
                          <w:tcPr>
                            <w:tcW w:w="558" w:type="pct"/>
                            <w:tcBorders>
                              <w:top w:val="nil"/>
                              <w:left w:val="nil"/>
                              <w:bottom w:val="nil"/>
                              <w:right w:val="nil"/>
                            </w:tcBorders>
                            <w:hideMark/>
                          </w:tcPr>
                          <w:p w14:paraId="575844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68.0 </w:t>
                            </w:r>
                          </w:p>
                        </w:tc>
                        <w:tc>
                          <w:tcPr>
                            <w:tcW w:w="558" w:type="pct"/>
                            <w:tcBorders>
                              <w:top w:val="nil"/>
                              <w:left w:val="nil"/>
                              <w:bottom w:val="nil"/>
                              <w:right w:val="nil"/>
                            </w:tcBorders>
                            <w:hideMark/>
                          </w:tcPr>
                          <w:p w14:paraId="7045394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73.7 </w:t>
                            </w:r>
                          </w:p>
                        </w:tc>
                        <w:tc>
                          <w:tcPr>
                            <w:tcW w:w="558" w:type="pct"/>
                            <w:tcBorders>
                              <w:top w:val="nil"/>
                              <w:left w:val="nil"/>
                              <w:bottom w:val="nil"/>
                              <w:right w:val="nil"/>
                            </w:tcBorders>
                            <w:hideMark/>
                          </w:tcPr>
                          <w:p w14:paraId="2AB3170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75.7 </w:t>
                            </w:r>
                          </w:p>
                        </w:tc>
                        <w:tc>
                          <w:tcPr>
                            <w:tcW w:w="558" w:type="pct"/>
                            <w:tcBorders>
                              <w:top w:val="nil"/>
                              <w:left w:val="nil"/>
                              <w:bottom w:val="nil"/>
                              <w:right w:val="nil"/>
                            </w:tcBorders>
                            <w:hideMark/>
                          </w:tcPr>
                          <w:p w14:paraId="3388723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1820E169" w14:textId="77777777" w:rsidTr="0062242B">
                        <w:trPr>
                          <w:trHeight w:val="204"/>
                        </w:trPr>
                        <w:tc>
                          <w:tcPr>
                            <w:tcW w:w="1095" w:type="pct"/>
                            <w:tcBorders>
                              <w:top w:val="nil"/>
                              <w:left w:val="nil"/>
                              <w:bottom w:val="nil"/>
                              <w:right w:val="nil"/>
                            </w:tcBorders>
                            <w:noWrap/>
                            <w:hideMark/>
                          </w:tcPr>
                          <w:p w14:paraId="2F54E80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Avg. Cash Conversion Cycle</w:t>
                            </w:r>
                          </w:p>
                        </w:tc>
                        <w:tc>
                          <w:tcPr>
                            <w:tcW w:w="558" w:type="pct"/>
                            <w:tcBorders>
                              <w:top w:val="nil"/>
                              <w:left w:val="nil"/>
                              <w:bottom w:val="nil"/>
                              <w:right w:val="nil"/>
                            </w:tcBorders>
                            <w:hideMark/>
                          </w:tcPr>
                          <w:p w14:paraId="67568B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(51.6)  </w:t>
                            </w:r>
                          </w:p>
                        </w:tc>
                        <w:tc>
                          <w:tcPr>
                            <w:tcW w:w="558" w:type="pct"/>
                            <w:tcBorders>
                              <w:top w:val="nil"/>
                              <w:left w:val="nil"/>
                              <w:bottom w:val="nil"/>
                              <w:right w:val="nil"/>
                            </w:tcBorders>
                            <w:hideMark/>
                          </w:tcPr>
                          <w:p w14:paraId="7E2D76C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(42.2)  </w:t>
                            </w:r>
                          </w:p>
                        </w:tc>
                        <w:tc>
                          <w:tcPr>
                            <w:tcW w:w="558" w:type="pct"/>
                            <w:tcBorders>
                              <w:top w:val="nil"/>
                              <w:left w:val="nil"/>
                              <w:bottom w:val="nil"/>
                              <w:right w:val="nil"/>
                            </w:tcBorders>
                            <w:hideMark/>
                          </w:tcPr>
                          <w:p w14:paraId="3132A42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(32.2)  </w:t>
                            </w:r>
                          </w:p>
                        </w:tc>
                        <w:tc>
                          <w:tcPr>
                            <w:tcW w:w="558" w:type="pct"/>
                            <w:tcBorders>
                              <w:top w:val="nil"/>
                              <w:left w:val="nil"/>
                              <w:bottom w:val="nil"/>
                              <w:right w:val="nil"/>
                            </w:tcBorders>
                            <w:hideMark/>
                          </w:tcPr>
                          <w:p w14:paraId="7ECF7F4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(30.7)  </w:t>
                            </w:r>
                          </w:p>
                        </w:tc>
                        <w:tc>
                          <w:tcPr>
                            <w:tcW w:w="558" w:type="pct"/>
                            <w:tcBorders>
                              <w:top w:val="nil"/>
                              <w:left w:val="nil"/>
                              <w:bottom w:val="nil"/>
                              <w:right w:val="nil"/>
                            </w:tcBorders>
                            <w:hideMark/>
                          </w:tcPr>
                          <w:p w14:paraId="7953635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(36.1)  </w:t>
                            </w:r>
                          </w:p>
                        </w:tc>
                        <w:tc>
                          <w:tcPr>
                            <w:tcW w:w="558" w:type="pct"/>
                            <w:tcBorders>
                              <w:top w:val="nil"/>
                              <w:left w:val="nil"/>
                              <w:bottom w:val="nil"/>
                              <w:right w:val="nil"/>
                            </w:tcBorders>
                            <w:hideMark/>
                          </w:tcPr>
                          <w:p w14:paraId="0F18088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(43.3)  </w:t>
                            </w:r>
                          </w:p>
                        </w:tc>
                        <w:tc>
                          <w:tcPr>
                            <w:tcW w:w="558" w:type="pct"/>
                            <w:tcBorders>
                              <w:top w:val="nil"/>
                              <w:left w:val="nil"/>
                              <w:bottom w:val="nil"/>
                              <w:right w:val="nil"/>
                            </w:tcBorders>
                            <w:hideMark/>
                          </w:tcPr>
                          <w:p w14:paraId="280D0FB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NA</w:t>
                            </w:r>
                          </w:p>
                        </w:tc>
                      </w:tr>
                      <w:tr w:rsidR="0062242B" w:rsidRPr="0062242B" w14:paraId="0A82B3EF" w14:textId="77777777" w:rsidTr="0062242B">
                        <w:trPr>
                          <w:trHeight w:val="204"/>
                        </w:trPr>
                        <w:tc>
                          <w:tcPr>
                            <w:tcW w:w="1095" w:type="pct"/>
                            <w:tcBorders>
                              <w:top w:val="nil"/>
                              <w:left w:val="nil"/>
                              <w:bottom w:val="nil"/>
                              <w:right w:val="nil"/>
                            </w:tcBorders>
                            <w:noWrap/>
                            <w:hideMark/>
                          </w:tcPr>
                          <w:p w14:paraId="40742B46"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r w:rsidRPr="0062242B">
                              <w:rPr>
                                <w:rFonts w:ascii="Cambria" w:eastAsia="Times New Roman" w:hAnsi="Cambria" w:cs="Arial"/>
                                <w:b/>
                                <w:bCs/>
                                <w:color w:val="000000"/>
                                <w:kern w:val="0"/>
                                <w:sz w:val="16"/>
                                <w:szCs w:val="16"/>
                                <w:lang w:eastAsia="en-IN"/>
                                <w14:ligatures w14:val="none"/>
                              </w:rPr>
                              <w:t>Long Term Solvency</w:t>
                            </w:r>
                          </w:p>
                        </w:tc>
                        <w:tc>
                          <w:tcPr>
                            <w:tcW w:w="558" w:type="pct"/>
                            <w:tcBorders>
                              <w:top w:val="nil"/>
                              <w:left w:val="nil"/>
                              <w:bottom w:val="nil"/>
                              <w:right w:val="nil"/>
                            </w:tcBorders>
                            <w:noWrap/>
                            <w:hideMark/>
                          </w:tcPr>
                          <w:p w14:paraId="43ACE3C3" w14:textId="77777777" w:rsidR="0062242B" w:rsidRPr="0062242B" w:rsidRDefault="0062242B" w:rsidP="0062242B">
                            <w:pPr>
                              <w:spacing w:after="0" w:line="240" w:lineRule="auto"/>
                              <w:rPr>
                                <w:rFonts w:ascii="Cambria" w:eastAsia="Times New Roman" w:hAnsi="Cambria" w:cs="Arial"/>
                                <w:b/>
                                <w:bCs/>
                                <w:color w:val="000000"/>
                                <w:kern w:val="0"/>
                                <w:sz w:val="16"/>
                                <w:szCs w:val="16"/>
                                <w:lang w:eastAsia="en-IN"/>
                                <w14:ligatures w14:val="none"/>
                              </w:rPr>
                            </w:pPr>
                          </w:p>
                        </w:tc>
                        <w:tc>
                          <w:tcPr>
                            <w:tcW w:w="558" w:type="pct"/>
                            <w:tcBorders>
                              <w:top w:val="nil"/>
                              <w:left w:val="nil"/>
                              <w:bottom w:val="nil"/>
                              <w:right w:val="nil"/>
                            </w:tcBorders>
                            <w:noWrap/>
                            <w:hideMark/>
                          </w:tcPr>
                          <w:p w14:paraId="5AAA86A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AFDAF0E"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513190DD"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58F53E3"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169210FF"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c>
                          <w:tcPr>
                            <w:tcW w:w="558" w:type="pct"/>
                            <w:tcBorders>
                              <w:top w:val="nil"/>
                              <w:left w:val="nil"/>
                              <w:bottom w:val="nil"/>
                              <w:right w:val="nil"/>
                            </w:tcBorders>
                            <w:noWrap/>
                            <w:hideMark/>
                          </w:tcPr>
                          <w:p w14:paraId="7CA2BEE8" w14:textId="77777777" w:rsidR="0062242B" w:rsidRPr="0062242B" w:rsidRDefault="0062242B" w:rsidP="0062242B">
                            <w:pPr>
                              <w:spacing w:after="0" w:line="240" w:lineRule="auto"/>
                              <w:rPr>
                                <w:rFonts w:ascii="Cambria" w:eastAsia="Times New Roman" w:hAnsi="Cambria" w:cs="Times New Roman"/>
                                <w:kern w:val="0"/>
                                <w:sz w:val="20"/>
                                <w:szCs w:val="20"/>
                                <w:lang w:eastAsia="en-IN"/>
                                <w14:ligatures w14:val="none"/>
                              </w:rPr>
                            </w:pPr>
                          </w:p>
                        </w:tc>
                      </w:tr>
                      <w:tr w:rsidR="0062242B" w:rsidRPr="0062242B" w14:paraId="743976A0" w14:textId="77777777" w:rsidTr="0062242B">
                        <w:trPr>
                          <w:trHeight w:val="204"/>
                        </w:trPr>
                        <w:tc>
                          <w:tcPr>
                            <w:tcW w:w="1095" w:type="pct"/>
                            <w:tcBorders>
                              <w:top w:val="nil"/>
                              <w:left w:val="nil"/>
                              <w:bottom w:val="nil"/>
                              <w:right w:val="nil"/>
                            </w:tcBorders>
                            <w:noWrap/>
                            <w:hideMark/>
                          </w:tcPr>
                          <w:p w14:paraId="533D8FCB"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Debt/Equity</w:t>
                            </w:r>
                          </w:p>
                        </w:tc>
                        <w:tc>
                          <w:tcPr>
                            <w:tcW w:w="558" w:type="pct"/>
                            <w:tcBorders>
                              <w:top w:val="nil"/>
                              <w:left w:val="nil"/>
                              <w:bottom w:val="nil"/>
                              <w:right w:val="nil"/>
                            </w:tcBorders>
                            <w:hideMark/>
                          </w:tcPr>
                          <w:p w14:paraId="7BC252E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22.1% </w:t>
                            </w:r>
                          </w:p>
                        </w:tc>
                        <w:tc>
                          <w:tcPr>
                            <w:tcW w:w="558" w:type="pct"/>
                            <w:tcBorders>
                              <w:top w:val="nil"/>
                              <w:left w:val="nil"/>
                              <w:bottom w:val="nil"/>
                              <w:right w:val="nil"/>
                            </w:tcBorders>
                            <w:hideMark/>
                          </w:tcPr>
                          <w:p w14:paraId="68F296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3D8EE8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16.7% </w:t>
                            </w:r>
                          </w:p>
                        </w:tc>
                        <w:tc>
                          <w:tcPr>
                            <w:tcW w:w="558" w:type="pct"/>
                            <w:tcBorders>
                              <w:top w:val="nil"/>
                              <w:left w:val="nil"/>
                              <w:bottom w:val="nil"/>
                              <w:right w:val="nil"/>
                            </w:tcBorders>
                            <w:hideMark/>
                          </w:tcPr>
                          <w:p w14:paraId="2E745D9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16.3% </w:t>
                            </w:r>
                          </w:p>
                        </w:tc>
                        <w:tc>
                          <w:tcPr>
                            <w:tcW w:w="558" w:type="pct"/>
                            <w:tcBorders>
                              <w:top w:val="nil"/>
                              <w:left w:val="nil"/>
                              <w:bottom w:val="nil"/>
                              <w:right w:val="nil"/>
                            </w:tcBorders>
                            <w:hideMark/>
                          </w:tcPr>
                          <w:p w14:paraId="41368F9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17.4% </w:t>
                            </w:r>
                          </w:p>
                        </w:tc>
                        <w:tc>
                          <w:tcPr>
                            <w:tcW w:w="558" w:type="pct"/>
                            <w:tcBorders>
                              <w:top w:val="nil"/>
                              <w:left w:val="nil"/>
                              <w:bottom w:val="nil"/>
                              <w:right w:val="nil"/>
                            </w:tcBorders>
                            <w:hideMark/>
                          </w:tcPr>
                          <w:p w14:paraId="652E8C3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18.5% </w:t>
                            </w:r>
                          </w:p>
                        </w:tc>
                        <w:tc>
                          <w:tcPr>
                            <w:tcW w:w="558" w:type="pct"/>
                            <w:tcBorders>
                              <w:top w:val="nil"/>
                              <w:left w:val="nil"/>
                              <w:bottom w:val="nil"/>
                              <w:right w:val="nil"/>
                            </w:tcBorders>
                            <w:hideMark/>
                          </w:tcPr>
                          <w:p w14:paraId="45C6BC7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24.1% </w:t>
                            </w:r>
                          </w:p>
                        </w:tc>
                      </w:tr>
                      <w:tr w:rsidR="0062242B" w:rsidRPr="0062242B" w14:paraId="222F2515" w14:textId="77777777" w:rsidTr="0062242B">
                        <w:trPr>
                          <w:trHeight w:val="204"/>
                        </w:trPr>
                        <w:tc>
                          <w:tcPr>
                            <w:tcW w:w="1095" w:type="pct"/>
                            <w:tcBorders>
                              <w:top w:val="nil"/>
                              <w:left w:val="nil"/>
                              <w:bottom w:val="nil"/>
                              <w:right w:val="nil"/>
                            </w:tcBorders>
                            <w:noWrap/>
                            <w:hideMark/>
                          </w:tcPr>
                          <w:p w14:paraId="5B88BDF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Debt/Capital</w:t>
                            </w:r>
                          </w:p>
                        </w:tc>
                        <w:tc>
                          <w:tcPr>
                            <w:tcW w:w="558" w:type="pct"/>
                            <w:tcBorders>
                              <w:top w:val="nil"/>
                              <w:left w:val="nil"/>
                              <w:bottom w:val="nil"/>
                              <w:right w:val="nil"/>
                            </w:tcBorders>
                            <w:hideMark/>
                          </w:tcPr>
                          <w:p w14:paraId="27EC0DC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18.1% </w:t>
                            </w:r>
                          </w:p>
                        </w:tc>
                        <w:tc>
                          <w:tcPr>
                            <w:tcW w:w="558" w:type="pct"/>
                            <w:tcBorders>
                              <w:top w:val="nil"/>
                              <w:left w:val="nil"/>
                              <w:bottom w:val="nil"/>
                              <w:right w:val="nil"/>
                            </w:tcBorders>
                            <w:hideMark/>
                          </w:tcPr>
                          <w:p w14:paraId="25D9B13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14.3% </w:t>
                            </w:r>
                          </w:p>
                        </w:tc>
                        <w:tc>
                          <w:tcPr>
                            <w:tcW w:w="558" w:type="pct"/>
                            <w:tcBorders>
                              <w:top w:val="nil"/>
                              <w:left w:val="nil"/>
                              <w:bottom w:val="nil"/>
                              <w:right w:val="nil"/>
                            </w:tcBorders>
                            <w:hideMark/>
                          </w:tcPr>
                          <w:p w14:paraId="2B6F37C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14.3% </w:t>
                            </w:r>
                          </w:p>
                        </w:tc>
                        <w:tc>
                          <w:tcPr>
                            <w:tcW w:w="558" w:type="pct"/>
                            <w:tcBorders>
                              <w:top w:val="nil"/>
                              <w:left w:val="nil"/>
                              <w:bottom w:val="nil"/>
                              <w:right w:val="nil"/>
                            </w:tcBorders>
                            <w:hideMark/>
                          </w:tcPr>
                          <w:p w14:paraId="64BAE59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14.0% </w:t>
                            </w:r>
                          </w:p>
                        </w:tc>
                        <w:tc>
                          <w:tcPr>
                            <w:tcW w:w="558" w:type="pct"/>
                            <w:tcBorders>
                              <w:top w:val="nil"/>
                              <w:left w:val="nil"/>
                              <w:bottom w:val="nil"/>
                              <w:right w:val="nil"/>
                            </w:tcBorders>
                            <w:hideMark/>
                          </w:tcPr>
                          <w:p w14:paraId="7106C31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14.8% </w:t>
                            </w:r>
                          </w:p>
                        </w:tc>
                        <w:tc>
                          <w:tcPr>
                            <w:tcW w:w="558" w:type="pct"/>
                            <w:tcBorders>
                              <w:top w:val="nil"/>
                              <w:left w:val="nil"/>
                              <w:bottom w:val="nil"/>
                              <w:right w:val="nil"/>
                            </w:tcBorders>
                            <w:hideMark/>
                          </w:tcPr>
                          <w:p w14:paraId="2B7674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15.6% </w:t>
                            </w:r>
                          </w:p>
                        </w:tc>
                        <w:tc>
                          <w:tcPr>
                            <w:tcW w:w="558" w:type="pct"/>
                            <w:tcBorders>
                              <w:top w:val="nil"/>
                              <w:left w:val="nil"/>
                              <w:bottom w:val="nil"/>
                              <w:right w:val="nil"/>
                            </w:tcBorders>
                            <w:hideMark/>
                          </w:tcPr>
                          <w:p w14:paraId="7A72D3A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19.4% </w:t>
                            </w:r>
                          </w:p>
                        </w:tc>
                      </w:tr>
                      <w:tr w:rsidR="0062242B" w:rsidRPr="0062242B" w14:paraId="28BB1669" w14:textId="77777777" w:rsidTr="0062242B">
                        <w:trPr>
                          <w:trHeight w:val="204"/>
                        </w:trPr>
                        <w:tc>
                          <w:tcPr>
                            <w:tcW w:w="1095" w:type="pct"/>
                            <w:tcBorders>
                              <w:top w:val="nil"/>
                              <w:left w:val="nil"/>
                              <w:bottom w:val="nil"/>
                              <w:right w:val="nil"/>
                            </w:tcBorders>
                            <w:noWrap/>
                            <w:hideMark/>
                          </w:tcPr>
                          <w:p w14:paraId="05AE681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LT Debt/Equity</w:t>
                            </w:r>
                          </w:p>
                        </w:tc>
                        <w:tc>
                          <w:tcPr>
                            <w:tcW w:w="558" w:type="pct"/>
                            <w:tcBorders>
                              <w:top w:val="nil"/>
                              <w:left w:val="nil"/>
                              <w:bottom w:val="nil"/>
                              <w:right w:val="nil"/>
                            </w:tcBorders>
                            <w:hideMark/>
                          </w:tcPr>
                          <w:p w14:paraId="0EDB8BC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18.4% </w:t>
                            </w:r>
                          </w:p>
                        </w:tc>
                        <w:tc>
                          <w:tcPr>
                            <w:tcW w:w="558" w:type="pct"/>
                            <w:tcBorders>
                              <w:top w:val="nil"/>
                              <w:left w:val="nil"/>
                              <w:bottom w:val="nil"/>
                              <w:right w:val="nil"/>
                            </w:tcBorders>
                            <w:hideMark/>
                          </w:tcPr>
                          <w:p w14:paraId="178D1F5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15.8% </w:t>
                            </w:r>
                          </w:p>
                        </w:tc>
                        <w:tc>
                          <w:tcPr>
                            <w:tcW w:w="558" w:type="pct"/>
                            <w:tcBorders>
                              <w:top w:val="nil"/>
                              <w:left w:val="nil"/>
                              <w:bottom w:val="nil"/>
                              <w:right w:val="nil"/>
                            </w:tcBorders>
                            <w:hideMark/>
                          </w:tcPr>
                          <w:p w14:paraId="1BF8173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c>
                          <w:tcPr>
                            <w:tcW w:w="558" w:type="pct"/>
                            <w:tcBorders>
                              <w:top w:val="nil"/>
                              <w:left w:val="nil"/>
                              <w:bottom w:val="nil"/>
                              <w:right w:val="nil"/>
                            </w:tcBorders>
                            <w:hideMark/>
                          </w:tcPr>
                          <w:p w14:paraId="17A02F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15.0% </w:t>
                            </w:r>
                          </w:p>
                        </w:tc>
                        <w:tc>
                          <w:tcPr>
                            <w:tcW w:w="558" w:type="pct"/>
                            <w:tcBorders>
                              <w:top w:val="nil"/>
                              <w:left w:val="nil"/>
                              <w:bottom w:val="nil"/>
                              <w:right w:val="nil"/>
                            </w:tcBorders>
                            <w:hideMark/>
                          </w:tcPr>
                          <w:p w14:paraId="7744EE9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15.8% </w:t>
                            </w:r>
                          </w:p>
                        </w:tc>
                        <w:tc>
                          <w:tcPr>
                            <w:tcW w:w="558" w:type="pct"/>
                            <w:tcBorders>
                              <w:top w:val="nil"/>
                              <w:left w:val="nil"/>
                              <w:bottom w:val="nil"/>
                              <w:right w:val="nil"/>
                            </w:tcBorders>
                            <w:hideMark/>
                          </w:tcPr>
                          <w:p w14:paraId="2A8172A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15.3% </w:t>
                            </w:r>
                          </w:p>
                        </w:tc>
                        <w:tc>
                          <w:tcPr>
                            <w:tcW w:w="558" w:type="pct"/>
                            <w:tcBorders>
                              <w:top w:val="nil"/>
                              <w:left w:val="nil"/>
                              <w:bottom w:val="nil"/>
                              <w:right w:val="nil"/>
                            </w:tcBorders>
                            <w:hideMark/>
                          </w:tcPr>
                          <w:p w14:paraId="4318C7F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22.2% </w:t>
                            </w:r>
                          </w:p>
                        </w:tc>
                      </w:tr>
                      <w:tr w:rsidR="0062242B" w:rsidRPr="0062242B" w14:paraId="7147446F" w14:textId="77777777" w:rsidTr="0062242B">
                        <w:trPr>
                          <w:trHeight w:val="204"/>
                        </w:trPr>
                        <w:tc>
                          <w:tcPr>
                            <w:tcW w:w="1095" w:type="pct"/>
                            <w:tcBorders>
                              <w:top w:val="nil"/>
                              <w:left w:val="nil"/>
                              <w:bottom w:val="nil"/>
                              <w:right w:val="nil"/>
                            </w:tcBorders>
                            <w:noWrap/>
                            <w:hideMark/>
                          </w:tcPr>
                          <w:p w14:paraId="2C5773EA"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LT Debt/Capital</w:t>
                            </w:r>
                          </w:p>
                        </w:tc>
                        <w:tc>
                          <w:tcPr>
                            <w:tcW w:w="558" w:type="pct"/>
                            <w:tcBorders>
                              <w:top w:val="nil"/>
                              <w:left w:val="nil"/>
                              <w:bottom w:val="nil"/>
                              <w:right w:val="nil"/>
                            </w:tcBorders>
                            <w:hideMark/>
                          </w:tcPr>
                          <w:p w14:paraId="3206B39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15.1% </w:t>
                            </w:r>
                          </w:p>
                        </w:tc>
                        <w:tc>
                          <w:tcPr>
                            <w:tcW w:w="558" w:type="pct"/>
                            <w:tcBorders>
                              <w:top w:val="nil"/>
                              <w:left w:val="nil"/>
                              <w:bottom w:val="nil"/>
                              <w:right w:val="nil"/>
                            </w:tcBorders>
                            <w:hideMark/>
                          </w:tcPr>
                          <w:p w14:paraId="4623C08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13.6% </w:t>
                            </w:r>
                          </w:p>
                        </w:tc>
                        <w:tc>
                          <w:tcPr>
                            <w:tcW w:w="558" w:type="pct"/>
                            <w:tcBorders>
                              <w:top w:val="nil"/>
                              <w:left w:val="nil"/>
                              <w:bottom w:val="nil"/>
                              <w:right w:val="nil"/>
                            </w:tcBorders>
                            <w:hideMark/>
                          </w:tcPr>
                          <w:p w14:paraId="649DE8B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18F67181"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12.9% </w:t>
                            </w:r>
                          </w:p>
                        </w:tc>
                        <w:tc>
                          <w:tcPr>
                            <w:tcW w:w="558" w:type="pct"/>
                            <w:tcBorders>
                              <w:top w:val="nil"/>
                              <w:left w:val="nil"/>
                              <w:bottom w:val="nil"/>
                              <w:right w:val="nil"/>
                            </w:tcBorders>
                            <w:hideMark/>
                          </w:tcPr>
                          <w:p w14:paraId="416D29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13.5% </w:t>
                            </w:r>
                          </w:p>
                        </w:tc>
                        <w:tc>
                          <w:tcPr>
                            <w:tcW w:w="558" w:type="pct"/>
                            <w:tcBorders>
                              <w:top w:val="nil"/>
                              <w:left w:val="nil"/>
                              <w:bottom w:val="nil"/>
                              <w:right w:val="nil"/>
                            </w:tcBorders>
                            <w:hideMark/>
                          </w:tcPr>
                          <w:p w14:paraId="13D7F9C0"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13.0% </w:t>
                            </w:r>
                          </w:p>
                        </w:tc>
                        <w:tc>
                          <w:tcPr>
                            <w:tcW w:w="558" w:type="pct"/>
                            <w:tcBorders>
                              <w:top w:val="nil"/>
                              <w:left w:val="nil"/>
                              <w:bottom w:val="nil"/>
                              <w:right w:val="nil"/>
                            </w:tcBorders>
                            <w:hideMark/>
                          </w:tcPr>
                          <w:p w14:paraId="5F94F9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17.9% </w:t>
                            </w:r>
                          </w:p>
                        </w:tc>
                      </w:tr>
                      <w:tr w:rsidR="0062242B" w:rsidRPr="0062242B" w14:paraId="004111FF" w14:textId="77777777" w:rsidTr="0062242B">
                        <w:trPr>
                          <w:trHeight w:val="204"/>
                        </w:trPr>
                        <w:tc>
                          <w:tcPr>
                            <w:tcW w:w="1095" w:type="pct"/>
                            <w:tcBorders>
                              <w:top w:val="nil"/>
                              <w:left w:val="nil"/>
                              <w:bottom w:val="nil"/>
                              <w:right w:val="nil"/>
                            </w:tcBorders>
                            <w:noWrap/>
                            <w:hideMark/>
                          </w:tcPr>
                          <w:p w14:paraId="56195B3F"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Liabilities/Total Assets</w:t>
                            </w:r>
                          </w:p>
                        </w:tc>
                        <w:tc>
                          <w:tcPr>
                            <w:tcW w:w="558" w:type="pct"/>
                            <w:tcBorders>
                              <w:top w:val="nil"/>
                              <w:left w:val="nil"/>
                              <w:bottom w:val="nil"/>
                              <w:right w:val="nil"/>
                            </w:tcBorders>
                            <w:hideMark/>
                          </w:tcPr>
                          <w:p w14:paraId="25CE62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36.9% </w:t>
                            </w:r>
                          </w:p>
                        </w:tc>
                        <w:tc>
                          <w:tcPr>
                            <w:tcW w:w="558" w:type="pct"/>
                            <w:tcBorders>
                              <w:top w:val="nil"/>
                              <w:left w:val="nil"/>
                              <w:bottom w:val="nil"/>
                              <w:right w:val="nil"/>
                            </w:tcBorders>
                            <w:hideMark/>
                          </w:tcPr>
                          <w:p w14:paraId="79ADF6B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33.0% </w:t>
                            </w:r>
                          </w:p>
                        </w:tc>
                        <w:tc>
                          <w:tcPr>
                            <w:tcW w:w="558" w:type="pct"/>
                            <w:tcBorders>
                              <w:top w:val="nil"/>
                              <w:left w:val="nil"/>
                              <w:bottom w:val="nil"/>
                              <w:right w:val="nil"/>
                            </w:tcBorders>
                            <w:hideMark/>
                          </w:tcPr>
                          <w:p w14:paraId="21DEF4C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35.9% </w:t>
                            </w:r>
                          </w:p>
                        </w:tc>
                        <w:tc>
                          <w:tcPr>
                            <w:tcW w:w="558" w:type="pct"/>
                            <w:tcBorders>
                              <w:top w:val="nil"/>
                              <w:left w:val="nil"/>
                              <w:bottom w:val="nil"/>
                              <w:right w:val="nil"/>
                            </w:tcBorders>
                            <w:hideMark/>
                          </w:tcPr>
                          <w:p w14:paraId="0161E4A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36.2% </w:t>
                            </w:r>
                          </w:p>
                        </w:tc>
                        <w:tc>
                          <w:tcPr>
                            <w:tcW w:w="558" w:type="pct"/>
                            <w:tcBorders>
                              <w:top w:val="nil"/>
                              <w:left w:val="nil"/>
                              <w:bottom w:val="nil"/>
                              <w:right w:val="nil"/>
                            </w:tcBorders>
                            <w:hideMark/>
                          </w:tcPr>
                          <w:p w14:paraId="238D39B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35.9% </w:t>
                            </w:r>
                          </w:p>
                        </w:tc>
                        <w:tc>
                          <w:tcPr>
                            <w:tcW w:w="558" w:type="pct"/>
                            <w:tcBorders>
                              <w:top w:val="nil"/>
                              <w:left w:val="nil"/>
                              <w:bottom w:val="nil"/>
                              <w:right w:val="nil"/>
                            </w:tcBorders>
                            <w:hideMark/>
                          </w:tcPr>
                          <w:p w14:paraId="7BEB64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37.0% </w:t>
                            </w:r>
                          </w:p>
                        </w:tc>
                        <w:tc>
                          <w:tcPr>
                            <w:tcW w:w="558" w:type="pct"/>
                            <w:tcBorders>
                              <w:top w:val="nil"/>
                              <w:left w:val="nil"/>
                              <w:bottom w:val="nil"/>
                              <w:right w:val="nil"/>
                            </w:tcBorders>
                            <w:hideMark/>
                          </w:tcPr>
                          <w:p w14:paraId="108959A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41.0% </w:t>
                            </w:r>
                          </w:p>
                        </w:tc>
                      </w:tr>
                      <w:tr w:rsidR="0062242B" w:rsidRPr="0062242B" w14:paraId="67CD4FAE" w14:textId="77777777" w:rsidTr="0062242B">
                        <w:trPr>
                          <w:trHeight w:val="204"/>
                        </w:trPr>
                        <w:tc>
                          <w:tcPr>
                            <w:tcW w:w="1095" w:type="pct"/>
                            <w:tcBorders>
                              <w:top w:val="nil"/>
                              <w:left w:val="nil"/>
                              <w:bottom w:val="nil"/>
                              <w:right w:val="nil"/>
                            </w:tcBorders>
                            <w:noWrap/>
                            <w:hideMark/>
                          </w:tcPr>
                          <w:p w14:paraId="5B5C0B33"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 / Interest Exp.</w:t>
                            </w:r>
                          </w:p>
                        </w:tc>
                        <w:tc>
                          <w:tcPr>
                            <w:tcW w:w="558" w:type="pct"/>
                            <w:tcBorders>
                              <w:top w:val="nil"/>
                              <w:left w:val="nil"/>
                              <w:bottom w:val="nil"/>
                              <w:right w:val="nil"/>
                            </w:tcBorders>
                            <w:hideMark/>
                          </w:tcPr>
                          <w:p w14:paraId="752679C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11.9x</w:t>
                            </w:r>
                          </w:p>
                        </w:tc>
                        <w:tc>
                          <w:tcPr>
                            <w:tcW w:w="558" w:type="pct"/>
                            <w:tcBorders>
                              <w:top w:val="nil"/>
                              <w:left w:val="nil"/>
                              <w:bottom w:val="nil"/>
                              <w:right w:val="nil"/>
                            </w:tcBorders>
                            <w:hideMark/>
                          </w:tcPr>
                          <w:p w14:paraId="601A656A"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18.4x</w:t>
                            </w:r>
                          </w:p>
                        </w:tc>
                        <w:tc>
                          <w:tcPr>
                            <w:tcW w:w="558" w:type="pct"/>
                            <w:tcBorders>
                              <w:top w:val="nil"/>
                              <w:left w:val="nil"/>
                              <w:bottom w:val="nil"/>
                              <w:right w:val="nil"/>
                            </w:tcBorders>
                            <w:hideMark/>
                          </w:tcPr>
                          <w:p w14:paraId="6FB16E3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24.5x</w:t>
                            </w:r>
                          </w:p>
                        </w:tc>
                        <w:tc>
                          <w:tcPr>
                            <w:tcW w:w="558" w:type="pct"/>
                            <w:tcBorders>
                              <w:top w:val="nil"/>
                              <w:left w:val="nil"/>
                              <w:bottom w:val="nil"/>
                              <w:right w:val="nil"/>
                            </w:tcBorders>
                            <w:hideMark/>
                          </w:tcPr>
                          <w:p w14:paraId="04DF3F7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19.7x</w:t>
                            </w:r>
                          </w:p>
                        </w:tc>
                        <w:tc>
                          <w:tcPr>
                            <w:tcW w:w="558" w:type="pct"/>
                            <w:tcBorders>
                              <w:top w:val="nil"/>
                              <w:left w:val="nil"/>
                              <w:bottom w:val="nil"/>
                              <w:right w:val="nil"/>
                            </w:tcBorders>
                            <w:hideMark/>
                          </w:tcPr>
                          <w:p w14:paraId="0392139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18.1x</w:t>
                            </w:r>
                          </w:p>
                        </w:tc>
                        <w:tc>
                          <w:tcPr>
                            <w:tcW w:w="558" w:type="pct"/>
                            <w:tcBorders>
                              <w:top w:val="nil"/>
                              <w:left w:val="nil"/>
                              <w:bottom w:val="nil"/>
                              <w:right w:val="nil"/>
                            </w:tcBorders>
                            <w:hideMark/>
                          </w:tcPr>
                          <w:p w14:paraId="160668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17.5x</w:t>
                            </w:r>
                          </w:p>
                        </w:tc>
                        <w:tc>
                          <w:tcPr>
                            <w:tcW w:w="558" w:type="pct"/>
                            <w:tcBorders>
                              <w:top w:val="nil"/>
                              <w:left w:val="nil"/>
                              <w:bottom w:val="nil"/>
                              <w:right w:val="nil"/>
                            </w:tcBorders>
                            <w:hideMark/>
                          </w:tcPr>
                          <w:p w14:paraId="0EE44F9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16.0x</w:t>
                            </w:r>
                          </w:p>
                        </w:tc>
                      </w:tr>
                      <w:tr w:rsidR="0062242B" w:rsidRPr="0062242B" w14:paraId="1E12AFF3" w14:textId="77777777" w:rsidTr="0062242B">
                        <w:trPr>
                          <w:trHeight w:val="204"/>
                        </w:trPr>
                        <w:tc>
                          <w:tcPr>
                            <w:tcW w:w="1095" w:type="pct"/>
                            <w:tcBorders>
                              <w:top w:val="nil"/>
                              <w:left w:val="nil"/>
                              <w:bottom w:val="nil"/>
                              <w:right w:val="nil"/>
                            </w:tcBorders>
                            <w:noWrap/>
                            <w:hideMark/>
                          </w:tcPr>
                          <w:p w14:paraId="4A76B687"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 / Interest Exp.</w:t>
                            </w:r>
                          </w:p>
                        </w:tc>
                        <w:tc>
                          <w:tcPr>
                            <w:tcW w:w="558" w:type="pct"/>
                            <w:tcBorders>
                              <w:top w:val="nil"/>
                              <w:left w:val="nil"/>
                              <w:bottom w:val="nil"/>
                              <w:right w:val="nil"/>
                            </w:tcBorders>
                            <w:hideMark/>
                          </w:tcPr>
                          <w:p w14:paraId="47453D9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19.0x</w:t>
                            </w:r>
                          </w:p>
                        </w:tc>
                        <w:tc>
                          <w:tcPr>
                            <w:tcW w:w="558" w:type="pct"/>
                            <w:tcBorders>
                              <w:top w:val="nil"/>
                              <w:left w:val="nil"/>
                              <w:bottom w:val="nil"/>
                              <w:right w:val="nil"/>
                            </w:tcBorders>
                            <w:hideMark/>
                          </w:tcPr>
                          <w:p w14:paraId="4658E74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27.7x</w:t>
                            </w:r>
                          </w:p>
                        </w:tc>
                        <w:tc>
                          <w:tcPr>
                            <w:tcW w:w="558" w:type="pct"/>
                            <w:tcBorders>
                              <w:top w:val="nil"/>
                              <w:left w:val="nil"/>
                              <w:bottom w:val="nil"/>
                              <w:right w:val="nil"/>
                            </w:tcBorders>
                            <w:hideMark/>
                          </w:tcPr>
                          <w:p w14:paraId="5BAD80A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36.7x</w:t>
                            </w:r>
                          </w:p>
                        </w:tc>
                        <w:tc>
                          <w:tcPr>
                            <w:tcW w:w="558" w:type="pct"/>
                            <w:tcBorders>
                              <w:top w:val="nil"/>
                              <w:left w:val="nil"/>
                              <w:bottom w:val="nil"/>
                              <w:right w:val="nil"/>
                            </w:tcBorders>
                            <w:hideMark/>
                          </w:tcPr>
                          <w:p w14:paraId="2A2E97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31.9x</w:t>
                            </w:r>
                          </w:p>
                        </w:tc>
                        <w:tc>
                          <w:tcPr>
                            <w:tcW w:w="558" w:type="pct"/>
                            <w:tcBorders>
                              <w:top w:val="nil"/>
                              <w:left w:val="nil"/>
                              <w:bottom w:val="nil"/>
                              <w:right w:val="nil"/>
                            </w:tcBorders>
                            <w:hideMark/>
                          </w:tcPr>
                          <w:p w14:paraId="586414F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28.0x</w:t>
                            </w:r>
                          </w:p>
                        </w:tc>
                        <w:tc>
                          <w:tcPr>
                            <w:tcW w:w="558" w:type="pct"/>
                            <w:tcBorders>
                              <w:top w:val="nil"/>
                              <w:left w:val="nil"/>
                              <w:bottom w:val="nil"/>
                              <w:right w:val="nil"/>
                            </w:tcBorders>
                            <w:hideMark/>
                          </w:tcPr>
                          <w:p w14:paraId="128567D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24.5x</w:t>
                            </w:r>
                          </w:p>
                        </w:tc>
                        <w:tc>
                          <w:tcPr>
                            <w:tcW w:w="558" w:type="pct"/>
                            <w:tcBorders>
                              <w:top w:val="nil"/>
                              <w:left w:val="nil"/>
                              <w:bottom w:val="nil"/>
                              <w:right w:val="nil"/>
                            </w:tcBorders>
                            <w:hideMark/>
                          </w:tcPr>
                          <w:p w14:paraId="22EDF6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21.8x</w:t>
                            </w:r>
                          </w:p>
                        </w:tc>
                      </w:tr>
                      <w:tr w:rsidR="0062242B" w:rsidRPr="0062242B" w14:paraId="0A18AE6C" w14:textId="77777777" w:rsidTr="0062242B">
                        <w:trPr>
                          <w:trHeight w:val="204"/>
                        </w:trPr>
                        <w:tc>
                          <w:tcPr>
                            <w:tcW w:w="1095" w:type="pct"/>
                            <w:tcBorders>
                              <w:top w:val="nil"/>
                              <w:left w:val="nil"/>
                              <w:bottom w:val="nil"/>
                              <w:right w:val="nil"/>
                            </w:tcBorders>
                            <w:noWrap/>
                            <w:hideMark/>
                          </w:tcPr>
                          <w:p w14:paraId="4DF4D1A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(EBITDA-CAPEX) / Interest Exp.</w:t>
                            </w:r>
                          </w:p>
                        </w:tc>
                        <w:tc>
                          <w:tcPr>
                            <w:tcW w:w="558" w:type="pct"/>
                            <w:tcBorders>
                              <w:top w:val="nil"/>
                              <w:left w:val="nil"/>
                              <w:bottom w:val="nil"/>
                              <w:right w:val="nil"/>
                            </w:tcBorders>
                            <w:hideMark/>
                          </w:tcPr>
                          <w:p w14:paraId="441B9503"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12.2x</w:t>
                            </w:r>
                          </w:p>
                        </w:tc>
                        <w:tc>
                          <w:tcPr>
                            <w:tcW w:w="558" w:type="pct"/>
                            <w:tcBorders>
                              <w:top w:val="nil"/>
                              <w:left w:val="nil"/>
                              <w:bottom w:val="nil"/>
                              <w:right w:val="nil"/>
                            </w:tcBorders>
                            <w:hideMark/>
                          </w:tcPr>
                          <w:p w14:paraId="7130676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21.4x</w:t>
                            </w:r>
                          </w:p>
                        </w:tc>
                        <w:tc>
                          <w:tcPr>
                            <w:tcW w:w="558" w:type="pct"/>
                            <w:tcBorders>
                              <w:top w:val="nil"/>
                              <w:left w:val="nil"/>
                              <w:bottom w:val="nil"/>
                              <w:right w:val="nil"/>
                            </w:tcBorders>
                            <w:hideMark/>
                          </w:tcPr>
                          <w:p w14:paraId="68FC0062"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27.4x</w:t>
                            </w:r>
                          </w:p>
                        </w:tc>
                        <w:tc>
                          <w:tcPr>
                            <w:tcW w:w="558" w:type="pct"/>
                            <w:tcBorders>
                              <w:top w:val="nil"/>
                              <w:left w:val="nil"/>
                              <w:bottom w:val="nil"/>
                              <w:right w:val="nil"/>
                            </w:tcBorders>
                            <w:hideMark/>
                          </w:tcPr>
                          <w:p w14:paraId="26A7965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21.0x</w:t>
                            </w:r>
                          </w:p>
                        </w:tc>
                        <w:tc>
                          <w:tcPr>
                            <w:tcW w:w="558" w:type="pct"/>
                            <w:tcBorders>
                              <w:top w:val="nil"/>
                              <w:left w:val="nil"/>
                              <w:bottom w:val="nil"/>
                              <w:right w:val="nil"/>
                            </w:tcBorders>
                            <w:hideMark/>
                          </w:tcPr>
                          <w:p w14:paraId="063EEF7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22.2x</w:t>
                            </w:r>
                          </w:p>
                        </w:tc>
                        <w:tc>
                          <w:tcPr>
                            <w:tcW w:w="558" w:type="pct"/>
                            <w:tcBorders>
                              <w:top w:val="nil"/>
                              <w:left w:val="nil"/>
                              <w:bottom w:val="nil"/>
                              <w:right w:val="nil"/>
                            </w:tcBorders>
                            <w:hideMark/>
                          </w:tcPr>
                          <w:p w14:paraId="377608C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20.5x</w:t>
                            </w:r>
                          </w:p>
                        </w:tc>
                        <w:tc>
                          <w:tcPr>
                            <w:tcW w:w="558" w:type="pct"/>
                            <w:tcBorders>
                              <w:top w:val="nil"/>
                              <w:left w:val="nil"/>
                              <w:bottom w:val="nil"/>
                              <w:right w:val="nil"/>
                            </w:tcBorders>
                            <w:hideMark/>
                          </w:tcPr>
                          <w:p w14:paraId="463C15A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18.3x</w:t>
                            </w:r>
                          </w:p>
                        </w:tc>
                      </w:tr>
                      <w:tr w:rsidR="0062242B" w:rsidRPr="0062242B" w14:paraId="3B124680" w14:textId="77777777" w:rsidTr="0062242B">
                        <w:trPr>
                          <w:trHeight w:val="204"/>
                        </w:trPr>
                        <w:tc>
                          <w:tcPr>
                            <w:tcW w:w="1095" w:type="pct"/>
                            <w:tcBorders>
                              <w:top w:val="nil"/>
                              <w:left w:val="nil"/>
                              <w:bottom w:val="nil"/>
                              <w:right w:val="nil"/>
                            </w:tcBorders>
                            <w:noWrap/>
                            <w:hideMark/>
                          </w:tcPr>
                          <w:p w14:paraId="6FE82286"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Debt/EBITDA</w:t>
                            </w:r>
                          </w:p>
                        </w:tc>
                        <w:tc>
                          <w:tcPr>
                            <w:tcW w:w="558" w:type="pct"/>
                            <w:tcBorders>
                              <w:top w:val="nil"/>
                              <w:left w:val="nil"/>
                              <w:bottom w:val="nil"/>
                              <w:right w:val="nil"/>
                            </w:tcBorders>
                            <w:hideMark/>
                          </w:tcPr>
                          <w:p w14:paraId="37815ED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1.4x</w:t>
                            </w:r>
                          </w:p>
                        </w:tc>
                        <w:tc>
                          <w:tcPr>
                            <w:tcW w:w="558" w:type="pct"/>
                            <w:tcBorders>
                              <w:top w:val="nil"/>
                              <w:left w:val="nil"/>
                              <w:bottom w:val="nil"/>
                              <w:right w:val="nil"/>
                            </w:tcBorders>
                            <w:hideMark/>
                          </w:tcPr>
                          <w:p w14:paraId="7920818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1.0x</w:t>
                            </w:r>
                          </w:p>
                        </w:tc>
                        <w:tc>
                          <w:tcPr>
                            <w:tcW w:w="558" w:type="pct"/>
                            <w:tcBorders>
                              <w:top w:val="nil"/>
                              <w:left w:val="nil"/>
                              <w:bottom w:val="nil"/>
                              <w:right w:val="nil"/>
                            </w:tcBorders>
                            <w:hideMark/>
                          </w:tcPr>
                          <w:p w14:paraId="6F15D1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331654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7AB50A8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1.2x</w:t>
                            </w:r>
                          </w:p>
                        </w:tc>
                        <w:tc>
                          <w:tcPr>
                            <w:tcW w:w="558" w:type="pct"/>
                            <w:tcBorders>
                              <w:top w:val="nil"/>
                              <w:left w:val="nil"/>
                              <w:bottom w:val="nil"/>
                              <w:right w:val="nil"/>
                            </w:tcBorders>
                            <w:hideMark/>
                          </w:tcPr>
                          <w:p w14:paraId="0E615D7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1.1x</w:t>
                            </w:r>
                          </w:p>
                        </w:tc>
                        <w:tc>
                          <w:tcPr>
                            <w:tcW w:w="558" w:type="pct"/>
                            <w:tcBorders>
                              <w:top w:val="nil"/>
                              <w:left w:val="nil"/>
                              <w:bottom w:val="nil"/>
                              <w:right w:val="nil"/>
                            </w:tcBorders>
                            <w:hideMark/>
                          </w:tcPr>
                          <w:p w14:paraId="484C883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r>
                      <w:tr w:rsidR="0062242B" w:rsidRPr="0062242B" w14:paraId="77C24665" w14:textId="77777777" w:rsidTr="0062242B">
                        <w:trPr>
                          <w:trHeight w:val="204"/>
                        </w:trPr>
                        <w:tc>
                          <w:tcPr>
                            <w:tcW w:w="1095" w:type="pct"/>
                            <w:tcBorders>
                              <w:top w:val="nil"/>
                              <w:left w:val="nil"/>
                              <w:bottom w:val="nil"/>
                              <w:right w:val="nil"/>
                            </w:tcBorders>
                            <w:noWrap/>
                            <w:hideMark/>
                          </w:tcPr>
                          <w:p w14:paraId="47276FE5"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Net Debt/EBITDA</w:t>
                            </w:r>
                          </w:p>
                        </w:tc>
                        <w:tc>
                          <w:tcPr>
                            <w:tcW w:w="558" w:type="pct"/>
                            <w:tcBorders>
                              <w:top w:val="nil"/>
                              <w:left w:val="nil"/>
                              <w:bottom w:val="nil"/>
                              <w:right w:val="nil"/>
                            </w:tcBorders>
                            <w:hideMark/>
                          </w:tcPr>
                          <w:p w14:paraId="4EFC846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48701F9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107891D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7C8092F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6B93ED9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250EB976"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c>
                          <w:tcPr>
                            <w:tcW w:w="558" w:type="pct"/>
                            <w:tcBorders>
                              <w:top w:val="nil"/>
                              <w:left w:val="nil"/>
                              <w:bottom w:val="nil"/>
                              <w:right w:val="nil"/>
                            </w:tcBorders>
                            <w:hideMark/>
                          </w:tcPr>
                          <w:p w14:paraId="40EDA43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NM</w:t>
                            </w:r>
                          </w:p>
                        </w:tc>
                      </w:tr>
                      <w:tr w:rsidR="0062242B" w:rsidRPr="0062242B" w14:paraId="422FF3D9" w14:textId="77777777" w:rsidTr="0062242B">
                        <w:trPr>
                          <w:trHeight w:val="204"/>
                        </w:trPr>
                        <w:tc>
                          <w:tcPr>
                            <w:tcW w:w="1095" w:type="pct"/>
                            <w:tcBorders>
                              <w:top w:val="nil"/>
                              <w:left w:val="nil"/>
                              <w:bottom w:val="nil"/>
                              <w:right w:val="nil"/>
                            </w:tcBorders>
                            <w:noWrap/>
                            <w:hideMark/>
                          </w:tcPr>
                          <w:p w14:paraId="73137E29"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Total Debt/(EBITDA-CAPEX)</w:t>
                            </w:r>
                          </w:p>
                        </w:tc>
                        <w:tc>
                          <w:tcPr>
                            <w:tcW w:w="558" w:type="pct"/>
                            <w:tcBorders>
                              <w:top w:val="nil"/>
                              <w:left w:val="nil"/>
                              <w:bottom w:val="nil"/>
                              <w:right w:val="nil"/>
                            </w:tcBorders>
                            <w:hideMark/>
                          </w:tcPr>
                          <w:p w14:paraId="4DDBD34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2.1x</w:t>
                            </w:r>
                          </w:p>
                        </w:tc>
                        <w:tc>
                          <w:tcPr>
                            <w:tcW w:w="558" w:type="pct"/>
                            <w:tcBorders>
                              <w:top w:val="nil"/>
                              <w:left w:val="nil"/>
                              <w:bottom w:val="nil"/>
                              <w:right w:val="nil"/>
                            </w:tcBorders>
                            <w:hideMark/>
                          </w:tcPr>
                          <w:p w14:paraId="0544D8F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3D43EF25"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723A247F"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1.7x</w:t>
                            </w:r>
                          </w:p>
                        </w:tc>
                        <w:tc>
                          <w:tcPr>
                            <w:tcW w:w="558" w:type="pct"/>
                            <w:tcBorders>
                              <w:top w:val="nil"/>
                              <w:left w:val="nil"/>
                              <w:bottom w:val="nil"/>
                              <w:right w:val="nil"/>
                            </w:tcBorders>
                            <w:hideMark/>
                          </w:tcPr>
                          <w:p w14:paraId="3B9715F9"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1.5x</w:t>
                            </w:r>
                          </w:p>
                        </w:tc>
                        <w:tc>
                          <w:tcPr>
                            <w:tcW w:w="558" w:type="pct"/>
                            <w:tcBorders>
                              <w:top w:val="nil"/>
                              <w:left w:val="nil"/>
                              <w:bottom w:val="nil"/>
                              <w:right w:val="nil"/>
                            </w:tcBorders>
                            <w:hideMark/>
                          </w:tcPr>
                          <w:p w14:paraId="2E32B26C"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1.3x</w:t>
                            </w:r>
                          </w:p>
                        </w:tc>
                        <w:tc>
                          <w:tcPr>
                            <w:tcW w:w="558" w:type="pct"/>
                            <w:tcBorders>
                              <w:top w:val="nil"/>
                              <w:left w:val="nil"/>
                              <w:bottom w:val="nil"/>
                              <w:right w:val="nil"/>
                            </w:tcBorders>
                            <w:hideMark/>
                          </w:tcPr>
                          <w:p w14:paraId="69F39F37"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1.6x</w:t>
                            </w:r>
                          </w:p>
                        </w:tc>
                      </w:tr>
                      <w:tr w:rsidR="0062242B" w:rsidRPr="0062242B" w14:paraId="78B3A400" w14:textId="77777777" w:rsidTr="0062242B">
                        <w:trPr>
                          <w:trHeight w:val="204"/>
                        </w:trPr>
                        <w:tc>
                          <w:tcPr>
                            <w:tcW w:w="1095" w:type="pct"/>
                            <w:tcBorders>
                              <w:top w:val="nil"/>
                              <w:left w:val="nil"/>
                              <w:bottom w:val="nil"/>
                              <w:right w:val="nil"/>
                            </w:tcBorders>
                            <w:noWrap/>
                            <w:hideMark/>
                          </w:tcPr>
                          <w:p w14:paraId="44AA90C4" w14:textId="77777777" w:rsidR="0062242B" w:rsidRPr="0062242B" w:rsidRDefault="0062242B" w:rsidP="0062242B">
                            <w:pPr>
                              <w:spacing w:after="0" w:line="240" w:lineRule="auto"/>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Altman Z Score</w:t>
                            </w:r>
                          </w:p>
                        </w:tc>
                        <w:tc>
                          <w:tcPr>
                            <w:tcW w:w="558" w:type="pct"/>
                            <w:tcBorders>
                              <w:top w:val="nil"/>
                              <w:left w:val="nil"/>
                              <w:bottom w:val="nil"/>
                              <w:right w:val="nil"/>
                            </w:tcBorders>
                            <w:hideMark/>
                          </w:tcPr>
                          <w:p w14:paraId="5E808D3D"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6.02 </w:t>
                            </w:r>
                          </w:p>
                        </w:tc>
                        <w:tc>
                          <w:tcPr>
                            <w:tcW w:w="558" w:type="pct"/>
                            <w:tcBorders>
                              <w:top w:val="nil"/>
                              <w:left w:val="nil"/>
                              <w:bottom w:val="nil"/>
                              <w:right w:val="nil"/>
                            </w:tcBorders>
                            <w:hideMark/>
                          </w:tcPr>
                          <w:p w14:paraId="04B7356E"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5.97 </w:t>
                            </w:r>
                          </w:p>
                        </w:tc>
                        <w:tc>
                          <w:tcPr>
                            <w:tcW w:w="558" w:type="pct"/>
                            <w:tcBorders>
                              <w:top w:val="nil"/>
                              <w:left w:val="nil"/>
                              <w:bottom w:val="nil"/>
                              <w:right w:val="nil"/>
                            </w:tcBorders>
                            <w:hideMark/>
                          </w:tcPr>
                          <w:p w14:paraId="03896F6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5.79 </w:t>
                            </w:r>
                          </w:p>
                        </w:tc>
                        <w:tc>
                          <w:tcPr>
                            <w:tcW w:w="558" w:type="pct"/>
                            <w:tcBorders>
                              <w:top w:val="nil"/>
                              <w:left w:val="nil"/>
                              <w:bottom w:val="nil"/>
                              <w:right w:val="nil"/>
                            </w:tcBorders>
                            <w:hideMark/>
                          </w:tcPr>
                          <w:p w14:paraId="4A830C2B"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4.18 </w:t>
                            </w:r>
                          </w:p>
                        </w:tc>
                        <w:tc>
                          <w:tcPr>
                            <w:tcW w:w="558" w:type="pct"/>
                            <w:tcBorders>
                              <w:top w:val="nil"/>
                              <w:left w:val="nil"/>
                              <w:bottom w:val="nil"/>
                              <w:right w:val="nil"/>
                            </w:tcBorders>
                            <w:hideMark/>
                          </w:tcPr>
                          <w:p w14:paraId="2076BA5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3.01 </w:t>
                            </w:r>
                          </w:p>
                        </w:tc>
                        <w:tc>
                          <w:tcPr>
                            <w:tcW w:w="558" w:type="pct"/>
                            <w:tcBorders>
                              <w:top w:val="nil"/>
                              <w:left w:val="nil"/>
                              <w:bottom w:val="nil"/>
                              <w:right w:val="nil"/>
                            </w:tcBorders>
                            <w:hideMark/>
                          </w:tcPr>
                          <w:p w14:paraId="05D78AF4"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2.9 </w:t>
                            </w:r>
                          </w:p>
                        </w:tc>
                        <w:tc>
                          <w:tcPr>
                            <w:tcW w:w="558" w:type="pct"/>
                            <w:tcBorders>
                              <w:top w:val="nil"/>
                              <w:left w:val="nil"/>
                              <w:bottom w:val="nil"/>
                              <w:right w:val="nil"/>
                            </w:tcBorders>
                            <w:hideMark/>
                          </w:tcPr>
                          <w:p w14:paraId="38FA62F8" w14:textId="77777777" w:rsidR="0062242B" w:rsidRPr="0062242B" w:rsidRDefault="0062242B" w:rsidP="0062242B">
                            <w:pPr>
                              <w:spacing w:after="0" w:line="240" w:lineRule="auto"/>
                              <w:jc w:val="right"/>
                              <w:rPr>
                                <w:rFonts w:ascii="Cambria" w:eastAsia="Times New Roman" w:hAnsi="Cambria" w:cs="Arial"/>
                                <w:color w:val="000000"/>
                                <w:kern w:val="0"/>
                                <w:sz w:val="16"/>
                                <w:szCs w:val="16"/>
                                <w:lang w:eastAsia="en-IN"/>
                                <w14:ligatures w14:val="none"/>
                              </w:rPr>
                            </w:pPr>
                            <w:r w:rsidRPr="0062242B">
                              <w:rPr>
                                <w:rFonts w:ascii="Cambria" w:eastAsia="Times New Roman" w:hAnsi="Cambria" w:cs="Arial"/>
                                <w:color w:val="000000"/>
                                <w:kern w:val="0"/>
                                <w:sz w:val="16"/>
                                <w:szCs w:val="16"/>
                                <w:lang w:eastAsia="en-IN"/>
                                <w14:ligatures w14:val="none"/>
                              </w:rPr>
                              <w:t xml:space="preserve">                        2.54 </w:t>
                            </w:r>
                          </w:p>
                        </w:tc>
                      </w:tr>
                    </w:tbl>
                    <w:p w14:paraId="2D2618BA" w14:textId="45A6F5C3" w:rsidR="0062242B" w:rsidRDefault="0062242B"/>
                  </w:txbxContent>
                </v:textbox>
                <w10:wrap type="square" anchorx="margin"/>
              </v:shape>
            </w:pict>
          </mc:Fallback>
        </mc:AlternateContent>
      </w:r>
      <w:r w:rsidR="0062242B" w:rsidRPr="00456405">
        <w:rPr>
          <w:rFonts w:ascii="Cambria" w:hAnsi="Cambria"/>
          <w:b/>
          <w:bCs/>
          <w:sz w:val="24"/>
          <w:szCs w:val="24"/>
        </w:rPr>
        <w:br/>
      </w:r>
      <w:r w:rsidR="00166A40" w:rsidRPr="00456405">
        <w:rPr>
          <w:rFonts w:ascii="Cambria" w:hAnsi="Cambria"/>
          <w:b/>
          <w:bCs/>
          <w:sz w:val="24"/>
          <w:szCs w:val="24"/>
        </w:rPr>
        <w:br/>
      </w:r>
      <w:r w:rsidR="00166A40" w:rsidRPr="00456405">
        <w:rPr>
          <w:rFonts w:ascii="Cambria" w:hAnsi="Cambria"/>
          <w:b/>
          <w:bCs/>
          <w:sz w:val="24"/>
          <w:szCs w:val="24"/>
        </w:rPr>
        <w:br/>
      </w:r>
      <w:r w:rsidR="00166A40" w:rsidRPr="00456405">
        <w:rPr>
          <w:rFonts w:ascii="Cambria" w:hAnsi="Cambria"/>
          <w:b/>
          <w:bCs/>
          <w:sz w:val="24"/>
          <w:szCs w:val="24"/>
        </w:rPr>
        <w:br/>
      </w:r>
      <w:r w:rsidR="00166A40" w:rsidRPr="00456405">
        <w:rPr>
          <w:rFonts w:ascii="Cambria" w:hAnsi="Cambria"/>
          <w:b/>
          <w:bCs/>
          <w:sz w:val="24"/>
          <w:szCs w:val="24"/>
        </w:rPr>
        <w:br/>
      </w:r>
      <w:r w:rsidR="00166A40" w:rsidRPr="00456405">
        <w:rPr>
          <w:rFonts w:ascii="Cambria" w:hAnsi="Cambria"/>
          <w:b/>
          <w:bCs/>
          <w:noProof/>
          <w:sz w:val="24"/>
          <w:szCs w:val="24"/>
        </w:rPr>
        <w:lastRenderedPageBreak/>
        <mc:AlternateContent>
          <mc:Choice Requires="wps">
            <w:drawing>
              <wp:anchor distT="45720" distB="45720" distL="114300" distR="114300" simplePos="0" relativeHeight="251722752" behindDoc="0" locked="0" layoutInCell="1" allowOverlap="1" wp14:anchorId="297E6E65" wp14:editId="724381FC">
                <wp:simplePos x="0" y="0"/>
                <wp:positionH relativeFrom="margin">
                  <wp:align>left</wp:align>
                </wp:positionH>
                <wp:positionV relativeFrom="paragraph">
                  <wp:posOffset>0</wp:posOffset>
                </wp:positionV>
                <wp:extent cx="6164580" cy="1404620"/>
                <wp:effectExtent l="0" t="0" r="7620" b="6985"/>
                <wp:wrapSquare wrapText="bothSides"/>
                <wp:docPr id="212857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404620"/>
                        </a:xfrm>
                        <a:prstGeom prst="rect">
                          <a:avLst/>
                        </a:prstGeom>
                        <a:solidFill>
                          <a:srgbClr val="FFFFFF"/>
                        </a:solidFill>
                        <a:ln w="9525">
                          <a:noFill/>
                          <a:miter lim="800000"/>
                          <a:headEnd/>
                          <a:tailEnd/>
                        </a:ln>
                      </wps:spPr>
                      <wps:txbx>
                        <w:txbxContent>
                          <w:tbl>
                            <w:tblPr>
                              <w:tblW w:w="4920" w:type="pct"/>
                              <w:tblLook w:val="04A0" w:firstRow="1" w:lastRow="0" w:firstColumn="1" w:lastColumn="0" w:noHBand="0" w:noVBand="1"/>
                            </w:tblPr>
                            <w:tblGrid>
                              <w:gridCol w:w="2481"/>
                              <w:gridCol w:w="990"/>
                              <w:gridCol w:w="990"/>
                              <w:gridCol w:w="992"/>
                              <w:gridCol w:w="994"/>
                              <w:gridCol w:w="1066"/>
                              <w:gridCol w:w="997"/>
                              <w:gridCol w:w="760"/>
                            </w:tblGrid>
                            <w:tr w:rsidR="00166A40" w:rsidRPr="00166A40" w14:paraId="5804CBDB" w14:textId="77777777" w:rsidTr="00166A40">
                              <w:trPr>
                                <w:trHeight w:val="311"/>
                              </w:trPr>
                              <w:tc>
                                <w:tcPr>
                                  <w:tcW w:w="4590" w:type="pct"/>
                                  <w:gridSpan w:val="7"/>
                                  <w:tcBorders>
                                    <w:top w:val="nil"/>
                                    <w:left w:val="nil"/>
                                    <w:bottom w:val="nil"/>
                                    <w:right w:val="nil"/>
                                  </w:tcBorders>
                                  <w:noWrap/>
                                  <w:vAlign w:val="bottom"/>
                                  <w:hideMark/>
                                </w:tcPr>
                                <w:p w14:paraId="1111B9C7"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Alibaba Group Holding Limited (</w:t>
                                  </w:r>
                                  <w:r w:rsidRPr="00166A40">
                                    <w:rPr>
                                      <w:rFonts w:ascii="Cambria" w:eastAsia="Times New Roman" w:hAnsi="Cambria" w:cs="Arial"/>
                                      <w:b/>
                                      <w:bCs/>
                                      <w:color w:val="000000"/>
                                      <w:kern w:val="0"/>
                                      <w:sz w:val="14"/>
                                      <w:szCs w:val="14"/>
                                      <w:lang w:eastAsia="en-IN"/>
                                      <w14:ligatures w14:val="none"/>
                                    </w:rPr>
                                    <w:t>NYSE:BABA) &gt; Financials &gt; Income Statement</w:t>
                                  </w:r>
                                </w:p>
                                <w:p w14:paraId="7078CC7C"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410" w:type="pct"/>
                                  <w:tcBorders>
                                    <w:top w:val="nil"/>
                                    <w:left w:val="nil"/>
                                    <w:bottom w:val="nil"/>
                                    <w:right w:val="nil"/>
                                  </w:tcBorders>
                                  <w:noWrap/>
                                  <w:vAlign w:val="bottom"/>
                                  <w:hideMark/>
                                </w:tcPr>
                                <w:p w14:paraId="6549B72B"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r>
                            <w:tr w:rsidR="00166A40" w:rsidRPr="00166A40" w14:paraId="39ACCE86" w14:textId="77777777" w:rsidTr="00166A40">
                              <w:trPr>
                                <w:trHeight w:val="196"/>
                              </w:trPr>
                              <w:tc>
                                <w:tcPr>
                                  <w:tcW w:w="1338" w:type="pct"/>
                                  <w:tcBorders>
                                    <w:top w:val="nil"/>
                                    <w:left w:val="nil"/>
                                    <w:bottom w:val="nil"/>
                                    <w:right w:val="nil"/>
                                  </w:tcBorders>
                                  <w:shd w:val="clear" w:color="000000" w:fill="003366"/>
                                  <w:noWrap/>
                                  <w:vAlign w:val="bottom"/>
                                  <w:hideMark/>
                                </w:tcPr>
                                <w:p w14:paraId="4B0D653A"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Income Statement</w:t>
                                  </w:r>
                                </w:p>
                              </w:tc>
                              <w:tc>
                                <w:tcPr>
                                  <w:tcW w:w="534" w:type="pct"/>
                                  <w:tcBorders>
                                    <w:top w:val="nil"/>
                                    <w:left w:val="nil"/>
                                    <w:bottom w:val="nil"/>
                                    <w:right w:val="nil"/>
                                  </w:tcBorders>
                                  <w:shd w:val="clear" w:color="000000" w:fill="003366"/>
                                  <w:noWrap/>
                                  <w:vAlign w:val="bottom"/>
                                  <w:hideMark/>
                                </w:tcPr>
                                <w:p w14:paraId="5BF145A6"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5209DA81"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5" w:type="pct"/>
                                  <w:tcBorders>
                                    <w:top w:val="nil"/>
                                    <w:left w:val="nil"/>
                                    <w:bottom w:val="nil"/>
                                    <w:right w:val="nil"/>
                                  </w:tcBorders>
                                  <w:shd w:val="clear" w:color="000000" w:fill="003366"/>
                                  <w:noWrap/>
                                  <w:vAlign w:val="bottom"/>
                                  <w:hideMark/>
                                </w:tcPr>
                                <w:p w14:paraId="5F10619A"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6" w:type="pct"/>
                                  <w:tcBorders>
                                    <w:top w:val="nil"/>
                                    <w:left w:val="nil"/>
                                    <w:bottom w:val="nil"/>
                                    <w:right w:val="nil"/>
                                  </w:tcBorders>
                                  <w:shd w:val="clear" w:color="000000" w:fill="003366"/>
                                  <w:noWrap/>
                                  <w:vAlign w:val="bottom"/>
                                  <w:hideMark/>
                                </w:tcPr>
                                <w:p w14:paraId="127D298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75" w:type="pct"/>
                                  <w:tcBorders>
                                    <w:top w:val="nil"/>
                                    <w:left w:val="nil"/>
                                    <w:bottom w:val="nil"/>
                                    <w:right w:val="nil"/>
                                  </w:tcBorders>
                                  <w:shd w:val="clear" w:color="000000" w:fill="003366"/>
                                  <w:noWrap/>
                                  <w:vAlign w:val="bottom"/>
                                  <w:hideMark/>
                                </w:tcPr>
                                <w:p w14:paraId="66AE54E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8" w:type="pct"/>
                                  <w:tcBorders>
                                    <w:top w:val="nil"/>
                                    <w:left w:val="nil"/>
                                    <w:bottom w:val="nil"/>
                                    <w:right w:val="nil"/>
                                  </w:tcBorders>
                                  <w:shd w:val="clear" w:color="000000" w:fill="003366"/>
                                  <w:noWrap/>
                                  <w:vAlign w:val="bottom"/>
                                  <w:hideMark/>
                                </w:tcPr>
                                <w:p w14:paraId="48FB818C"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410" w:type="pct"/>
                                  <w:tcBorders>
                                    <w:top w:val="nil"/>
                                    <w:left w:val="nil"/>
                                    <w:bottom w:val="nil"/>
                                    <w:right w:val="nil"/>
                                  </w:tcBorders>
                                  <w:shd w:val="clear" w:color="000000" w:fill="003366"/>
                                  <w:noWrap/>
                                  <w:vAlign w:val="bottom"/>
                                  <w:hideMark/>
                                </w:tcPr>
                                <w:p w14:paraId="73A5C61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r>
                            <w:tr w:rsidR="00166A40" w:rsidRPr="00166A40" w14:paraId="61D67385" w14:textId="77777777" w:rsidTr="00166A40">
                              <w:trPr>
                                <w:trHeight w:val="589"/>
                              </w:trPr>
                              <w:tc>
                                <w:tcPr>
                                  <w:tcW w:w="1338" w:type="pct"/>
                                  <w:tcBorders>
                                    <w:top w:val="nil"/>
                                    <w:left w:val="nil"/>
                                    <w:bottom w:val="nil"/>
                                    <w:right w:val="nil"/>
                                  </w:tcBorders>
                                  <w:shd w:val="clear" w:color="000000" w:fill="F0F0DC"/>
                                  <w:vAlign w:val="bottom"/>
                                  <w:hideMark/>
                                </w:tcPr>
                                <w:p w14:paraId="357BBBD4"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For the Fiscal Period Ending</w:t>
                                  </w:r>
                                </w:p>
                              </w:tc>
                              <w:tc>
                                <w:tcPr>
                                  <w:tcW w:w="534" w:type="pct"/>
                                  <w:tcBorders>
                                    <w:top w:val="nil"/>
                                    <w:left w:val="nil"/>
                                    <w:bottom w:val="nil"/>
                                    <w:right w:val="nil"/>
                                  </w:tcBorders>
                                  <w:shd w:val="clear" w:color="000000" w:fill="F0F0DC"/>
                                  <w:vAlign w:val="bottom"/>
                                  <w:hideMark/>
                                </w:tcPr>
                                <w:p w14:paraId="66E182F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Mar-31-2019</w:t>
                                  </w:r>
                                </w:p>
                              </w:tc>
                              <w:tc>
                                <w:tcPr>
                                  <w:tcW w:w="534" w:type="pct"/>
                                  <w:tcBorders>
                                    <w:top w:val="nil"/>
                                    <w:left w:val="nil"/>
                                    <w:bottom w:val="nil"/>
                                    <w:right w:val="nil"/>
                                  </w:tcBorders>
                                  <w:shd w:val="clear" w:color="000000" w:fill="F0F0DC"/>
                                  <w:vAlign w:val="bottom"/>
                                  <w:hideMark/>
                                </w:tcPr>
                                <w:p w14:paraId="746B0EF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Mar-31-2020</w:t>
                                  </w:r>
                                </w:p>
                              </w:tc>
                              <w:tc>
                                <w:tcPr>
                                  <w:tcW w:w="535" w:type="pct"/>
                                  <w:tcBorders>
                                    <w:top w:val="nil"/>
                                    <w:left w:val="nil"/>
                                    <w:bottom w:val="nil"/>
                                    <w:right w:val="nil"/>
                                  </w:tcBorders>
                                  <w:shd w:val="clear" w:color="000000" w:fill="F0F0DC"/>
                                  <w:vAlign w:val="bottom"/>
                                  <w:hideMark/>
                                </w:tcPr>
                                <w:p w14:paraId="4A2AA2A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Mar-31-2021</w:t>
                                  </w:r>
                                </w:p>
                              </w:tc>
                              <w:tc>
                                <w:tcPr>
                                  <w:tcW w:w="536" w:type="pct"/>
                                  <w:tcBorders>
                                    <w:top w:val="nil"/>
                                    <w:left w:val="nil"/>
                                    <w:bottom w:val="nil"/>
                                    <w:right w:val="nil"/>
                                  </w:tcBorders>
                                  <w:shd w:val="clear" w:color="000000" w:fill="F0F0DC"/>
                                  <w:vAlign w:val="bottom"/>
                                  <w:hideMark/>
                                </w:tcPr>
                                <w:p w14:paraId="60AFAB7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Mar-31-2022</w:t>
                                  </w:r>
                                </w:p>
                              </w:tc>
                              <w:tc>
                                <w:tcPr>
                                  <w:tcW w:w="575" w:type="pct"/>
                                  <w:tcBorders>
                                    <w:top w:val="nil"/>
                                    <w:left w:val="nil"/>
                                    <w:bottom w:val="nil"/>
                                    <w:right w:val="nil"/>
                                  </w:tcBorders>
                                  <w:shd w:val="clear" w:color="000000" w:fill="F0F0DC"/>
                                  <w:vAlign w:val="bottom"/>
                                  <w:hideMark/>
                                </w:tcPr>
                                <w:p w14:paraId="4E523EF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Reclassified</w:t>
                                  </w:r>
                                  <w:r w:rsidRPr="00166A40">
                                    <w:rPr>
                                      <w:rFonts w:ascii="Cambria" w:eastAsia="Times New Roman" w:hAnsi="Cambria" w:cs="Arial"/>
                                      <w:b/>
                                      <w:bCs/>
                                      <w:color w:val="000000"/>
                                      <w:kern w:val="0"/>
                                      <w:sz w:val="14"/>
                                      <w:szCs w:val="14"/>
                                      <w:lang w:eastAsia="en-IN"/>
                                      <w14:ligatures w14:val="none"/>
                                    </w:rPr>
                                    <w:br/>
                                    <w:t>12 months</w:t>
                                  </w:r>
                                  <w:r w:rsidRPr="00166A40">
                                    <w:rPr>
                                      <w:rFonts w:ascii="Cambria" w:eastAsia="Times New Roman" w:hAnsi="Cambria" w:cs="Arial"/>
                                      <w:b/>
                                      <w:bCs/>
                                      <w:color w:val="000000"/>
                                      <w:kern w:val="0"/>
                                      <w:sz w:val="14"/>
                                      <w:szCs w:val="14"/>
                                      <w:lang w:eastAsia="en-IN"/>
                                      <w14:ligatures w14:val="none"/>
                                    </w:rPr>
                                    <w:br/>
                                    <w:t>Mar-31-2023</w:t>
                                  </w:r>
                                </w:p>
                              </w:tc>
                              <w:tc>
                                <w:tcPr>
                                  <w:tcW w:w="538" w:type="pct"/>
                                  <w:tcBorders>
                                    <w:top w:val="nil"/>
                                    <w:left w:val="nil"/>
                                    <w:bottom w:val="nil"/>
                                    <w:right w:val="nil"/>
                                  </w:tcBorders>
                                  <w:shd w:val="clear" w:color="000000" w:fill="F0F0DC"/>
                                  <w:vAlign w:val="bottom"/>
                                  <w:hideMark/>
                                </w:tcPr>
                                <w:p w14:paraId="4447375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Mar-31-2024</w:t>
                                  </w:r>
                                </w:p>
                              </w:tc>
                              <w:tc>
                                <w:tcPr>
                                  <w:tcW w:w="410" w:type="pct"/>
                                  <w:tcBorders>
                                    <w:top w:val="nil"/>
                                    <w:left w:val="nil"/>
                                    <w:bottom w:val="nil"/>
                                    <w:right w:val="nil"/>
                                  </w:tcBorders>
                                  <w:shd w:val="clear" w:color="000000" w:fill="F0F0DC"/>
                                  <w:vAlign w:val="bottom"/>
                                  <w:hideMark/>
                                </w:tcPr>
                                <w:p w14:paraId="7B21FC3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LTM</w:t>
                                  </w:r>
                                  <w:r w:rsidRPr="00166A40">
                                    <w:rPr>
                                      <w:rFonts w:ascii="Cambria" w:eastAsia="Times New Roman" w:hAnsi="Cambria" w:cs="Arial"/>
                                      <w:b/>
                                      <w:bCs/>
                                      <w:color w:val="000000"/>
                                      <w:kern w:val="0"/>
                                      <w:sz w:val="14"/>
                                      <w:szCs w:val="14"/>
                                      <w:lang w:eastAsia="en-IN"/>
                                      <w14:ligatures w14:val="none"/>
                                    </w:rPr>
                                    <w:br/>
                                    <w:t>12 months</w:t>
                                  </w:r>
                                  <w:r w:rsidRPr="00166A40">
                                    <w:rPr>
                                      <w:rFonts w:ascii="Cambria" w:eastAsia="Times New Roman" w:hAnsi="Cambria" w:cs="Arial"/>
                                      <w:b/>
                                      <w:bCs/>
                                      <w:color w:val="000000"/>
                                      <w:kern w:val="0"/>
                                      <w:sz w:val="14"/>
                                      <w:szCs w:val="14"/>
                                      <w:lang w:eastAsia="en-IN"/>
                                      <w14:ligatures w14:val="none"/>
                                    </w:rPr>
                                    <w:br/>
                                    <w:t>Dec-31-2024</w:t>
                                  </w:r>
                                </w:p>
                              </w:tc>
                            </w:tr>
                            <w:tr w:rsidR="00166A40" w:rsidRPr="00166A40" w14:paraId="4CC27E29" w14:textId="77777777" w:rsidTr="00166A40">
                              <w:trPr>
                                <w:trHeight w:val="196"/>
                              </w:trPr>
                              <w:tc>
                                <w:tcPr>
                                  <w:tcW w:w="1338" w:type="pct"/>
                                  <w:tcBorders>
                                    <w:top w:val="nil"/>
                                    <w:left w:val="nil"/>
                                    <w:bottom w:val="nil"/>
                                    <w:right w:val="nil"/>
                                  </w:tcBorders>
                                  <w:shd w:val="clear" w:color="000000" w:fill="F0F0DC"/>
                                  <w:vAlign w:val="bottom"/>
                                  <w:hideMark/>
                                </w:tcPr>
                                <w:p w14:paraId="7B1A9A8B" w14:textId="77777777" w:rsidR="00166A40" w:rsidRPr="00166A40" w:rsidRDefault="00166A40" w:rsidP="00166A40">
                                  <w:pPr>
                                    <w:spacing w:after="0" w:line="240" w:lineRule="auto"/>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Currency</w:t>
                                  </w:r>
                                </w:p>
                              </w:tc>
                              <w:tc>
                                <w:tcPr>
                                  <w:tcW w:w="534" w:type="pct"/>
                                  <w:tcBorders>
                                    <w:top w:val="nil"/>
                                    <w:left w:val="nil"/>
                                    <w:bottom w:val="nil"/>
                                    <w:right w:val="nil"/>
                                  </w:tcBorders>
                                  <w:shd w:val="clear" w:color="000000" w:fill="F0F0DC"/>
                                  <w:vAlign w:val="bottom"/>
                                  <w:hideMark/>
                                </w:tcPr>
                                <w:p w14:paraId="46A7AF8C"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2A065AD0"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5" w:type="pct"/>
                                  <w:tcBorders>
                                    <w:top w:val="nil"/>
                                    <w:left w:val="nil"/>
                                    <w:bottom w:val="nil"/>
                                    <w:right w:val="nil"/>
                                  </w:tcBorders>
                                  <w:shd w:val="clear" w:color="000000" w:fill="F0F0DC"/>
                                  <w:vAlign w:val="bottom"/>
                                  <w:hideMark/>
                                </w:tcPr>
                                <w:p w14:paraId="50D6A5F1"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6" w:type="pct"/>
                                  <w:tcBorders>
                                    <w:top w:val="nil"/>
                                    <w:left w:val="nil"/>
                                    <w:bottom w:val="nil"/>
                                    <w:right w:val="nil"/>
                                  </w:tcBorders>
                                  <w:shd w:val="clear" w:color="000000" w:fill="F0F0DC"/>
                                  <w:vAlign w:val="bottom"/>
                                  <w:hideMark/>
                                </w:tcPr>
                                <w:p w14:paraId="55A8FA39"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75" w:type="pct"/>
                                  <w:tcBorders>
                                    <w:top w:val="nil"/>
                                    <w:left w:val="nil"/>
                                    <w:bottom w:val="nil"/>
                                    <w:right w:val="nil"/>
                                  </w:tcBorders>
                                  <w:shd w:val="clear" w:color="000000" w:fill="F0F0DC"/>
                                  <w:vAlign w:val="bottom"/>
                                  <w:hideMark/>
                                </w:tcPr>
                                <w:p w14:paraId="4E943738"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8" w:type="pct"/>
                                  <w:tcBorders>
                                    <w:top w:val="nil"/>
                                    <w:left w:val="nil"/>
                                    <w:bottom w:val="nil"/>
                                    <w:right w:val="nil"/>
                                  </w:tcBorders>
                                  <w:shd w:val="clear" w:color="000000" w:fill="F0F0DC"/>
                                  <w:vAlign w:val="bottom"/>
                                  <w:hideMark/>
                                </w:tcPr>
                                <w:p w14:paraId="2717495E"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410" w:type="pct"/>
                                  <w:tcBorders>
                                    <w:top w:val="nil"/>
                                    <w:left w:val="nil"/>
                                    <w:bottom w:val="nil"/>
                                    <w:right w:val="nil"/>
                                  </w:tcBorders>
                                  <w:shd w:val="clear" w:color="000000" w:fill="F0F0DC"/>
                                  <w:vAlign w:val="bottom"/>
                                  <w:hideMark/>
                                </w:tcPr>
                                <w:p w14:paraId="436675D0"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r>
                            <w:tr w:rsidR="00166A40" w:rsidRPr="00166A40" w14:paraId="49C3180B" w14:textId="77777777" w:rsidTr="00166A40">
                              <w:trPr>
                                <w:trHeight w:val="196"/>
                              </w:trPr>
                              <w:tc>
                                <w:tcPr>
                                  <w:tcW w:w="1338" w:type="pct"/>
                                  <w:tcBorders>
                                    <w:top w:val="nil"/>
                                    <w:left w:val="nil"/>
                                    <w:bottom w:val="nil"/>
                                    <w:right w:val="nil"/>
                                  </w:tcBorders>
                                  <w:noWrap/>
                                  <w:hideMark/>
                                </w:tcPr>
                                <w:p w14:paraId="5C6EBD50"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Revenue</w:t>
                                  </w:r>
                                </w:p>
                              </w:tc>
                              <w:tc>
                                <w:tcPr>
                                  <w:tcW w:w="534" w:type="pct"/>
                                  <w:tcBorders>
                                    <w:top w:val="nil"/>
                                    <w:left w:val="nil"/>
                                    <w:bottom w:val="nil"/>
                                    <w:right w:val="nil"/>
                                  </w:tcBorders>
                                  <w:hideMark/>
                                </w:tcPr>
                                <w:p w14:paraId="1F619EC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56.1 </w:t>
                                  </w:r>
                                </w:p>
                              </w:tc>
                              <w:tc>
                                <w:tcPr>
                                  <w:tcW w:w="534" w:type="pct"/>
                                  <w:tcBorders>
                                    <w:top w:val="nil"/>
                                    <w:left w:val="nil"/>
                                    <w:bottom w:val="nil"/>
                                    <w:right w:val="nil"/>
                                  </w:tcBorders>
                                  <w:hideMark/>
                                </w:tcPr>
                                <w:p w14:paraId="7F14DD4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72.0 </w:t>
                                  </w:r>
                                </w:p>
                              </w:tc>
                              <w:tc>
                                <w:tcPr>
                                  <w:tcW w:w="535" w:type="pct"/>
                                  <w:tcBorders>
                                    <w:top w:val="nil"/>
                                    <w:left w:val="nil"/>
                                    <w:bottom w:val="nil"/>
                                    <w:right w:val="nil"/>
                                  </w:tcBorders>
                                  <w:hideMark/>
                                </w:tcPr>
                                <w:p w14:paraId="5E7AEF3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109.5 </w:t>
                                  </w:r>
                                </w:p>
                              </w:tc>
                              <w:tc>
                                <w:tcPr>
                                  <w:tcW w:w="536" w:type="pct"/>
                                  <w:tcBorders>
                                    <w:top w:val="nil"/>
                                    <w:left w:val="nil"/>
                                    <w:bottom w:val="nil"/>
                                    <w:right w:val="nil"/>
                                  </w:tcBorders>
                                  <w:hideMark/>
                                </w:tcPr>
                                <w:p w14:paraId="2D3746B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134.6 </w:t>
                                  </w:r>
                                </w:p>
                              </w:tc>
                              <w:tc>
                                <w:tcPr>
                                  <w:tcW w:w="575" w:type="pct"/>
                                  <w:tcBorders>
                                    <w:top w:val="nil"/>
                                    <w:left w:val="nil"/>
                                    <w:bottom w:val="nil"/>
                                    <w:right w:val="nil"/>
                                  </w:tcBorders>
                                  <w:hideMark/>
                                </w:tcPr>
                                <w:p w14:paraId="3CA1272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126.5 </w:t>
                                  </w:r>
                                </w:p>
                              </w:tc>
                              <w:tc>
                                <w:tcPr>
                                  <w:tcW w:w="538" w:type="pct"/>
                                  <w:tcBorders>
                                    <w:top w:val="nil"/>
                                    <w:left w:val="nil"/>
                                    <w:bottom w:val="nil"/>
                                    <w:right w:val="nil"/>
                                  </w:tcBorders>
                                  <w:hideMark/>
                                </w:tcPr>
                                <w:p w14:paraId="0D69193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130.3 </w:t>
                                  </w:r>
                                </w:p>
                              </w:tc>
                              <w:tc>
                                <w:tcPr>
                                  <w:tcW w:w="410" w:type="pct"/>
                                  <w:tcBorders>
                                    <w:top w:val="nil"/>
                                    <w:left w:val="nil"/>
                                    <w:bottom w:val="nil"/>
                                    <w:right w:val="nil"/>
                                  </w:tcBorders>
                                  <w:hideMark/>
                                </w:tcPr>
                                <w:p w14:paraId="13F8C5A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134.5 </w:t>
                                  </w:r>
                                </w:p>
                              </w:tc>
                            </w:tr>
                            <w:tr w:rsidR="00166A40" w:rsidRPr="00166A40" w14:paraId="03ACC754" w14:textId="77777777" w:rsidTr="00166A40">
                              <w:trPr>
                                <w:trHeight w:val="196"/>
                              </w:trPr>
                              <w:tc>
                                <w:tcPr>
                                  <w:tcW w:w="1338" w:type="pct"/>
                                  <w:tcBorders>
                                    <w:top w:val="nil"/>
                                    <w:left w:val="nil"/>
                                    <w:bottom w:val="nil"/>
                                    <w:right w:val="nil"/>
                                  </w:tcBorders>
                                  <w:noWrap/>
                                  <w:hideMark/>
                                </w:tcPr>
                                <w:p w14:paraId="5C7E3450"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Total Revenue</w:t>
                                  </w:r>
                                </w:p>
                              </w:tc>
                              <w:tc>
                                <w:tcPr>
                                  <w:tcW w:w="534" w:type="pct"/>
                                  <w:tcBorders>
                                    <w:top w:val="single" w:sz="4" w:space="0" w:color="000000"/>
                                    <w:left w:val="nil"/>
                                    <w:bottom w:val="nil"/>
                                    <w:right w:val="nil"/>
                                  </w:tcBorders>
                                  <w:hideMark/>
                                </w:tcPr>
                                <w:p w14:paraId="70A9C47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56.1 </w:t>
                                  </w:r>
                                </w:p>
                              </w:tc>
                              <w:tc>
                                <w:tcPr>
                                  <w:tcW w:w="534" w:type="pct"/>
                                  <w:tcBorders>
                                    <w:top w:val="single" w:sz="4" w:space="0" w:color="000000"/>
                                    <w:left w:val="nil"/>
                                    <w:bottom w:val="nil"/>
                                    <w:right w:val="nil"/>
                                  </w:tcBorders>
                                  <w:hideMark/>
                                </w:tcPr>
                                <w:p w14:paraId="3BE3F10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72.0 </w:t>
                                  </w:r>
                                </w:p>
                              </w:tc>
                              <w:tc>
                                <w:tcPr>
                                  <w:tcW w:w="535" w:type="pct"/>
                                  <w:tcBorders>
                                    <w:top w:val="single" w:sz="4" w:space="0" w:color="000000"/>
                                    <w:left w:val="nil"/>
                                    <w:bottom w:val="nil"/>
                                    <w:right w:val="nil"/>
                                  </w:tcBorders>
                                  <w:hideMark/>
                                </w:tcPr>
                                <w:p w14:paraId="32A2C96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109.5 </w:t>
                                  </w:r>
                                </w:p>
                              </w:tc>
                              <w:tc>
                                <w:tcPr>
                                  <w:tcW w:w="536" w:type="pct"/>
                                  <w:tcBorders>
                                    <w:top w:val="single" w:sz="4" w:space="0" w:color="000000"/>
                                    <w:left w:val="nil"/>
                                    <w:bottom w:val="nil"/>
                                    <w:right w:val="nil"/>
                                  </w:tcBorders>
                                  <w:hideMark/>
                                </w:tcPr>
                                <w:p w14:paraId="2A1533C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134.6 </w:t>
                                  </w:r>
                                </w:p>
                              </w:tc>
                              <w:tc>
                                <w:tcPr>
                                  <w:tcW w:w="575" w:type="pct"/>
                                  <w:tcBorders>
                                    <w:top w:val="single" w:sz="4" w:space="0" w:color="000000"/>
                                    <w:left w:val="nil"/>
                                    <w:bottom w:val="nil"/>
                                    <w:right w:val="nil"/>
                                  </w:tcBorders>
                                  <w:hideMark/>
                                </w:tcPr>
                                <w:p w14:paraId="0A71594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126.5 </w:t>
                                  </w:r>
                                </w:p>
                              </w:tc>
                              <w:tc>
                                <w:tcPr>
                                  <w:tcW w:w="538" w:type="pct"/>
                                  <w:tcBorders>
                                    <w:top w:val="single" w:sz="4" w:space="0" w:color="000000"/>
                                    <w:left w:val="nil"/>
                                    <w:bottom w:val="nil"/>
                                    <w:right w:val="nil"/>
                                  </w:tcBorders>
                                  <w:hideMark/>
                                </w:tcPr>
                                <w:p w14:paraId="397BB54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130.3 </w:t>
                                  </w:r>
                                </w:p>
                              </w:tc>
                              <w:tc>
                                <w:tcPr>
                                  <w:tcW w:w="410" w:type="pct"/>
                                  <w:tcBorders>
                                    <w:top w:val="single" w:sz="4" w:space="0" w:color="000000"/>
                                    <w:left w:val="nil"/>
                                    <w:bottom w:val="nil"/>
                                    <w:right w:val="nil"/>
                                  </w:tcBorders>
                                  <w:hideMark/>
                                </w:tcPr>
                                <w:p w14:paraId="59E6BB5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134.5 </w:t>
                                  </w:r>
                                </w:p>
                              </w:tc>
                            </w:tr>
                            <w:tr w:rsidR="00166A40" w:rsidRPr="00166A40" w14:paraId="18C59BC8" w14:textId="77777777" w:rsidTr="00166A40">
                              <w:trPr>
                                <w:trHeight w:val="196"/>
                              </w:trPr>
                              <w:tc>
                                <w:tcPr>
                                  <w:tcW w:w="1338" w:type="pct"/>
                                  <w:tcBorders>
                                    <w:top w:val="nil"/>
                                    <w:left w:val="nil"/>
                                    <w:bottom w:val="nil"/>
                                    <w:right w:val="nil"/>
                                  </w:tcBorders>
                                  <w:noWrap/>
                                  <w:hideMark/>
                                </w:tcPr>
                                <w:p w14:paraId="16679E2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Cost Of Goods Sold</w:t>
                                  </w:r>
                                </w:p>
                              </w:tc>
                              <w:tc>
                                <w:tcPr>
                                  <w:tcW w:w="534" w:type="pct"/>
                                  <w:tcBorders>
                                    <w:top w:val="nil"/>
                                    <w:left w:val="nil"/>
                                    <w:bottom w:val="nil"/>
                                    <w:right w:val="nil"/>
                                  </w:tcBorders>
                                  <w:hideMark/>
                                </w:tcPr>
                                <w:p w14:paraId="202A562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30.4 </w:t>
                                  </w:r>
                                </w:p>
                              </w:tc>
                              <w:tc>
                                <w:tcPr>
                                  <w:tcW w:w="534" w:type="pct"/>
                                  <w:tcBorders>
                                    <w:top w:val="nil"/>
                                    <w:left w:val="nil"/>
                                    <w:bottom w:val="nil"/>
                                    <w:right w:val="nil"/>
                                  </w:tcBorders>
                                  <w:hideMark/>
                                </w:tcPr>
                                <w:p w14:paraId="133884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39.5 </w:t>
                                  </w:r>
                                </w:p>
                              </w:tc>
                              <w:tc>
                                <w:tcPr>
                                  <w:tcW w:w="535" w:type="pct"/>
                                  <w:tcBorders>
                                    <w:top w:val="nil"/>
                                    <w:left w:val="nil"/>
                                    <w:bottom w:val="nil"/>
                                    <w:right w:val="nil"/>
                                  </w:tcBorders>
                                  <w:hideMark/>
                                </w:tcPr>
                                <w:p w14:paraId="7A51CD4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64.0 </w:t>
                                  </w:r>
                                </w:p>
                              </w:tc>
                              <w:tc>
                                <w:tcPr>
                                  <w:tcW w:w="536" w:type="pct"/>
                                  <w:tcBorders>
                                    <w:top w:val="nil"/>
                                    <w:left w:val="nil"/>
                                    <w:bottom w:val="nil"/>
                                    <w:right w:val="nil"/>
                                  </w:tcBorders>
                                  <w:hideMark/>
                                </w:tcPr>
                                <w:p w14:paraId="2F3DC71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85.0 </w:t>
                                  </w:r>
                                </w:p>
                              </w:tc>
                              <w:tc>
                                <w:tcPr>
                                  <w:tcW w:w="575" w:type="pct"/>
                                  <w:tcBorders>
                                    <w:top w:val="nil"/>
                                    <w:left w:val="nil"/>
                                    <w:bottom w:val="nil"/>
                                    <w:right w:val="nil"/>
                                  </w:tcBorders>
                                  <w:hideMark/>
                                </w:tcPr>
                                <w:p w14:paraId="700B4E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79.9 </w:t>
                                  </w:r>
                                </w:p>
                              </w:tc>
                              <w:tc>
                                <w:tcPr>
                                  <w:tcW w:w="538" w:type="pct"/>
                                  <w:tcBorders>
                                    <w:top w:val="nil"/>
                                    <w:left w:val="nil"/>
                                    <w:bottom w:val="nil"/>
                                    <w:right w:val="nil"/>
                                  </w:tcBorders>
                                  <w:hideMark/>
                                </w:tcPr>
                                <w:p w14:paraId="7CDB67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81.2 </w:t>
                                  </w:r>
                                </w:p>
                              </w:tc>
                              <w:tc>
                                <w:tcPr>
                                  <w:tcW w:w="410" w:type="pct"/>
                                  <w:tcBorders>
                                    <w:top w:val="nil"/>
                                    <w:left w:val="nil"/>
                                    <w:bottom w:val="nil"/>
                                    <w:right w:val="nil"/>
                                  </w:tcBorders>
                                  <w:hideMark/>
                                </w:tcPr>
                                <w:p w14:paraId="08289A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82.3 </w:t>
                                  </w:r>
                                </w:p>
                              </w:tc>
                            </w:tr>
                            <w:tr w:rsidR="00166A40" w:rsidRPr="00166A40" w14:paraId="6D0F70A6" w14:textId="77777777" w:rsidTr="00166A40">
                              <w:trPr>
                                <w:trHeight w:val="196"/>
                              </w:trPr>
                              <w:tc>
                                <w:tcPr>
                                  <w:tcW w:w="1338" w:type="pct"/>
                                  <w:tcBorders>
                                    <w:top w:val="nil"/>
                                    <w:left w:val="nil"/>
                                    <w:bottom w:val="nil"/>
                                    <w:right w:val="nil"/>
                                  </w:tcBorders>
                                  <w:noWrap/>
                                  <w:hideMark/>
                                </w:tcPr>
                                <w:p w14:paraId="6FF60DF0"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Gross Profit</w:t>
                                  </w:r>
                                </w:p>
                              </w:tc>
                              <w:tc>
                                <w:tcPr>
                                  <w:tcW w:w="534" w:type="pct"/>
                                  <w:tcBorders>
                                    <w:top w:val="single" w:sz="4" w:space="0" w:color="000000"/>
                                    <w:left w:val="nil"/>
                                    <w:bottom w:val="nil"/>
                                    <w:right w:val="nil"/>
                                  </w:tcBorders>
                                  <w:hideMark/>
                                </w:tcPr>
                                <w:p w14:paraId="4D81989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25.7 </w:t>
                                  </w:r>
                                </w:p>
                              </w:tc>
                              <w:tc>
                                <w:tcPr>
                                  <w:tcW w:w="534" w:type="pct"/>
                                  <w:tcBorders>
                                    <w:top w:val="single" w:sz="4" w:space="0" w:color="000000"/>
                                    <w:left w:val="nil"/>
                                    <w:bottom w:val="nil"/>
                                    <w:right w:val="nil"/>
                                  </w:tcBorders>
                                  <w:hideMark/>
                                </w:tcPr>
                                <w:p w14:paraId="7FC6A73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32.5 </w:t>
                                  </w:r>
                                </w:p>
                              </w:tc>
                              <w:tc>
                                <w:tcPr>
                                  <w:tcW w:w="535" w:type="pct"/>
                                  <w:tcBorders>
                                    <w:top w:val="single" w:sz="4" w:space="0" w:color="000000"/>
                                    <w:left w:val="nil"/>
                                    <w:bottom w:val="nil"/>
                                    <w:right w:val="nil"/>
                                  </w:tcBorders>
                                  <w:hideMark/>
                                </w:tcPr>
                                <w:p w14:paraId="0309360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45.4 </w:t>
                                  </w:r>
                                </w:p>
                              </w:tc>
                              <w:tc>
                                <w:tcPr>
                                  <w:tcW w:w="536" w:type="pct"/>
                                  <w:tcBorders>
                                    <w:top w:val="single" w:sz="4" w:space="0" w:color="000000"/>
                                    <w:left w:val="nil"/>
                                    <w:bottom w:val="nil"/>
                                    <w:right w:val="nil"/>
                                  </w:tcBorders>
                                  <w:hideMark/>
                                </w:tcPr>
                                <w:p w14:paraId="136A96F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49.6 </w:t>
                                  </w:r>
                                </w:p>
                              </w:tc>
                              <w:tc>
                                <w:tcPr>
                                  <w:tcW w:w="575" w:type="pct"/>
                                  <w:tcBorders>
                                    <w:top w:val="single" w:sz="4" w:space="0" w:color="000000"/>
                                    <w:left w:val="nil"/>
                                    <w:bottom w:val="nil"/>
                                    <w:right w:val="nil"/>
                                  </w:tcBorders>
                                  <w:hideMark/>
                                </w:tcPr>
                                <w:p w14:paraId="7B2E5533"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46.6 </w:t>
                                  </w:r>
                                </w:p>
                              </w:tc>
                              <w:tc>
                                <w:tcPr>
                                  <w:tcW w:w="538" w:type="pct"/>
                                  <w:tcBorders>
                                    <w:top w:val="single" w:sz="4" w:space="0" w:color="000000"/>
                                    <w:left w:val="nil"/>
                                    <w:bottom w:val="nil"/>
                                    <w:right w:val="nil"/>
                                  </w:tcBorders>
                                  <w:hideMark/>
                                </w:tcPr>
                                <w:p w14:paraId="3B8783B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49.1 </w:t>
                                  </w:r>
                                </w:p>
                              </w:tc>
                              <w:tc>
                                <w:tcPr>
                                  <w:tcW w:w="410" w:type="pct"/>
                                  <w:tcBorders>
                                    <w:top w:val="single" w:sz="4" w:space="0" w:color="000000"/>
                                    <w:left w:val="nil"/>
                                    <w:bottom w:val="nil"/>
                                    <w:right w:val="nil"/>
                                  </w:tcBorders>
                                  <w:hideMark/>
                                </w:tcPr>
                                <w:p w14:paraId="58D48C1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52.2 </w:t>
                                  </w:r>
                                </w:p>
                              </w:tc>
                            </w:tr>
                            <w:tr w:rsidR="00166A40" w:rsidRPr="00166A40" w14:paraId="1CA01BA1" w14:textId="77777777" w:rsidTr="00166A40">
                              <w:trPr>
                                <w:trHeight w:val="196"/>
                              </w:trPr>
                              <w:tc>
                                <w:tcPr>
                                  <w:tcW w:w="1338" w:type="pct"/>
                                  <w:tcBorders>
                                    <w:top w:val="nil"/>
                                    <w:left w:val="nil"/>
                                    <w:bottom w:val="nil"/>
                                    <w:right w:val="nil"/>
                                  </w:tcBorders>
                                  <w:noWrap/>
                                  <w:hideMark/>
                                </w:tcPr>
                                <w:p w14:paraId="04617AC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Selling General &amp; Admin Exp.</w:t>
                                  </w:r>
                                </w:p>
                              </w:tc>
                              <w:tc>
                                <w:tcPr>
                                  <w:tcW w:w="534" w:type="pct"/>
                                  <w:tcBorders>
                                    <w:top w:val="nil"/>
                                    <w:left w:val="nil"/>
                                    <w:bottom w:val="nil"/>
                                    <w:right w:val="nil"/>
                                  </w:tcBorders>
                                  <w:hideMark/>
                                </w:tcPr>
                                <w:p w14:paraId="2AB0027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9.4 </w:t>
                                  </w:r>
                                </w:p>
                              </w:tc>
                              <w:tc>
                                <w:tcPr>
                                  <w:tcW w:w="534" w:type="pct"/>
                                  <w:tcBorders>
                                    <w:top w:val="nil"/>
                                    <w:left w:val="nil"/>
                                    <w:bottom w:val="nil"/>
                                    <w:right w:val="nil"/>
                                  </w:tcBorders>
                                  <w:hideMark/>
                                </w:tcPr>
                                <w:p w14:paraId="3D5BE88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11.1 </w:t>
                                  </w:r>
                                </w:p>
                              </w:tc>
                              <w:tc>
                                <w:tcPr>
                                  <w:tcW w:w="535" w:type="pct"/>
                                  <w:tcBorders>
                                    <w:top w:val="nil"/>
                                    <w:left w:val="nil"/>
                                    <w:bottom w:val="nil"/>
                                    <w:right w:val="nil"/>
                                  </w:tcBorders>
                                  <w:hideMark/>
                                </w:tcPr>
                                <w:p w14:paraId="09F42D3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18.1 </w:t>
                                  </w:r>
                                </w:p>
                              </w:tc>
                              <w:tc>
                                <w:tcPr>
                                  <w:tcW w:w="536" w:type="pct"/>
                                  <w:tcBorders>
                                    <w:top w:val="nil"/>
                                    <w:left w:val="nil"/>
                                    <w:bottom w:val="nil"/>
                                    <w:right w:val="nil"/>
                                  </w:tcBorders>
                                  <w:hideMark/>
                                </w:tcPr>
                                <w:p w14:paraId="7777EE0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23.9 </w:t>
                                  </w:r>
                                </w:p>
                              </w:tc>
                              <w:tc>
                                <w:tcPr>
                                  <w:tcW w:w="575" w:type="pct"/>
                                  <w:tcBorders>
                                    <w:top w:val="nil"/>
                                    <w:left w:val="nil"/>
                                    <w:bottom w:val="nil"/>
                                    <w:right w:val="nil"/>
                                  </w:tcBorders>
                                  <w:hideMark/>
                                </w:tcPr>
                                <w:p w14:paraId="4EF341D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21.2 </w:t>
                                  </w:r>
                                </w:p>
                              </w:tc>
                              <w:tc>
                                <w:tcPr>
                                  <w:tcW w:w="538" w:type="pct"/>
                                  <w:tcBorders>
                                    <w:top w:val="nil"/>
                                    <w:left w:val="nil"/>
                                    <w:bottom w:val="nil"/>
                                    <w:right w:val="nil"/>
                                  </w:tcBorders>
                                  <w:hideMark/>
                                </w:tcPr>
                                <w:p w14:paraId="65325B2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21.8 </w:t>
                                  </w:r>
                                </w:p>
                              </w:tc>
                              <w:tc>
                                <w:tcPr>
                                  <w:tcW w:w="410" w:type="pct"/>
                                  <w:tcBorders>
                                    <w:top w:val="nil"/>
                                    <w:left w:val="nil"/>
                                    <w:bottom w:val="nil"/>
                                    <w:right w:val="nil"/>
                                  </w:tcBorders>
                                  <w:hideMark/>
                                </w:tcPr>
                                <w:p w14:paraId="57DEE26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25.3 </w:t>
                                  </w:r>
                                </w:p>
                              </w:tc>
                            </w:tr>
                            <w:tr w:rsidR="00166A40" w:rsidRPr="00166A40" w14:paraId="6BEF7E1C" w14:textId="77777777" w:rsidTr="00166A40">
                              <w:trPr>
                                <w:trHeight w:val="196"/>
                              </w:trPr>
                              <w:tc>
                                <w:tcPr>
                                  <w:tcW w:w="1338" w:type="pct"/>
                                  <w:tcBorders>
                                    <w:top w:val="nil"/>
                                    <w:left w:val="nil"/>
                                    <w:bottom w:val="nil"/>
                                    <w:right w:val="nil"/>
                                  </w:tcBorders>
                                  <w:noWrap/>
                                  <w:hideMark/>
                                </w:tcPr>
                                <w:p w14:paraId="4550A849"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R &amp; D Exp.</w:t>
                                  </w:r>
                                </w:p>
                              </w:tc>
                              <w:tc>
                                <w:tcPr>
                                  <w:tcW w:w="534" w:type="pct"/>
                                  <w:tcBorders>
                                    <w:top w:val="nil"/>
                                    <w:left w:val="nil"/>
                                    <w:bottom w:val="nil"/>
                                    <w:right w:val="nil"/>
                                  </w:tcBorders>
                                  <w:hideMark/>
                                </w:tcPr>
                                <w:p w14:paraId="4254C63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5.6 </w:t>
                                  </w:r>
                                </w:p>
                              </w:tc>
                              <w:tc>
                                <w:tcPr>
                                  <w:tcW w:w="534" w:type="pct"/>
                                  <w:tcBorders>
                                    <w:top w:val="nil"/>
                                    <w:left w:val="nil"/>
                                    <w:bottom w:val="nil"/>
                                    <w:right w:val="nil"/>
                                  </w:tcBorders>
                                  <w:hideMark/>
                                </w:tcPr>
                                <w:p w14:paraId="49453A0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6.1 </w:t>
                                  </w:r>
                                </w:p>
                              </w:tc>
                              <w:tc>
                                <w:tcPr>
                                  <w:tcW w:w="535" w:type="pct"/>
                                  <w:tcBorders>
                                    <w:top w:val="nil"/>
                                    <w:left w:val="nil"/>
                                    <w:bottom w:val="nil"/>
                                    <w:right w:val="nil"/>
                                  </w:tcBorders>
                                  <w:hideMark/>
                                </w:tcPr>
                                <w:p w14:paraId="7FD0A0D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8.7 </w:t>
                                  </w:r>
                                </w:p>
                              </w:tc>
                              <w:tc>
                                <w:tcPr>
                                  <w:tcW w:w="536" w:type="pct"/>
                                  <w:tcBorders>
                                    <w:top w:val="nil"/>
                                    <w:left w:val="nil"/>
                                    <w:bottom w:val="nil"/>
                                    <w:right w:val="nil"/>
                                  </w:tcBorders>
                                  <w:hideMark/>
                                </w:tcPr>
                                <w:p w14:paraId="01B6768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8.7 </w:t>
                                  </w:r>
                                </w:p>
                              </w:tc>
                              <w:tc>
                                <w:tcPr>
                                  <w:tcW w:w="575" w:type="pct"/>
                                  <w:tcBorders>
                                    <w:top w:val="nil"/>
                                    <w:left w:val="nil"/>
                                    <w:bottom w:val="nil"/>
                                    <w:right w:val="nil"/>
                                  </w:tcBorders>
                                  <w:hideMark/>
                                </w:tcPr>
                                <w:p w14:paraId="4FEEC6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 </w:t>
                                  </w:r>
                                </w:p>
                              </w:tc>
                              <w:tc>
                                <w:tcPr>
                                  <w:tcW w:w="538" w:type="pct"/>
                                  <w:tcBorders>
                                    <w:top w:val="nil"/>
                                    <w:left w:val="nil"/>
                                    <w:bottom w:val="nil"/>
                                    <w:right w:val="nil"/>
                                  </w:tcBorders>
                                  <w:hideMark/>
                                </w:tcPr>
                                <w:p w14:paraId="1635AD1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 </w:t>
                                  </w:r>
                                </w:p>
                              </w:tc>
                              <w:tc>
                                <w:tcPr>
                                  <w:tcW w:w="410" w:type="pct"/>
                                  <w:tcBorders>
                                    <w:top w:val="nil"/>
                                    <w:left w:val="nil"/>
                                    <w:bottom w:val="nil"/>
                                    <w:right w:val="nil"/>
                                  </w:tcBorders>
                                  <w:hideMark/>
                                </w:tcPr>
                                <w:p w14:paraId="243DA4F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7.7 </w:t>
                                  </w:r>
                                </w:p>
                              </w:tc>
                            </w:tr>
                            <w:tr w:rsidR="00166A40" w:rsidRPr="00166A40" w14:paraId="0926A3D4" w14:textId="77777777" w:rsidTr="00166A40">
                              <w:trPr>
                                <w:trHeight w:val="196"/>
                              </w:trPr>
                              <w:tc>
                                <w:tcPr>
                                  <w:tcW w:w="1338" w:type="pct"/>
                                  <w:tcBorders>
                                    <w:top w:val="nil"/>
                                    <w:left w:val="nil"/>
                                    <w:bottom w:val="nil"/>
                                    <w:right w:val="nil"/>
                                  </w:tcBorders>
                                  <w:noWrap/>
                                  <w:hideMark/>
                                </w:tcPr>
                                <w:p w14:paraId="5DC5F03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Amort. of Goodwill and Intangibles</w:t>
                                  </w:r>
                                </w:p>
                              </w:tc>
                              <w:tc>
                                <w:tcPr>
                                  <w:tcW w:w="534" w:type="pct"/>
                                  <w:tcBorders>
                                    <w:top w:val="nil"/>
                                    <w:left w:val="nil"/>
                                    <w:bottom w:val="nil"/>
                                    <w:right w:val="nil"/>
                                  </w:tcBorders>
                                  <w:hideMark/>
                                </w:tcPr>
                                <w:p w14:paraId="0D9CFAC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4" w:type="pct"/>
                                  <w:tcBorders>
                                    <w:top w:val="nil"/>
                                    <w:left w:val="nil"/>
                                    <w:bottom w:val="nil"/>
                                    <w:right w:val="nil"/>
                                  </w:tcBorders>
                                  <w:hideMark/>
                                </w:tcPr>
                                <w:p w14:paraId="5A4E19E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 </w:t>
                                  </w:r>
                                </w:p>
                              </w:tc>
                              <w:tc>
                                <w:tcPr>
                                  <w:tcW w:w="535" w:type="pct"/>
                                  <w:tcBorders>
                                    <w:top w:val="nil"/>
                                    <w:left w:val="nil"/>
                                    <w:bottom w:val="nil"/>
                                    <w:right w:val="nil"/>
                                  </w:tcBorders>
                                  <w:hideMark/>
                                </w:tcPr>
                                <w:p w14:paraId="0144C32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 </w:t>
                                  </w:r>
                                </w:p>
                              </w:tc>
                              <w:tc>
                                <w:tcPr>
                                  <w:tcW w:w="536" w:type="pct"/>
                                  <w:tcBorders>
                                    <w:top w:val="nil"/>
                                    <w:left w:val="nil"/>
                                    <w:bottom w:val="nil"/>
                                    <w:right w:val="nil"/>
                                  </w:tcBorders>
                                  <w:hideMark/>
                                </w:tcPr>
                                <w:p w14:paraId="45FFA24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1.7 </w:t>
                                  </w:r>
                                </w:p>
                              </w:tc>
                              <w:tc>
                                <w:tcPr>
                                  <w:tcW w:w="575" w:type="pct"/>
                                  <w:tcBorders>
                                    <w:top w:val="nil"/>
                                    <w:left w:val="nil"/>
                                    <w:bottom w:val="nil"/>
                                    <w:right w:val="nil"/>
                                  </w:tcBorders>
                                  <w:hideMark/>
                                </w:tcPr>
                                <w:p w14:paraId="7B0097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8" w:type="pct"/>
                                  <w:tcBorders>
                                    <w:top w:val="nil"/>
                                    <w:left w:val="nil"/>
                                    <w:bottom w:val="nil"/>
                                    <w:right w:val="nil"/>
                                  </w:tcBorders>
                                  <w:hideMark/>
                                </w:tcPr>
                                <w:p w14:paraId="60CD0A0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410" w:type="pct"/>
                                  <w:tcBorders>
                                    <w:top w:val="nil"/>
                                    <w:left w:val="nil"/>
                                    <w:bottom w:val="nil"/>
                                    <w:right w:val="nil"/>
                                  </w:tcBorders>
                                  <w:hideMark/>
                                </w:tcPr>
                                <w:p w14:paraId="3507D94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r>
                            <w:tr w:rsidR="00166A40" w:rsidRPr="00166A40" w14:paraId="4DC16CCB" w14:textId="77777777" w:rsidTr="00166A40">
                              <w:trPr>
                                <w:trHeight w:val="196"/>
                              </w:trPr>
                              <w:tc>
                                <w:tcPr>
                                  <w:tcW w:w="1338" w:type="pct"/>
                                  <w:tcBorders>
                                    <w:top w:val="nil"/>
                                    <w:left w:val="nil"/>
                                    <w:bottom w:val="nil"/>
                                    <w:right w:val="nil"/>
                                  </w:tcBorders>
                                  <w:noWrap/>
                                  <w:hideMark/>
                                </w:tcPr>
                                <w:p w14:paraId="2A67B03E"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Other Operating Exp., Total</w:t>
                                  </w:r>
                                </w:p>
                              </w:tc>
                              <w:tc>
                                <w:tcPr>
                                  <w:tcW w:w="534" w:type="pct"/>
                                  <w:tcBorders>
                                    <w:top w:val="single" w:sz="4" w:space="0" w:color="000000"/>
                                    <w:left w:val="nil"/>
                                    <w:bottom w:val="nil"/>
                                    <w:right w:val="nil"/>
                                  </w:tcBorders>
                                  <w:hideMark/>
                                </w:tcPr>
                                <w:p w14:paraId="66E1052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16.6 </w:t>
                                  </w:r>
                                </w:p>
                              </w:tc>
                              <w:tc>
                                <w:tcPr>
                                  <w:tcW w:w="534" w:type="pct"/>
                                  <w:tcBorders>
                                    <w:top w:val="single" w:sz="4" w:space="0" w:color="000000"/>
                                    <w:left w:val="nil"/>
                                    <w:bottom w:val="nil"/>
                                    <w:right w:val="nil"/>
                                  </w:tcBorders>
                                  <w:hideMark/>
                                </w:tcPr>
                                <w:p w14:paraId="618F7FB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19.0 </w:t>
                                  </w:r>
                                </w:p>
                              </w:tc>
                              <w:tc>
                                <w:tcPr>
                                  <w:tcW w:w="535" w:type="pct"/>
                                  <w:tcBorders>
                                    <w:top w:val="single" w:sz="4" w:space="0" w:color="000000"/>
                                    <w:left w:val="nil"/>
                                    <w:bottom w:val="nil"/>
                                    <w:right w:val="nil"/>
                                  </w:tcBorders>
                                  <w:hideMark/>
                                </w:tcPr>
                                <w:p w14:paraId="59233B1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28.7 </w:t>
                                  </w:r>
                                </w:p>
                              </w:tc>
                              <w:tc>
                                <w:tcPr>
                                  <w:tcW w:w="536" w:type="pct"/>
                                  <w:tcBorders>
                                    <w:top w:val="single" w:sz="4" w:space="0" w:color="000000"/>
                                    <w:left w:val="nil"/>
                                    <w:bottom w:val="nil"/>
                                    <w:right w:val="nil"/>
                                  </w:tcBorders>
                                  <w:hideMark/>
                                </w:tcPr>
                                <w:p w14:paraId="379EB04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34.4 </w:t>
                                  </w:r>
                                </w:p>
                              </w:tc>
                              <w:tc>
                                <w:tcPr>
                                  <w:tcW w:w="575" w:type="pct"/>
                                  <w:tcBorders>
                                    <w:top w:val="single" w:sz="4" w:space="0" w:color="000000"/>
                                    <w:left w:val="nil"/>
                                    <w:bottom w:val="nil"/>
                                    <w:right w:val="nil"/>
                                  </w:tcBorders>
                                  <w:hideMark/>
                                </w:tcPr>
                                <w:p w14:paraId="5DDC91B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31.0 </w:t>
                                  </w:r>
                                </w:p>
                              </w:tc>
                              <w:tc>
                                <w:tcPr>
                                  <w:tcW w:w="538" w:type="pct"/>
                                  <w:tcBorders>
                                    <w:top w:val="single" w:sz="4" w:space="0" w:color="000000"/>
                                    <w:left w:val="nil"/>
                                    <w:bottom w:val="nil"/>
                                    <w:right w:val="nil"/>
                                  </w:tcBorders>
                                  <w:hideMark/>
                                </w:tcPr>
                                <w:p w14:paraId="71CF0D1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29.9 </w:t>
                                  </w:r>
                                </w:p>
                              </w:tc>
                              <w:tc>
                                <w:tcPr>
                                  <w:tcW w:w="410" w:type="pct"/>
                                  <w:tcBorders>
                                    <w:top w:val="single" w:sz="4" w:space="0" w:color="000000"/>
                                    <w:left w:val="nil"/>
                                    <w:bottom w:val="nil"/>
                                    <w:right w:val="nil"/>
                                  </w:tcBorders>
                                  <w:hideMark/>
                                </w:tcPr>
                                <w:p w14:paraId="2F3635F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31.9 </w:t>
                                  </w:r>
                                </w:p>
                              </w:tc>
                            </w:tr>
                            <w:tr w:rsidR="00166A40" w:rsidRPr="00166A40" w14:paraId="4BB4D24B" w14:textId="77777777" w:rsidTr="00166A40">
                              <w:trPr>
                                <w:trHeight w:val="196"/>
                              </w:trPr>
                              <w:tc>
                                <w:tcPr>
                                  <w:tcW w:w="1338" w:type="pct"/>
                                  <w:tcBorders>
                                    <w:top w:val="nil"/>
                                    <w:left w:val="nil"/>
                                    <w:bottom w:val="nil"/>
                                    <w:right w:val="nil"/>
                                  </w:tcBorders>
                                  <w:noWrap/>
                                  <w:hideMark/>
                                </w:tcPr>
                                <w:p w14:paraId="107791B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Operating Income</w:t>
                                  </w:r>
                                </w:p>
                              </w:tc>
                              <w:tc>
                                <w:tcPr>
                                  <w:tcW w:w="534" w:type="pct"/>
                                  <w:tcBorders>
                                    <w:top w:val="nil"/>
                                    <w:left w:val="nil"/>
                                    <w:bottom w:val="nil"/>
                                    <w:right w:val="nil"/>
                                  </w:tcBorders>
                                  <w:hideMark/>
                                </w:tcPr>
                                <w:p w14:paraId="561D2D5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9.2 </w:t>
                                  </w:r>
                                </w:p>
                              </w:tc>
                              <w:tc>
                                <w:tcPr>
                                  <w:tcW w:w="534" w:type="pct"/>
                                  <w:tcBorders>
                                    <w:top w:val="nil"/>
                                    <w:left w:val="nil"/>
                                    <w:bottom w:val="nil"/>
                                    <w:right w:val="nil"/>
                                  </w:tcBorders>
                                  <w:hideMark/>
                                </w:tcPr>
                                <w:p w14:paraId="3861F82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13.5 </w:t>
                                  </w:r>
                                </w:p>
                              </w:tc>
                              <w:tc>
                                <w:tcPr>
                                  <w:tcW w:w="535" w:type="pct"/>
                                  <w:tcBorders>
                                    <w:top w:val="nil"/>
                                    <w:left w:val="nil"/>
                                    <w:bottom w:val="nil"/>
                                    <w:right w:val="nil"/>
                                  </w:tcBorders>
                                  <w:hideMark/>
                                </w:tcPr>
                                <w:p w14:paraId="21794F2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16.7 </w:t>
                                  </w:r>
                                </w:p>
                              </w:tc>
                              <w:tc>
                                <w:tcPr>
                                  <w:tcW w:w="536" w:type="pct"/>
                                  <w:tcBorders>
                                    <w:top w:val="nil"/>
                                    <w:left w:val="nil"/>
                                    <w:bottom w:val="nil"/>
                                    <w:right w:val="nil"/>
                                  </w:tcBorders>
                                  <w:hideMark/>
                                </w:tcPr>
                                <w:p w14:paraId="45DD547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15.2 </w:t>
                                  </w:r>
                                </w:p>
                              </w:tc>
                              <w:tc>
                                <w:tcPr>
                                  <w:tcW w:w="575" w:type="pct"/>
                                  <w:tcBorders>
                                    <w:top w:val="nil"/>
                                    <w:left w:val="nil"/>
                                    <w:bottom w:val="nil"/>
                                    <w:right w:val="nil"/>
                                  </w:tcBorders>
                                  <w:hideMark/>
                                </w:tcPr>
                                <w:p w14:paraId="56FF45C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15.6 </w:t>
                                  </w:r>
                                </w:p>
                              </w:tc>
                              <w:tc>
                                <w:tcPr>
                                  <w:tcW w:w="538" w:type="pct"/>
                                  <w:tcBorders>
                                    <w:top w:val="nil"/>
                                    <w:left w:val="nil"/>
                                    <w:bottom w:val="nil"/>
                                    <w:right w:val="nil"/>
                                  </w:tcBorders>
                                  <w:hideMark/>
                                </w:tcPr>
                                <w:p w14:paraId="1A23F11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19.2 </w:t>
                                  </w:r>
                                </w:p>
                              </w:tc>
                              <w:tc>
                                <w:tcPr>
                                  <w:tcW w:w="410" w:type="pct"/>
                                  <w:tcBorders>
                                    <w:top w:val="nil"/>
                                    <w:left w:val="nil"/>
                                    <w:bottom w:val="nil"/>
                                    <w:right w:val="nil"/>
                                  </w:tcBorders>
                                  <w:hideMark/>
                                </w:tcPr>
                                <w:p w14:paraId="6FE5532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20.3 </w:t>
                                  </w:r>
                                </w:p>
                              </w:tc>
                            </w:tr>
                            <w:tr w:rsidR="00166A40" w:rsidRPr="00166A40" w14:paraId="1A044F2E" w14:textId="77777777" w:rsidTr="00166A40">
                              <w:trPr>
                                <w:trHeight w:val="196"/>
                              </w:trPr>
                              <w:tc>
                                <w:tcPr>
                                  <w:tcW w:w="1338" w:type="pct"/>
                                  <w:tcBorders>
                                    <w:top w:val="nil"/>
                                    <w:left w:val="nil"/>
                                    <w:bottom w:val="nil"/>
                                    <w:right w:val="nil"/>
                                  </w:tcBorders>
                                  <w:noWrap/>
                                  <w:hideMark/>
                                </w:tcPr>
                                <w:p w14:paraId="72F4654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Interest Expense</w:t>
                                  </w:r>
                                </w:p>
                              </w:tc>
                              <w:tc>
                                <w:tcPr>
                                  <w:tcW w:w="534" w:type="pct"/>
                                  <w:tcBorders>
                                    <w:top w:val="nil"/>
                                    <w:left w:val="nil"/>
                                    <w:bottom w:val="nil"/>
                                    <w:right w:val="nil"/>
                                  </w:tcBorders>
                                  <w:hideMark/>
                                </w:tcPr>
                                <w:p w14:paraId="24DE536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00332F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(0.7)  </w:t>
                                  </w:r>
                                </w:p>
                              </w:tc>
                              <w:tc>
                                <w:tcPr>
                                  <w:tcW w:w="535" w:type="pct"/>
                                  <w:tcBorders>
                                    <w:top w:val="nil"/>
                                    <w:left w:val="nil"/>
                                    <w:bottom w:val="nil"/>
                                    <w:right w:val="nil"/>
                                  </w:tcBorders>
                                  <w:hideMark/>
                                </w:tcPr>
                                <w:p w14:paraId="46A59C2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(0.7)  </w:t>
                                  </w:r>
                                </w:p>
                              </w:tc>
                              <w:tc>
                                <w:tcPr>
                                  <w:tcW w:w="536" w:type="pct"/>
                                  <w:tcBorders>
                                    <w:top w:val="nil"/>
                                    <w:left w:val="nil"/>
                                    <w:bottom w:val="nil"/>
                                    <w:right w:val="nil"/>
                                  </w:tcBorders>
                                  <w:hideMark/>
                                </w:tcPr>
                                <w:p w14:paraId="5A635C1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75" w:type="pct"/>
                                  <w:tcBorders>
                                    <w:top w:val="nil"/>
                                    <w:left w:val="nil"/>
                                    <w:bottom w:val="nil"/>
                                    <w:right w:val="nil"/>
                                  </w:tcBorders>
                                  <w:hideMark/>
                                </w:tcPr>
                                <w:p w14:paraId="30D14FE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538" w:type="pct"/>
                                  <w:tcBorders>
                                    <w:top w:val="nil"/>
                                    <w:left w:val="nil"/>
                                    <w:bottom w:val="nil"/>
                                    <w:right w:val="nil"/>
                                  </w:tcBorders>
                                  <w:hideMark/>
                                </w:tcPr>
                                <w:p w14:paraId="68F401F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410" w:type="pct"/>
                                  <w:tcBorders>
                                    <w:top w:val="nil"/>
                                    <w:left w:val="nil"/>
                                    <w:bottom w:val="nil"/>
                                    <w:right w:val="nil"/>
                                  </w:tcBorders>
                                  <w:hideMark/>
                                </w:tcPr>
                                <w:p w14:paraId="73FBB2B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  </w:t>
                                  </w:r>
                                </w:p>
                              </w:tc>
                            </w:tr>
                            <w:tr w:rsidR="00166A40" w:rsidRPr="00166A40" w14:paraId="79177461" w14:textId="77777777" w:rsidTr="00166A40">
                              <w:trPr>
                                <w:trHeight w:val="196"/>
                              </w:trPr>
                              <w:tc>
                                <w:tcPr>
                                  <w:tcW w:w="1338" w:type="pct"/>
                                  <w:tcBorders>
                                    <w:top w:val="nil"/>
                                    <w:left w:val="nil"/>
                                    <w:bottom w:val="nil"/>
                                    <w:right w:val="nil"/>
                                  </w:tcBorders>
                                  <w:noWrap/>
                                  <w:hideMark/>
                                </w:tcPr>
                                <w:p w14:paraId="325E67CF"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Interest and Invest. Income</w:t>
                                  </w:r>
                                </w:p>
                              </w:tc>
                              <w:tc>
                                <w:tcPr>
                                  <w:tcW w:w="534" w:type="pct"/>
                                  <w:tcBorders>
                                    <w:top w:val="nil"/>
                                    <w:left w:val="nil"/>
                                    <w:bottom w:val="nil"/>
                                    <w:right w:val="nil"/>
                                  </w:tcBorders>
                                  <w:hideMark/>
                                </w:tcPr>
                                <w:p w14:paraId="6AC150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6.6 </w:t>
                                  </w:r>
                                </w:p>
                              </w:tc>
                              <w:tc>
                                <w:tcPr>
                                  <w:tcW w:w="534" w:type="pct"/>
                                  <w:tcBorders>
                                    <w:top w:val="nil"/>
                                    <w:left w:val="nil"/>
                                    <w:bottom w:val="nil"/>
                                    <w:right w:val="nil"/>
                                  </w:tcBorders>
                                  <w:hideMark/>
                                </w:tcPr>
                                <w:p w14:paraId="154207C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10.3 </w:t>
                                  </w:r>
                                </w:p>
                              </w:tc>
                              <w:tc>
                                <w:tcPr>
                                  <w:tcW w:w="535" w:type="pct"/>
                                  <w:tcBorders>
                                    <w:top w:val="nil"/>
                                    <w:left w:val="nil"/>
                                    <w:bottom w:val="nil"/>
                                    <w:right w:val="nil"/>
                                  </w:tcBorders>
                                  <w:hideMark/>
                                </w:tcPr>
                                <w:p w14:paraId="2131E0F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11.1 </w:t>
                                  </w:r>
                                </w:p>
                              </w:tc>
                              <w:tc>
                                <w:tcPr>
                                  <w:tcW w:w="536" w:type="pct"/>
                                  <w:tcBorders>
                                    <w:top w:val="nil"/>
                                    <w:left w:val="nil"/>
                                    <w:bottom w:val="nil"/>
                                    <w:right w:val="nil"/>
                                  </w:tcBorders>
                                  <w:hideMark/>
                                </w:tcPr>
                                <w:p w14:paraId="11915FD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75" w:type="pct"/>
                                  <w:tcBorders>
                                    <w:top w:val="nil"/>
                                    <w:left w:val="nil"/>
                                    <w:bottom w:val="nil"/>
                                    <w:right w:val="nil"/>
                                  </w:tcBorders>
                                  <w:hideMark/>
                                </w:tcPr>
                                <w:p w14:paraId="1116A6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8" w:type="pct"/>
                                  <w:tcBorders>
                                    <w:top w:val="nil"/>
                                    <w:left w:val="nil"/>
                                    <w:bottom w:val="nil"/>
                                    <w:right w:val="nil"/>
                                  </w:tcBorders>
                                  <w:hideMark/>
                                </w:tcPr>
                                <w:p w14:paraId="2D061AF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410" w:type="pct"/>
                                  <w:tcBorders>
                                    <w:top w:val="nil"/>
                                    <w:left w:val="nil"/>
                                    <w:bottom w:val="nil"/>
                                    <w:right w:val="nil"/>
                                  </w:tcBorders>
                                  <w:hideMark/>
                                </w:tcPr>
                                <w:p w14:paraId="5E4430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3.9 </w:t>
                                  </w:r>
                                </w:p>
                              </w:tc>
                            </w:tr>
                            <w:tr w:rsidR="00166A40" w:rsidRPr="00166A40" w14:paraId="4F7E8930" w14:textId="77777777" w:rsidTr="00166A40">
                              <w:trPr>
                                <w:trHeight w:val="196"/>
                              </w:trPr>
                              <w:tc>
                                <w:tcPr>
                                  <w:tcW w:w="1338" w:type="pct"/>
                                  <w:tcBorders>
                                    <w:top w:val="nil"/>
                                    <w:left w:val="nil"/>
                                    <w:bottom w:val="nil"/>
                                    <w:right w:val="nil"/>
                                  </w:tcBorders>
                                  <w:noWrap/>
                                  <w:hideMark/>
                                </w:tcPr>
                                <w:p w14:paraId="13D8A8B9"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Interest Exp.</w:t>
                                  </w:r>
                                </w:p>
                              </w:tc>
                              <w:tc>
                                <w:tcPr>
                                  <w:tcW w:w="534" w:type="pct"/>
                                  <w:tcBorders>
                                    <w:top w:val="single" w:sz="4" w:space="0" w:color="000000"/>
                                    <w:left w:val="nil"/>
                                    <w:bottom w:val="nil"/>
                                    <w:right w:val="nil"/>
                                  </w:tcBorders>
                                  <w:hideMark/>
                                </w:tcPr>
                                <w:p w14:paraId="79CD81D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5.8 </w:t>
                                  </w:r>
                                </w:p>
                              </w:tc>
                              <w:tc>
                                <w:tcPr>
                                  <w:tcW w:w="534" w:type="pct"/>
                                  <w:tcBorders>
                                    <w:top w:val="single" w:sz="4" w:space="0" w:color="000000"/>
                                    <w:left w:val="nil"/>
                                    <w:bottom w:val="nil"/>
                                    <w:right w:val="nil"/>
                                  </w:tcBorders>
                                  <w:hideMark/>
                                </w:tcPr>
                                <w:p w14:paraId="5BFC187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9.6 </w:t>
                                  </w:r>
                                </w:p>
                              </w:tc>
                              <w:tc>
                                <w:tcPr>
                                  <w:tcW w:w="535" w:type="pct"/>
                                  <w:tcBorders>
                                    <w:top w:val="single" w:sz="4" w:space="0" w:color="000000"/>
                                    <w:left w:val="nil"/>
                                    <w:bottom w:val="nil"/>
                                    <w:right w:val="nil"/>
                                  </w:tcBorders>
                                  <w:hideMark/>
                                </w:tcPr>
                                <w:p w14:paraId="71442A2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10.4 </w:t>
                                  </w:r>
                                </w:p>
                              </w:tc>
                              <w:tc>
                                <w:tcPr>
                                  <w:tcW w:w="536" w:type="pct"/>
                                  <w:tcBorders>
                                    <w:top w:val="single" w:sz="4" w:space="0" w:color="000000"/>
                                    <w:left w:val="nil"/>
                                    <w:bottom w:val="nil"/>
                                    <w:right w:val="nil"/>
                                  </w:tcBorders>
                                  <w:hideMark/>
                                </w:tcPr>
                                <w:p w14:paraId="5F131E7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(0.8)  </w:t>
                                  </w:r>
                                </w:p>
                              </w:tc>
                              <w:tc>
                                <w:tcPr>
                                  <w:tcW w:w="575" w:type="pct"/>
                                  <w:tcBorders>
                                    <w:top w:val="single" w:sz="4" w:space="0" w:color="000000"/>
                                    <w:left w:val="nil"/>
                                    <w:bottom w:val="nil"/>
                                    <w:right w:val="nil"/>
                                  </w:tcBorders>
                                  <w:hideMark/>
                                </w:tcPr>
                                <w:p w14:paraId="7B83DF7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(0.9)  </w:t>
                                  </w:r>
                                </w:p>
                              </w:tc>
                              <w:tc>
                                <w:tcPr>
                                  <w:tcW w:w="538" w:type="pct"/>
                                  <w:tcBorders>
                                    <w:top w:val="single" w:sz="4" w:space="0" w:color="000000"/>
                                    <w:left w:val="nil"/>
                                    <w:bottom w:val="nil"/>
                                    <w:right w:val="nil"/>
                                  </w:tcBorders>
                                  <w:hideMark/>
                                </w:tcPr>
                                <w:p w14:paraId="0D1FDEB3"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  </w:t>
                                  </w:r>
                                </w:p>
                              </w:tc>
                              <w:tc>
                                <w:tcPr>
                                  <w:tcW w:w="410" w:type="pct"/>
                                  <w:tcBorders>
                                    <w:top w:val="single" w:sz="4" w:space="0" w:color="000000"/>
                                    <w:left w:val="nil"/>
                                    <w:bottom w:val="nil"/>
                                    <w:right w:val="nil"/>
                                  </w:tcBorders>
                                  <w:hideMark/>
                                </w:tcPr>
                                <w:p w14:paraId="1AAF3B3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2.6 </w:t>
                                  </w:r>
                                </w:p>
                              </w:tc>
                            </w:tr>
                            <w:tr w:rsidR="00166A40" w:rsidRPr="00166A40" w14:paraId="050966DC" w14:textId="77777777" w:rsidTr="00166A40">
                              <w:trPr>
                                <w:trHeight w:val="196"/>
                              </w:trPr>
                              <w:tc>
                                <w:tcPr>
                                  <w:tcW w:w="1338" w:type="pct"/>
                                  <w:tcBorders>
                                    <w:top w:val="nil"/>
                                    <w:left w:val="nil"/>
                                    <w:bottom w:val="nil"/>
                                    <w:right w:val="nil"/>
                                  </w:tcBorders>
                                  <w:noWrap/>
                                  <w:hideMark/>
                                </w:tcPr>
                                <w:p w14:paraId="4461CDBB"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Income/(Loss) from Affiliates</w:t>
                                  </w:r>
                                </w:p>
                              </w:tc>
                              <w:tc>
                                <w:tcPr>
                                  <w:tcW w:w="534" w:type="pct"/>
                                  <w:tcBorders>
                                    <w:top w:val="nil"/>
                                    <w:left w:val="nil"/>
                                    <w:bottom w:val="nil"/>
                                    <w:right w:val="nil"/>
                                  </w:tcBorders>
                                  <w:hideMark/>
                                </w:tcPr>
                                <w:p w14:paraId="771E49D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0046F5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5" w:type="pct"/>
                                  <w:tcBorders>
                                    <w:top w:val="nil"/>
                                    <w:left w:val="nil"/>
                                    <w:bottom w:val="nil"/>
                                    <w:right w:val="nil"/>
                                  </w:tcBorders>
                                  <w:hideMark/>
                                </w:tcPr>
                                <w:p w14:paraId="25301E2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6" w:type="pct"/>
                                  <w:tcBorders>
                                    <w:top w:val="nil"/>
                                    <w:left w:val="nil"/>
                                    <w:bottom w:val="nil"/>
                                    <w:right w:val="nil"/>
                                  </w:tcBorders>
                                  <w:hideMark/>
                                </w:tcPr>
                                <w:p w14:paraId="42022EF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 </w:t>
                                  </w:r>
                                </w:p>
                              </w:tc>
                              <w:tc>
                                <w:tcPr>
                                  <w:tcW w:w="575" w:type="pct"/>
                                  <w:tcBorders>
                                    <w:top w:val="nil"/>
                                    <w:left w:val="nil"/>
                                    <w:bottom w:val="nil"/>
                                    <w:right w:val="nil"/>
                                  </w:tcBorders>
                                  <w:hideMark/>
                                </w:tcPr>
                                <w:p w14:paraId="68D171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538" w:type="pct"/>
                                  <w:tcBorders>
                                    <w:top w:val="nil"/>
                                    <w:left w:val="nil"/>
                                    <w:bottom w:val="nil"/>
                                    <w:right w:val="nil"/>
                                  </w:tcBorders>
                                  <w:hideMark/>
                                </w:tcPr>
                                <w:p w14:paraId="4607DA2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410" w:type="pct"/>
                                  <w:tcBorders>
                                    <w:top w:val="nil"/>
                                    <w:left w:val="nil"/>
                                    <w:bottom w:val="nil"/>
                                    <w:right w:val="nil"/>
                                  </w:tcBorders>
                                  <w:hideMark/>
                                </w:tcPr>
                                <w:p w14:paraId="36480C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r>
                            <w:tr w:rsidR="00166A40" w:rsidRPr="00166A40" w14:paraId="1E7D641F" w14:textId="77777777" w:rsidTr="00166A40">
                              <w:trPr>
                                <w:trHeight w:val="196"/>
                              </w:trPr>
                              <w:tc>
                                <w:tcPr>
                                  <w:tcW w:w="1338" w:type="pct"/>
                                  <w:tcBorders>
                                    <w:top w:val="nil"/>
                                    <w:left w:val="nil"/>
                                    <w:bottom w:val="nil"/>
                                    <w:right w:val="nil"/>
                                  </w:tcBorders>
                                  <w:noWrap/>
                                  <w:hideMark/>
                                </w:tcPr>
                                <w:p w14:paraId="54BBC75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Other Non-Operating Inc. (Exp.)</w:t>
                                  </w:r>
                                </w:p>
                              </w:tc>
                              <w:tc>
                                <w:tcPr>
                                  <w:tcW w:w="534" w:type="pct"/>
                                  <w:tcBorders>
                                    <w:top w:val="nil"/>
                                    <w:left w:val="nil"/>
                                    <w:bottom w:val="nil"/>
                                    <w:right w:val="nil"/>
                                  </w:tcBorders>
                                  <w:hideMark/>
                                </w:tcPr>
                                <w:p w14:paraId="42DAF7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655C5B9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5" w:type="pct"/>
                                  <w:tcBorders>
                                    <w:top w:val="nil"/>
                                    <w:left w:val="nil"/>
                                    <w:bottom w:val="nil"/>
                                    <w:right w:val="nil"/>
                                  </w:tcBorders>
                                  <w:hideMark/>
                                </w:tcPr>
                                <w:p w14:paraId="2333D04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536" w:type="pct"/>
                                  <w:tcBorders>
                                    <w:top w:val="nil"/>
                                    <w:left w:val="nil"/>
                                    <w:bottom w:val="nil"/>
                                    <w:right w:val="nil"/>
                                  </w:tcBorders>
                                  <w:hideMark/>
                                </w:tcPr>
                                <w:p w14:paraId="15CB2F9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1.7 </w:t>
                                  </w:r>
                                </w:p>
                              </w:tc>
                              <w:tc>
                                <w:tcPr>
                                  <w:tcW w:w="575" w:type="pct"/>
                                  <w:tcBorders>
                                    <w:top w:val="nil"/>
                                    <w:left w:val="nil"/>
                                    <w:bottom w:val="nil"/>
                                    <w:right w:val="nil"/>
                                  </w:tcBorders>
                                  <w:hideMark/>
                                </w:tcPr>
                                <w:p w14:paraId="2EEE1D0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8" w:type="pct"/>
                                  <w:tcBorders>
                                    <w:top w:val="nil"/>
                                    <w:left w:val="nil"/>
                                    <w:bottom w:val="nil"/>
                                    <w:right w:val="nil"/>
                                  </w:tcBorders>
                                  <w:hideMark/>
                                </w:tcPr>
                                <w:p w14:paraId="7FDC9FE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410" w:type="pct"/>
                                  <w:tcBorders>
                                    <w:top w:val="nil"/>
                                    <w:left w:val="nil"/>
                                    <w:bottom w:val="nil"/>
                                    <w:right w:val="nil"/>
                                  </w:tcBorders>
                                  <w:hideMark/>
                                </w:tcPr>
                                <w:p w14:paraId="4DF080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r>
                            <w:tr w:rsidR="00166A40" w:rsidRPr="00166A40" w14:paraId="6CF9586C" w14:textId="77777777" w:rsidTr="00166A40">
                              <w:trPr>
                                <w:trHeight w:val="196"/>
                              </w:trPr>
                              <w:tc>
                                <w:tcPr>
                                  <w:tcW w:w="1338" w:type="pct"/>
                                  <w:tcBorders>
                                    <w:top w:val="nil"/>
                                    <w:left w:val="nil"/>
                                    <w:bottom w:val="nil"/>
                                    <w:right w:val="nil"/>
                                  </w:tcBorders>
                                  <w:noWrap/>
                                  <w:hideMark/>
                                </w:tcPr>
                                <w:p w14:paraId="4B76BBA6"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EBT Excl. Unusual Items</w:t>
                                  </w:r>
                                </w:p>
                              </w:tc>
                              <w:tc>
                                <w:tcPr>
                                  <w:tcW w:w="534" w:type="pct"/>
                                  <w:tcBorders>
                                    <w:top w:val="single" w:sz="4" w:space="0" w:color="000000"/>
                                    <w:left w:val="nil"/>
                                    <w:bottom w:val="nil"/>
                                    <w:right w:val="nil"/>
                                  </w:tcBorders>
                                  <w:hideMark/>
                                </w:tcPr>
                                <w:p w14:paraId="2509A69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15.1 </w:t>
                                  </w:r>
                                </w:p>
                              </w:tc>
                              <w:tc>
                                <w:tcPr>
                                  <w:tcW w:w="534" w:type="pct"/>
                                  <w:tcBorders>
                                    <w:top w:val="single" w:sz="4" w:space="0" w:color="000000"/>
                                    <w:left w:val="nil"/>
                                    <w:bottom w:val="nil"/>
                                    <w:right w:val="nil"/>
                                  </w:tcBorders>
                                  <w:hideMark/>
                                </w:tcPr>
                                <w:p w14:paraId="7E49068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23.3 </w:t>
                                  </w:r>
                                </w:p>
                              </w:tc>
                              <w:tc>
                                <w:tcPr>
                                  <w:tcW w:w="535" w:type="pct"/>
                                  <w:tcBorders>
                                    <w:top w:val="single" w:sz="4" w:space="0" w:color="000000"/>
                                    <w:left w:val="nil"/>
                                    <w:bottom w:val="nil"/>
                                    <w:right w:val="nil"/>
                                  </w:tcBorders>
                                  <w:hideMark/>
                                </w:tcPr>
                                <w:p w14:paraId="528B9BA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29.4 </w:t>
                                  </w:r>
                                </w:p>
                              </w:tc>
                              <w:tc>
                                <w:tcPr>
                                  <w:tcW w:w="536" w:type="pct"/>
                                  <w:tcBorders>
                                    <w:top w:val="single" w:sz="4" w:space="0" w:color="000000"/>
                                    <w:left w:val="nil"/>
                                    <w:bottom w:val="nil"/>
                                    <w:right w:val="nil"/>
                                  </w:tcBorders>
                                  <w:hideMark/>
                                </w:tcPr>
                                <w:p w14:paraId="50DECA8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18.4 </w:t>
                                  </w:r>
                                </w:p>
                              </w:tc>
                              <w:tc>
                                <w:tcPr>
                                  <w:tcW w:w="575" w:type="pct"/>
                                  <w:tcBorders>
                                    <w:top w:val="single" w:sz="4" w:space="0" w:color="000000"/>
                                    <w:left w:val="nil"/>
                                    <w:bottom w:val="nil"/>
                                    <w:right w:val="nil"/>
                                  </w:tcBorders>
                                  <w:hideMark/>
                                </w:tcPr>
                                <w:p w14:paraId="0E0B8E3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14.4 </w:t>
                                  </w:r>
                                </w:p>
                              </w:tc>
                              <w:tc>
                                <w:tcPr>
                                  <w:tcW w:w="538" w:type="pct"/>
                                  <w:tcBorders>
                                    <w:top w:val="single" w:sz="4" w:space="0" w:color="000000"/>
                                    <w:left w:val="nil"/>
                                    <w:bottom w:val="nil"/>
                                    <w:right w:val="nil"/>
                                  </w:tcBorders>
                                  <w:hideMark/>
                                </w:tcPr>
                                <w:p w14:paraId="6C5C3F5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17.9 </w:t>
                                  </w:r>
                                </w:p>
                              </w:tc>
                              <w:tc>
                                <w:tcPr>
                                  <w:tcW w:w="410" w:type="pct"/>
                                  <w:tcBorders>
                                    <w:top w:val="single" w:sz="4" w:space="0" w:color="000000"/>
                                    <w:left w:val="nil"/>
                                    <w:bottom w:val="nil"/>
                                    <w:right w:val="nil"/>
                                  </w:tcBorders>
                                  <w:hideMark/>
                                </w:tcPr>
                                <w:p w14:paraId="29F667D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24.1 </w:t>
                                  </w:r>
                                </w:p>
                              </w:tc>
                            </w:tr>
                            <w:tr w:rsidR="00166A40" w:rsidRPr="00166A40" w14:paraId="562698FB" w14:textId="77777777" w:rsidTr="00166A40">
                              <w:trPr>
                                <w:trHeight w:val="196"/>
                              </w:trPr>
                              <w:tc>
                                <w:tcPr>
                                  <w:tcW w:w="1338" w:type="pct"/>
                                  <w:tcBorders>
                                    <w:top w:val="nil"/>
                                    <w:left w:val="nil"/>
                                    <w:bottom w:val="nil"/>
                                    <w:right w:val="nil"/>
                                  </w:tcBorders>
                                  <w:noWrap/>
                                  <w:hideMark/>
                                </w:tcPr>
                                <w:p w14:paraId="34C21A7A"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Impairment of Goodwill</w:t>
                                  </w:r>
                                </w:p>
                              </w:tc>
                              <w:tc>
                                <w:tcPr>
                                  <w:tcW w:w="534" w:type="pct"/>
                                  <w:tcBorders>
                                    <w:top w:val="nil"/>
                                    <w:left w:val="nil"/>
                                    <w:bottom w:val="nil"/>
                                    <w:right w:val="nil"/>
                                  </w:tcBorders>
                                  <w:hideMark/>
                                </w:tcPr>
                                <w:p w14:paraId="157E7BE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306364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c>
                                <w:tcPr>
                                  <w:tcW w:w="535" w:type="pct"/>
                                  <w:tcBorders>
                                    <w:top w:val="nil"/>
                                    <w:left w:val="nil"/>
                                    <w:bottom w:val="nil"/>
                                    <w:right w:val="nil"/>
                                  </w:tcBorders>
                                  <w:hideMark/>
                                </w:tcPr>
                                <w:p w14:paraId="7012217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6" w:type="pct"/>
                                  <w:tcBorders>
                                    <w:top w:val="nil"/>
                                    <w:left w:val="nil"/>
                                    <w:bottom w:val="nil"/>
                                    <w:right w:val="nil"/>
                                  </w:tcBorders>
                                  <w:hideMark/>
                                </w:tcPr>
                                <w:p w14:paraId="029BA6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75" w:type="pct"/>
                                  <w:tcBorders>
                                    <w:top w:val="nil"/>
                                    <w:left w:val="nil"/>
                                    <w:bottom w:val="nil"/>
                                    <w:right w:val="nil"/>
                                  </w:tcBorders>
                                  <w:hideMark/>
                                </w:tcPr>
                                <w:p w14:paraId="28572F9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(0.4)  </w:t>
                                  </w:r>
                                </w:p>
                              </w:tc>
                              <w:tc>
                                <w:tcPr>
                                  <w:tcW w:w="538" w:type="pct"/>
                                  <w:tcBorders>
                                    <w:top w:val="nil"/>
                                    <w:left w:val="nil"/>
                                    <w:bottom w:val="nil"/>
                                    <w:right w:val="nil"/>
                                  </w:tcBorders>
                                  <w:hideMark/>
                                </w:tcPr>
                                <w:p w14:paraId="33CA8D4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  </w:t>
                                  </w:r>
                                </w:p>
                              </w:tc>
                              <w:tc>
                                <w:tcPr>
                                  <w:tcW w:w="410" w:type="pct"/>
                                  <w:tcBorders>
                                    <w:top w:val="nil"/>
                                    <w:left w:val="nil"/>
                                    <w:bottom w:val="nil"/>
                                    <w:right w:val="nil"/>
                                  </w:tcBorders>
                                  <w:hideMark/>
                                </w:tcPr>
                                <w:p w14:paraId="7C9AB53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413143F7" w14:textId="77777777" w:rsidTr="00166A40">
                              <w:trPr>
                                <w:trHeight w:val="196"/>
                              </w:trPr>
                              <w:tc>
                                <w:tcPr>
                                  <w:tcW w:w="1338" w:type="pct"/>
                                  <w:tcBorders>
                                    <w:top w:val="nil"/>
                                    <w:left w:val="nil"/>
                                    <w:bottom w:val="nil"/>
                                    <w:right w:val="nil"/>
                                  </w:tcBorders>
                                  <w:noWrap/>
                                  <w:hideMark/>
                                </w:tcPr>
                                <w:p w14:paraId="21C7B039"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Gain (Loss) On Sale Of Invest.</w:t>
                                  </w:r>
                                </w:p>
                              </w:tc>
                              <w:tc>
                                <w:tcPr>
                                  <w:tcW w:w="534" w:type="pct"/>
                                  <w:tcBorders>
                                    <w:top w:val="nil"/>
                                    <w:left w:val="nil"/>
                                    <w:bottom w:val="nil"/>
                                    <w:right w:val="nil"/>
                                  </w:tcBorders>
                                  <w:hideMark/>
                                </w:tcPr>
                                <w:p w14:paraId="04C048C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5FB504D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E8759F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6" w:type="pct"/>
                                  <w:tcBorders>
                                    <w:top w:val="nil"/>
                                    <w:left w:val="nil"/>
                                    <w:bottom w:val="nil"/>
                                    <w:right w:val="nil"/>
                                  </w:tcBorders>
                                  <w:hideMark/>
                                </w:tcPr>
                                <w:p w14:paraId="6993127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575" w:type="pct"/>
                                  <w:tcBorders>
                                    <w:top w:val="nil"/>
                                    <w:left w:val="nil"/>
                                    <w:bottom w:val="nil"/>
                                    <w:right w:val="nil"/>
                                  </w:tcBorders>
                                  <w:hideMark/>
                                </w:tcPr>
                                <w:p w14:paraId="4A39941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8" w:type="pct"/>
                                  <w:tcBorders>
                                    <w:top w:val="nil"/>
                                    <w:left w:val="nil"/>
                                    <w:bottom w:val="nil"/>
                                    <w:right w:val="nil"/>
                                  </w:tcBorders>
                                  <w:hideMark/>
                                </w:tcPr>
                                <w:p w14:paraId="1DF2024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(1.4)  </w:t>
                                  </w:r>
                                </w:p>
                              </w:tc>
                              <w:tc>
                                <w:tcPr>
                                  <w:tcW w:w="410" w:type="pct"/>
                                  <w:tcBorders>
                                    <w:top w:val="nil"/>
                                    <w:left w:val="nil"/>
                                    <w:bottom w:val="nil"/>
                                    <w:right w:val="nil"/>
                                  </w:tcBorders>
                                  <w:hideMark/>
                                </w:tcPr>
                                <w:p w14:paraId="684F31A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360A17C7" w14:textId="77777777" w:rsidTr="00166A40">
                              <w:trPr>
                                <w:trHeight w:val="196"/>
                              </w:trPr>
                              <w:tc>
                                <w:tcPr>
                                  <w:tcW w:w="1338" w:type="pct"/>
                                  <w:tcBorders>
                                    <w:top w:val="nil"/>
                                    <w:left w:val="nil"/>
                                    <w:bottom w:val="nil"/>
                                    <w:right w:val="nil"/>
                                  </w:tcBorders>
                                  <w:noWrap/>
                                  <w:hideMark/>
                                </w:tcPr>
                                <w:p w14:paraId="1A09223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Asset </w:t>
                                  </w:r>
                                  <w:r w:rsidRPr="00166A40">
                                    <w:rPr>
                                      <w:rFonts w:ascii="Cambria" w:eastAsia="Times New Roman" w:hAnsi="Cambria" w:cs="Arial"/>
                                      <w:color w:val="000000"/>
                                      <w:kern w:val="0"/>
                                      <w:sz w:val="14"/>
                                      <w:szCs w:val="14"/>
                                      <w:lang w:eastAsia="en-IN"/>
                                      <w14:ligatures w14:val="none"/>
                                    </w:rPr>
                                    <w:t>Writedown</w:t>
                                  </w:r>
                                </w:p>
                              </w:tc>
                              <w:tc>
                                <w:tcPr>
                                  <w:tcW w:w="534" w:type="pct"/>
                                  <w:tcBorders>
                                    <w:top w:val="nil"/>
                                    <w:left w:val="nil"/>
                                    <w:bottom w:val="nil"/>
                                    <w:right w:val="nil"/>
                                  </w:tcBorders>
                                  <w:hideMark/>
                                </w:tcPr>
                                <w:p w14:paraId="6B72566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C69464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(0.5)  </w:t>
                                  </w:r>
                                </w:p>
                              </w:tc>
                              <w:tc>
                                <w:tcPr>
                                  <w:tcW w:w="535" w:type="pct"/>
                                  <w:tcBorders>
                                    <w:top w:val="nil"/>
                                    <w:left w:val="nil"/>
                                    <w:bottom w:val="nil"/>
                                    <w:right w:val="nil"/>
                                  </w:tcBorders>
                                  <w:hideMark/>
                                </w:tcPr>
                                <w:p w14:paraId="0DBA90C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c>
                                <w:tcPr>
                                  <w:tcW w:w="536" w:type="pct"/>
                                  <w:tcBorders>
                                    <w:top w:val="nil"/>
                                    <w:left w:val="nil"/>
                                    <w:bottom w:val="nil"/>
                                    <w:right w:val="nil"/>
                                  </w:tcBorders>
                                  <w:hideMark/>
                                </w:tcPr>
                                <w:p w14:paraId="4950DA7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c>
                                <w:tcPr>
                                  <w:tcW w:w="575" w:type="pct"/>
                                  <w:tcBorders>
                                    <w:top w:val="nil"/>
                                    <w:left w:val="nil"/>
                                    <w:bottom w:val="nil"/>
                                    <w:right w:val="nil"/>
                                  </w:tcBorders>
                                  <w:hideMark/>
                                </w:tcPr>
                                <w:p w14:paraId="3DDAD01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(0.6)  </w:t>
                                  </w:r>
                                </w:p>
                              </w:tc>
                              <w:tc>
                                <w:tcPr>
                                  <w:tcW w:w="538" w:type="pct"/>
                                  <w:tcBorders>
                                    <w:top w:val="nil"/>
                                    <w:left w:val="nil"/>
                                    <w:bottom w:val="nil"/>
                                    <w:right w:val="nil"/>
                                  </w:tcBorders>
                                  <w:hideMark/>
                                </w:tcPr>
                                <w:p w14:paraId="0E6DE4A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  </w:t>
                                  </w:r>
                                </w:p>
                              </w:tc>
                              <w:tc>
                                <w:tcPr>
                                  <w:tcW w:w="410" w:type="pct"/>
                                  <w:tcBorders>
                                    <w:top w:val="nil"/>
                                    <w:left w:val="nil"/>
                                    <w:bottom w:val="nil"/>
                                    <w:right w:val="nil"/>
                                  </w:tcBorders>
                                  <w:hideMark/>
                                </w:tcPr>
                                <w:p w14:paraId="28EA0D3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  </w:t>
                                  </w:r>
                                </w:p>
                              </w:tc>
                            </w:tr>
                            <w:tr w:rsidR="00166A40" w:rsidRPr="00166A40" w14:paraId="6381616D" w14:textId="77777777" w:rsidTr="00166A40">
                              <w:trPr>
                                <w:trHeight w:val="196"/>
                              </w:trPr>
                              <w:tc>
                                <w:tcPr>
                                  <w:tcW w:w="1338" w:type="pct"/>
                                  <w:tcBorders>
                                    <w:top w:val="nil"/>
                                    <w:left w:val="nil"/>
                                    <w:bottom w:val="nil"/>
                                    <w:right w:val="nil"/>
                                  </w:tcBorders>
                                  <w:noWrap/>
                                  <w:hideMark/>
                                </w:tcPr>
                                <w:p w14:paraId="3C3EFF7D"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EBT Incl. Unusual Items</w:t>
                                  </w:r>
                                </w:p>
                              </w:tc>
                              <w:tc>
                                <w:tcPr>
                                  <w:tcW w:w="534" w:type="pct"/>
                                  <w:tcBorders>
                                    <w:top w:val="single" w:sz="4" w:space="0" w:color="000000"/>
                                    <w:left w:val="nil"/>
                                    <w:bottom w:val="nil"/>
                                    <w:right w:val="nil"/>
                                  </w:tcBorders>
                                  <w:hideMark/>
                                </w:tcPr>
                                <w:p w14:paraId="57DC423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14.4 </w:t>
                                  </w:r>
                                </w:p>
                              </w:tc>
                              <w:tc>
                                <w:tcPr>
                                  <w:tcW w:w="534" w:type="pct"/>
                                  <w:tcBorders>
                                    <w:top w:val="single" w:sz="4" w:space="0" w:color="000000"/>
                                    <w:left w:val="nil"/>
                                    <w:bottom w:val="nil"/>
                                    <w:right w:val="nil"/>
                                  </w:tcBorders>
                                  <w:hideMark/>
                                </w:tcPr>
                                <w:p w14:paraId="37E50FB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22.7 </w:t>
                                  </w:r>
                                </w:p>
                              </w:tc>
                              <w:tc>
                                <w:tcPr>
                                  <w:tcW w:w="535" w:type="pct"/>
                                  <w:tcBorders>
                                    <w:top w:val="single" w:sz="4" w:space="0" w:color="000000"/>
                                    <w:left w:val="nil"/>
                                    <w:bottom w:val="nil"/>
                                    <w:right w:val="nil"/>
                                  </w:tcBorders>
                                  <w:hideMark/>
                                </w:tcPr>
                                <w:p w14:paraId="6998FA9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26.3 </w:t>
                                  </w:r>
                                </w:p>
                              </w:tc>
                              <w:tc>
                                <w:tcPr>
                                  <w:tcW w:w="536" w:type="pct"/>
                                  <w:tcBorders>
                                    <w:top w:val="single" w:sz="4" w:space="0" w:color="000000"/>
                                    <w:left w:val="nil"/>
                                    <w:bottom w:val="nil"/>
                                    <w:right w:val="nil"/>
                                  </w:tcBorders>
                                  <w:hideMark/>
                                </w:tcPr>
                                <w:p w14:paraId="2CD1FFD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11.7 </w:t>
                                  </w:r>
                                </w:p>
                              </w:tc>
                              <w:tc>
                                <w:tcPr>
                                  <w:tcW w:w="575" w:type="pct"/>
                                  <w:tcBorders>
                                    <w:top w:val="single" w:sz="4" w:space="0" w:color="000000"/>
                                    <w:left w:val="nil"/>
                                    <w:bottom w:val="nil"/>
                                    <w:right w:val="nil"/>
                                  </w:tcBorders>
                                  <w:hideMark/>
                                </w:tcPr>
                                <w:p w14:paraId="0F4FDF0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11.8 </w:t>
                                  </w:r>
                                </w:p>
                              </w:tc>
                              <w:tc>
                                <w:tcPr>
                                  <w:tcW w:w="538" w:type="pct"/>
                                  <w:tcBorders>
                                    <w:top w:val="single" w:sz="4" w:space="0" w:color="000000"/>
                                    <w:left w:val="nil"/>
                                    <w:bottom w:val="nil"/>
                                    <w:right w:val="nil"/>
                                  </w:tcBorders>
                                  <w:hideMark/>
                                </w:tcPr>
                                <w:p w14:paraId="062BCAD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13.0 </w:t>
                                  </w:r>
                                </w:p>
                              </w:tc>
                              <w:tc>
                                <w:tcPr>
                                  <w:tcW w:w="410" w:type="pct"/>
                                  <w:tcBorders>
                                    <w:top w:val="single" w:sz="4" w:space="0" w:color="000000"/>
                                    <w:left w:val="nil"/>
                                    <w:bottom w:val="nil"/>
                                    <w:right w:val="nil"/>
                                  </w:tcBorders>
                                  <w:hideMark/>
                                </w:tcPr>
                                <w:p w14:paraId="59105B0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20.4 </w:t>
                                  </w:r>
                                </w:p>
                              </w:tc>
                            </w:tr>
                            <w:tr w:rsidR="00166A40" w:rsidRPr="00166A40" w14:paraId="40EA89F6" w14:textId="77777777" w:rsidTr="00166A40">
                              <w:trPr>
                                <w:trHeight w:val="196"/>
                              </w:trPr>
                              <w:tc>
                                <w:tcPr>
                                  <w:tcW w:w="1338" w:type="pct"/>
                                  <w:tcBorders>
                                    <w:top w:val="nil"/>
                                    <w:left w:val="nil"/>
                                    <w:bottom w:val="nil"/>
                                    <w:right w:val="nil"/>
                                  </w:tcBorders>
                                  <w:noWrap/>
                                  <w:hideMark/>
                                </w:tcPr>
                                <w:p w14:paraId="758387C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Income Tax Expense</w:t>
                                  </w:r>
                                </w:p>
                              </w:tc>
                              <w:tc>
                                <w:tcPr>
                                  <w:tcW w:w="534" w:type="pct"/>
                                  <w:tcBorders>
                                    <w:top w:val="nil"/>
                                    <w:left w:val="nil"/>
                                    <w:bottom w:val="nil"/>
                                    <w:right w:val="nil"/>
                                  </w:tcBorders>
                                  <w:hideMark/>
                                </w:tcPr>
                                <w:p w14:paraId="51FD072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534" w:type="pct"/>
                                  <w:tcBorders>
                                    <w:top w:val="nil"/>
                                    <w:left w:val="nil"/>
                                    <w:bottom w:val="nil"/>
                                    <w:right w:val="nil"/>
                                  </w:tcBorders>
                                  <w:hideMark/>
                                </w:tcPr>
                                <w:p w14:paraId="73085AF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2.9 </w:t>
                                  </w:r>
                                </w:p>
                              </w:tc>
                              <w:tc>
                                <w:tcPr>
                                  <w:tcW w:w="535" w:type="pct"/>
                                  <w:tcBorders>
                                    <w:top w:val="nil"/>
                                    <w:left w:val="nil"/>
                                    <w:bottom w:val="nil"/>
                                    <w:right w:val="nil"/>
                                  </w:tcBorders>
                                  <w:hideMark/>
                                </w:tcPr>
                                <w:p w14:paraId="229713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4.5 </w:t>
                                  </w:r>
                                </w:p>
                              </w:tc>
                              <w:tc>
                                <w:tcPr>
                                  <w:tcW w:w="536" w:type="pct"/>
                                  <w:tcBorders>
                                    <w:top w:val="nil"/>
                                    <w:left w:val="nil"/>
                                    <w:bottom w:val="nil"/>
                                    <w:right w:val="nil"/>
                                  </w:tcBorders>
                                  <w:hideMark/>
                                </w:tcPr>
                                <w:p w14:paraId="18DA61D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4.2 </w:t>
                                  </w:r>
                                </w:p>
                              </w:tc>
                              <w:tc>
                                <w:tcPr>
                                  <w:tcW w:w="575" w:type="pct"/>
                                  <w:tcBorders>
                                    <w:top w:val="nil"/>
                                    <w:left w:val="nil"/>
                                    <w:bottom w:val="nil"/>
                                    <w:right w:val="nil"/>
                                  </w:tcBorders>
                                  <w:hideMark/>
                                </w:tcPr>
                                <w:p w14:paraId="0CE90D7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 </w:t>
                                  </w:r>
                                </w:p>
                              </w:tc>
                              <w:tc>
                                <w:tcPr>
                                  <w:tcW w:w="538" w:type="pct"/>
                                  <w:tcBorders>
                                    <w:top w:val="nil"/>
                                    <w:left w:val="nil"/>
                                    <w:bottom w:val="nil"/>
                                    <w:right w:val="nil"/>
                                  </w:tcBorders>
                                  <w:hideMark/>
                                </w:tcPr>
                                <w:p w14:paraId="63B742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3.1 </w:t>
                                  </w:r>
                                </w:p>
                              </w:tc>
                              <w:tc>
                                <w:tcPr>
                                  <w:tcW w:w="410" w:type="pct"/>
                                  <w:tcBorders>
                                    <w:top w:val="nil"/>
                                    <w:left w:val="nil"/>
                                    <w:bottom w:val="nil"/>
                                    <w:right w:val="nil"/>
                                  </w:tcBorders>
                                  <w:hideMark/>
                                </w:tcPr>
                                <w:p w14:paraId="088712D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4.7 </w:t>
                                  </w:r>
                                </w:p>
                              </w:tc>
                            </w:tr>
                            <w:tr w:rsidR="00166A40" w:rsidRPr="00166A40" w14:paraId="4511BDFB" w14:textId="77777777" w:rsidTr="00166A40">
                              <w:trPr>
                                <w:trHeight w:val="196"/>
                              </w:trPr>
                              <w:tc>
                                <w:tcPr>
                                  <w:tcW w:w="1338" w:type="pct"/>
                                  <w:tcBorders>
                                    <w:top w:val="nil"/>
                                    <w:left w:val="nil"/>
                                    <w:bottom w:val="nil"/>
                                    <w:right w:val="nil"/>
                                  </w:tcBorders>
                                  <w:noWrap/>
                                  <w:hideMark/>
                                </w:tcPr>
                                <w:p w14:paraId="00BB83A1"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Earnings from Cont. Ops.</w:t>
                                  </w:r>
                                </w:p>
                              </w:tc>
                              <w:tc>
                                <w:tcPr>
                                  <w:tcW w:w="534" w:type="pct"/>
                                  <w:tcBorders>
                                    <w:top w:val="single" w:sz="4" w:space="0" w:color="000000"/>
                                    <w:left w:val="nil"/>
                                    <w:bottom w:val="nil"/>
                                    <w:right w:val="nil"/>
                                  </w:tcBorders>
                                  <w:hideMark/>
                                </w:tcPr>
                                <w:p w14:paraId="34B5622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12.0 </w:t>
                                  </w:r>
                                </w:p>
                              </w:tc>
                              <w:tc>
                                <w:tcPr>
                                  <w:tcW w:w="534" w:type="pct"/>
                                  <w:tcBorders>
                                    <w:top w:val="single" w:sz="4" w:space="0" w:color="000000"/>
                                    <w:left w:val="nil"/>
                                    <w:bottom w:val="nil"/>
                                    <w:right w:val="nil"/>
                                  </w:tcBorders>
                                  <w:hideMark/>
                                </w:tcPr>
                                <w:p w14:paraId="2D8226A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19.8 </w:t>
                                  </w:r>
                                </w:p>
                              </w:tc>
                              <w:tc>
                                <w:tcPr>
                                  <w:tcW w:w="535" w:type="pct"/>
                                  <w:tcBorders>
                                    <w:top w:val="single" w:sz="4" w:space="0" w:color="000000"/>
                                    <w:left w:val="nil"/>
                                    <w:bottom w:val="nil"/>
                                    <w:right w:val="nil"/>
                                  </w:tcBorders>
                                  <w:hideMark/>
                                </w:tcPr>
                                <w:p w14:paraId="7512203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21.9 </w:t>
                                  </w:r>
                                </w:p>
                              </w:tc>
                              <w:tc>
                                <w:tcPr>
                                  <w:tcW w:w="536" w:type="pct"/>
                                  <w:tcBorders>
                                    <w:top w:val="single" w:sz="4" w:space="0" w:color="000000"/>
                                    <w:left w:val="nil"/>
                                    <w:bottom w:val="nil"/>
                                    <w:right w:val="nil"/>
                                  </w:tcBorders>
                                  <w:hideMark/>
                                </w:tcPr>
                                <w:p w14:paraId="536A8EA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7.4 </w:t>
                                  </w:r>
                                </w:p>
                              </w:tc>
                              <w:tc>
                                <w:tcPr>
                                  <w:tcW w:w="575" w:type="pct"/>
                                  <w:tcBorders>
                                    <w:top w:val="single" w:sz="4" w:space="0" w:color="000000"/>
                                    <w:left w:val="nil"/>
                                    <w:bottom w:val="nil"/>
                                    <w:right w:val="nil"/>
                                  </w:tcBorders>
                                  <w:hideMark/>
                                </w:tcPr>
                                <w:p w14:paraId="39EF3C1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9.5 </w:t>
                                  </w:r>
                                </w:p>
                              </w:tc>
                              <w:tc>
                                <w:tcPr>
                                  <w:tcW w:w="538" w:type="pct"/>
                                  <w:tcBorders>
                                    <w:top w:val="single" w:sz="4" w:space="0" w:color="000000"/>
                                    <w:left w:val="nil"/>
                                    <w:bottom w:val="nil"/>
                                    <w:right w:val="nil"/>
                                  </w:tcBorders>
                                  <w:hideMark/>
                                </w:tcPr>
                                <w:p w14:paraId="29E00FC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9.9 </w:t>
                                  </w:r>
                                </w:p>
                              </w:tc>
                              <w:tc>
                                <w:tcPr>
                                  <w:tcW w:w="410" w:type="pct"/>
                                  <w:tcBorders>
                                    <w:top w:val="single" w:sz="4" w:space="0" w:color="000000"/>
                                    <w:left w:val="nil"/>
                                    <w:bottom w:val="nil"/>
                                    <w:right w:val="nil"/>
                                  </w:tcBorders>
                                  <w:hideMark/>
                                </w:tcPr>
                                <w:p w14:paraId="13C9F03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15.7 </w:t>
                                  </w:r>
                                </w:p>
                              </w:tc>
                            </w:tr>
                            <w:tr w:rsidR="00166A40" w:rsidRPr="00166A40" w14:paraId="44B7AFF0" w14:textId="77777777" w:rsidTr="00166A40">
                              <w:trPr>
                                <w:trHeight w:val="196"/>
                              </w:trPr>
                              <w:tc>
                                <w:tcPr>
                                  <w:tcW w:w="1338" w:type="pct"/>
                                  <w:tcBorders>
                                    <w:top w:val="nil"/>
                                    <w:left w:val="nil"/>
                                    <w:bottom w:val="nil"/>
                                    <w:right w:val="nil"/>
                                  </w:tcBorders>
                                  <w:noWrap/>
                                  <w:hideMark/>
                                </w:tcPr>
                                <w:p w14:paraId="54B2290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Income to Company</w:t>
                                  </w:r>
                                </w:p>
                              </w:tc>
                              <w:tc>
                                <w:tcPr>
                                  <w:tcW w:w="534" w:type="pct"/>
                                  <w:tcBorders>
                                    <w:top w:val="single" w:sz="4" w:space="0" w:color="000000"/>
                                    <w:left w:val="nil"/>
                                    <w:bottom w:val="nil"/>
                                    <w:right w:val="nil"/>
                                  </w:tcBorders>
                                  <w:hideMark/>
                                </w:tcPr>
                                <w:p w14:paraId="51DC485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12.0 </w:t>
                                  </w:r>
                                </w:p>
                              </w:tc>
                              <w:tc>
                                <w:tcPr>
                                  <w:tcW w:w="534" w:type="pct"/>
                                  <w:tcBorders>
                                    <w:top w:val="single" w:sz="4" w:space="0" w:color="000000"/>
                                    <w:left w:val="nil"/>
                                    <w:bottom w:val="nil"/>
                                    <w:right w:val="nil"/>
                                  </w:tcBorders>
                                  <w:hideMark/>
                                </w:tcPr>
                                <w:p w14:paraId="0ACFC27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19.8 </w:t>
                                  </w:r>
                                </w:p>
                              </w:tc>
                              <w:tc>
                                <w:tcPr>
                                  <w:tcW w:w="535" w:type="pct"/>
                                  <w:tcBorders>
                                    <w:top w:val="single" w:sz="4" w:space="0" w:color="000000"/>
                                    <w:left w:val="nil"/>
                                    <w:bottom w:val="nil"/>
                                    <w:right w:val="nil"/>
                                  </w:tcBorders>
                                  <w:hideMark/>
                                </w:tcPr>
                                <w:p w14:paraId="5F64240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21.9 </w:t>
                                  </w:r>
                                </w:p>
                              </w:tc>
                              <w:tc>
                                <w:tcPr>
                                  <w:tcW w:w="536" w:type="pct"/>
                                  <w:tcBorders>
                                    <w:top w:val="single" w:sz="4" w:space="0" w:color="000000"/>
                                    <w:left w:val="nil"/>
                                    <w:bottom w:val="nil"/>
                                    <w:right w:val="nil"/>
                                  </w:tcBorders>
                                  <w:hideMark/>
                                </w:tcPr>
                                <w:p w14:paraId="1FC7D1E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7.4 </w:t>
                                  </w:r>
                                </w:p>
                              </w:tc>
                              <w:tc>
                                <w:tcPr>
                                  <w:tcW w:w="575" w:type="pct"/>
                                  <w:tcBorders>
                                    <w:top w:val="single" w:sz="4" w:space="0" w:color="000000"/>
                                    <w:left w:val="nil"/>
                                    <w:bottom w:val="nil"/>
                                    <w:right w:val="nil"/>
                                  </w:tcBorders>
                                  <w:hideMark/>
                                </w:tcPr>
                                <w:p w14:paraId="4FCB5F5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9.5 </w:t>
                                  </w:r>
                                </w:p>
                              </w:tc>
                              <w:tc>
                                <w:tcPr>
                                  <w:tcW w:w="538" w:type="pct"/>
                                  <w:tcBorders>
                                    <w:top w:val="single" w:sz="4" w:space="0" w:color="000000"/>
                                    <w:left w:val="nil"/>
                                    <w:bottom w:val="nil"/>
                                    <w:right w:val="nil"/>
                                  </w:tcBorders>
                                  <w:hideMark/>
                                </w:tcPr>
                                <w:p w14:paraId="48151B5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9.9 </w:t>
                                  </w:r>
                                </w:p>
                              </w:tc>
                              <w:tc>
                                <w:tcPr>
                                  <w:tcW w:w="410" w:type="pct"/>
                                  <w:tcBorders>
                                    <w:top w:val="single" w:sz="4" w:space="0" w:color="000000"/>
                                    <w:left w:val="nil"/>
                                    <w:bottom w:val="nil"/>
                                    <w:right w:val="nil"/>
                                  </w:tcBorders>
                                  <w:hideMark/>
                                </w:tcPr>
                                <w:p w14:paraId="6CC7B6A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15.7 </w:t>
                                  </w:r>
                                </w:p>
                              </w:tc>
                            </w:tr>
                            <w:tr w:rsidR="00166A40" w:rsidRPr="00166A40" w14:paraId="727865EC" w14:textId="77777777" w:rsidTr="00166A40">
                              <w:trPr>
                                <w:trHeight w:val="196"/>
                              </w:trPr>
                              <w:tc>
                                <w:tcPr>
                                  <w:tcW w:w="1338" w:type="pct"/>
                                  <w:tcBorders>
                                    <w:top w:val="nil"/>
                                    <w:left w:val="nil"/>
                                    <w:bottom w:val="nil"/>
                                    <w:right w:val="nil"/>
                                  </w:tcBorders>
                                  <w:noWrap/>
                                  <w:hideMark/>
                                </w:tcPr>
                                <w:p w14:paraId="55E560BB"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Minority Int. in Earnings</w:t>
                                  </w:r>
                                </w:p>
                              </w:tc>
                              <w:tc>
                                <w:tcPr>
                                  <w:tcW w:w="534" w:type="pct"/>
                                  <w:tcBorders>
                                    <w:top w:val="nil"/>
                                    <w:left w:val="nil"/>
                                    <w:bottom w:val="nil"/>
                                    <w:right w:val="nil"/>
                                  </w:tcBorders>
                                  <w:hideMark/>
                                </w:tcPr>
                                <w:p w14:paraId="5BBCB7E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4" w:type="pct"/>
                                  <w:tcBorders>
                                    <w:top w:val="nil"/>
                                    <w:left w:val="nil"/>
                                    <w:bottom w:val="nil"/>
                                    <w:right w:val="nil"/>
                                  </w:tcBorders>
                                  <w:hideMark/>
                                </w:tcPr>
                                <w:p w14:paraId="71E80E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 </w:t>
                                  </w:r>
                                </w:p>
                              </w:tc>
                              <w:tc>
                                <w:tcPr>
                                  <w:tcW w:w="535" w:type="pct"/>
                                  <w:tcBorders>
                                    <w:top w:val="nil"/>
                                    <w:left w:val="nil"/>
                                    <w:bottom w:val="nil"/>
                                    <w:right w:val="nil"/>
                                  </w:tcBorders>
                                  <w:hideMark/>
                                </w:tcPr>
                                <w:p w14:paraId="6E74DE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6" w:type="pct"/>
                                  <w:tcBorders>
                                    <w:top w:val="nil"/>
                                    <w:left w:val="nil"/>
                                    <w:bottom w:val="nil"/>
                                    <w:right w:val="nil"/>
                                  </w:tcBorders>
                                  <w:hideMark/>
                                </w:tcPr>
                                <w:p w14:paraId="1494C5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c>
                                <w:tcPr>
                                  <w:tcW w:w="575" w:type="pct"/>
                                  <w:tcBorders>
                                    <w:top w:val="nil"/>
                                    <w:left w:val="nil"/>
                                    <w:bottom w:val="nil"/>
                                    <w:right w:val="nil"/>
                                  </w:tcBorders>
                                  <w:hideMark/>
                                </w:tcPr>
                                <w:p w14:paraId="2A5D33A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 </w:t>
                                  </w:r>
                                </w:p>
                              </w:tc>
                              <w:tc>
                                <w:tcPr>
                                  <w:tcW w:w="538" w:type="pct"/>
                                  <w:tcBorders>
                                    <w:top w:val="nil"/>
                                    <w:left w:val="nil"/>
                                    <w:bottom w:val="nil"/>
                                    <w:right w:val="nil"/>
                                  </w:tcBorders>
                                  <w:hideMark/>
                                </w:tcPr>
                                <w:p w14:paraId="5494560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410" w:type="pct"/>
                                  <w:tcBorders>
                                    <w:top w:val="nil"/>
                                    <w:left w:val="nil"/>
                                    <w:bottom w:val="nil"/>
                                    <w:right w:val="nil"/>
                                  </w:tcBorders>
                                  <w:hideMark/>
                                </w:tcPr>
                                <w:p w14:paraId="59B43C4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2FF5A44C" w14:textId="77777777" w:rsidTr="00166A40">
                              <w:trPr>
                                <w:trHeight w:val="196"/>
                              </w:trPr>
                              <w:tc>
                                <w:tcPr>
                                  <w:tcW w:w="1338" w:type="pct"/>
                                  <w:tcBorders>
                                    <w:top w:val="nil"/>
                                    <w:left w:val="nil"/>
                                    <w:bottom w:val="nil"/>
                                    <w:right w:val="nil"/>
                                  </w:tcBorders>
                                  <w:noWrap/>
                                  <w:hideMark/>
                                </w:tcPr>
                                <w:p w14:paraId="0FEB068C"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Income</w:t>
                                  </w:r>
                                </w:p>
                              </w:tc>
                              <w:tc>
                                <w:tcPr>
                                  <w:tcW w:w="534" w:type="pct"/>
                                  <w:tcBorders>
                                    <w:top w:val="single" w:sz="4" w:space="0" w:color="000000"/>
                                    <w:left w:val="nil"/>
                                    <w:bottom w:val="nil"/>
                                    <w:right w:val="nil"/>
                                  </w:tcBorders>
                                  <w:hideMark/>
                                </w:tcPr>
                                <w:p w14:paraId="4666ED6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13.1 </w:t>
                                  </w:r>
                                </w:p>
                              </w:tc>
                              <w:tc>
                                <w:tcPr>
                                  <w:tcW w:w="534" w:type="pct"/>
                                  <w:tcBorders>
                                    <w:top w:val="single" w:sz="4" w:space="0" w:color="000000"/>
                                    <w:left w:val="nil"/>
                                    <w:bottom w:val="nil"/>
                                    <w:right w:val="nil"/>
                                  </w:tcBorders>
                                  <w:hideMark/>
                                </w:tcPr>
                                <w:p w14:paraId="75AF036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21.1 </w:t>
                                  </w:r>
                                </w:p>
                              </w:tc>
                              <w:tc>
                                <w:tcPr>
                                  <w:tcW w:w="535" w:type="pct"/>
                                  <w:tcBorders>
                                    <w:top w:val="single" w:sz="4" w:space="0" w:color="000000"/>
                                    <w:left w:val="nil"/>
                                    <w:bottom w:val="nil"/>
                                    <w:right w:val="nil"/>
                                  </w:tcBorders>
                                  <w:hideMark/>
                                </w:tcPr>
                                <w:p w14:paraId="5623597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23.0 </w:t>
                                  </w:r>
                                </w:p>
                              </w:tc>
                              <w:tc>
                                <w:tcPr>
                                  <w:tcW w:w="536" w:type="pct"/>
                                  <w:tcBorders>
                                    <w:top w:val="single" w:sz="4" w:space="0" w:color="000000"/>
                                    <w:left w:val="nil"/>
                                    <w:bottom w:val="nil"/>
                                    <w:right w:val="nil"/>
                                  </w:tcBorders>
                                  <w:hideMark/>
                                </w:tcPr>
                                <w:p w14:paraId="252C279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9.8 </w:t>
                                  </w:r>
                                </w:p>
                              </w:tc>
                              <w:tc>
                                <w:tcPr>
                                  <w:tcW w:w="575" w:type="pct"/>
                                  <w:tcBorders>
                                    <w:top w:val="single" w:sz="4" w:space="0" w:color="000000"/>
                                    <w:left w:val="nil"/>
                                    <w:bottom w:val="nil"/>
                                    <w:right w:val="nil"/>
                                  </w:tcBorders>
                                  <w:hideMark/>
                                </w:tcPr>
                                <w:p w14:paraId="29F77AE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10.6 </w:t>
                                  </w:r>
                                </w:p>
                              </w:tc>
                              <w:tc>
                                <w:tcPr>
                                  <w:tcW w:w="538" w:type="pct"/>
                                  <w:tcBorders>
                                    <w:top w:val="single" w:sz="4" w:space="0" w:color="000000"/>
                                    <w:left w:val="nil"/>
                                    <w:bottom w:val="nil"/>
                                    <w:right w:val="nil"/>
                                  </w:tcBorders>
                                  <w:hideMark/>
                                </w:tcPr>
                                <w:p w14:paraId="1633192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11.1 </w:t>
                                  </w:r>
                                </w:p>
                              </w:tc>
                              <w:tc>
                                <w:tcPr>
                                  <w:tcW w:w="410" w:type="pct"/>
                                  <w:tcBorders>
                                    <w:top w:val="single" w:sz="4" w:space="0" w:color="000000"/>
                                    <w:left w:val="nil"/>
                                    <w:bottom w:val="nil"/>
                                    <w:right w:val="nil"/>
                                  </w:tcBorders>
                                  <w:hideMark/>
                                </w:tcPr>
                                <w:p w14:paraId="4159E01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16.6 </w:t>
                                  </w:r>
                                </w:p>
                              </w:tc>
                            </w:tr>
                            <w:tr w:rsidR="00166A40" w:rsidRPr="00166A40" w14:paraId="6295B6D9" w14:textId="77777777" w:rsidTr="00166A40">
                              <w:trPr>
                                <w:trHeight w:val="196"/>
                              </w:trPr>
                              <w:tc>
                                <w:tcPr>
                                  <w:tcW w:w="1338" w:type="pct"/>
                                  <w:tcBorders>
                                    <w:top w:val="nil"/>
                                    <w:left w:val="nil"/>
                                    <w:bottom w:val="nil"/>
                                    <w:right w:val="nil"/>
                                  </w:tcBorders>
                                  <w:noWrap/>
                                  <w:hideMark/>
                                </w:tcPr>
                                <w:p w14:paraId="7DACD351"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Pref. Dividends and Other Adj.</w:t>
                                  </w:r>
                                </w:p>
                              </w:tc>
                              <w:tc>
                                <w:tcPr>
                                  <w:tcW w:w="534" w:type="pct"/>
                                  <w:tcBorders>
                                    <w:top w:val="nil"/>
                                    <w:left w:val="nil"/>
                                    <w:bottom w:val="nil"/>
                                    <w:right w:val="nil"/>
                                  </w:tcBorders>
                                  <w:hideMark/>
                                </w:tcPr>
                                <w:p w14:paraId="6A33D7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61D43E8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5" w:type="pct"/>
                                  <w:tcBorders>
                                    <w:top w:val="nil"/>
                                    <w:left w:val="nil"/>
                                    <w:bottom w:val="nil"/>
                                    <w:right w:val="nil"/>
                                  </w:tcBorders>
                                  <w:hideMark/>
                                </w:tcPr>
                                <w:p w14:paraId="266EDFC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6" w:type="pct"/>
                                  <w:tcBorders>
                                    <w:top w:val="nil"/>
                                    <w:left w:val="nil"/>
                                    <w:bottom w:val="nil"/>
                                    <w:right w:val="nil"/>
                                  </w:tcBorders>
                                  <w:hideMark/>
                                </w:tcPr>
                                <w:p w14:paraId="068C04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75" w:type="pct"/>
                                  <w:tcBorders>
                                    <w:top w:val="nil"/>
                                    <w:left w:val="nil"/>
                                    <w:bottom w:val="nil"/>
                                    <w:right w:val="nil"/>
                                  </w:tcBorders>
                                  <w:hideMark/>
                                </w:tcPr>
                                <w:p w14:paraId="449D29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8" w:type="pct"/>
                                  <w:tcBorders>
                                    <w:top w:val="nil"/>
                                    <w:left w:val="nil"/>
                                    <w:bottom w:val="nil"/>
                                    <w:right w:val="nil"/>
                                  </w:tcBorders>
                                  <w:hideMark/>
                                </w:tcPr>
                                <w:p w14:paraId="5C4787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410" w:type="pct"/>
                                  <w:tcBorders>
                                    <w:top w:val="nil"/>
                                    <w:left w:val="nil"/>
                                    <w:bottom w:val="nil"/>
                                    <w:right w:val="nil"/>
                                  </w:tcBorders>
                                  <w:hideMark/>
                                </w:tcPr>
                                <w:p w14:paraId="3F2DFED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r>
                            <w:tr w:rsidR="00166A40" w:rsidRPr="00166A40" w14:paraId="1D7A3586" w14:textId="77777777" w:rsidTr="00166A40">
                              <w:trPr>
                                <w:trHeight w:val="196"/>
                              </w:trPr>
                              <w:tc>
                                <w:tcPr>
                                  <w:tcW w:w="1338" w:type="pct"/>
                                  <w:tcBorders>
                                    <w:top w:val="nil"/>
                                    <w:left w:val="nil"/>
                                    <w:bottom w:val="nil"/>
                                    <w:right w:val="nil"/>
                                  </w:tcBorders>
                                  <w:noWrap/>
                                  <w:hideMark/>
                                </w:tcPr>
                                <w:p w14:paraId="249486A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NI to Common Incl Extra Items</w:t>
                                  </w:r>
                                </w:p>
                              </w:tc>
                              <w:tc>
                                <w:tcPr>
                                  <w:tcW w:w="534" w:type="pct"/>
                                  <w:tcBorders>
                                    <w:top w:val="nil"/>
                                    <w:left w:val="nil"/>
                                    <w:bottom w:val="nil"/>
                                    <w:right w:val="nil"/>
                                  </w:tcBorders>
                                  <w:hideMark/>
                                </w:tcPr>
                                <w:p w14:paraId="70FDF2F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13.1 </w:t>
                                  </w:r>
                                </w:p>
                              </w:tc>
                              <w:tc>
                                <w:tcPr>
                                  <w:tcW w:w="534" w:type="pct"/>
                                  <w:tcBorders>
                                    <w:top w:val="nil"/>
                                    <w:left w:val="nil"/>
                                    <w:bottom w:val="nil"/>
                                    <w:right w:val="nil"/>
                                  </w:tcBorders>
                                  <w:hideMark/>
                                </w:tcPr>
                                <w:p w14:paraId="595E6F6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21.1 </w:t>
                                  </w:r>
                                </w:p>
                              </w:tc>
                              <w:tc>
                                <w:tcPr>
                                  <w:tcW w:w="535" w:type="pct"/>
                                  <w:tcBorders>
                                    <w:top w:val="nil"/>
                                    <w:left w:val="nil"/>
                                    <w:bottom w:val="nil"/>
                                    <w:right w:val="nil"/>
                                  </w:tcBorders>
                                  <w:hideMark/>
                                </w:tcPr>
                                <w:p w14:paraId="16E3B61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22.9 </w:t>
                                  </w:r>
                                </w:p>
                              </w:tc>
                              <w:tc>
                                <w:tcPr>
                                  <w:tcW w:w="536" w:type="pct"/>
                                  <w:tcBorders>
                                    <w:top w:val="nil"/>
                                    <w:left w:val="nil"/>
                                    <w:bottom w:val="nil"/>
                                    <w:right w:val="nil"/>
                                  </w:tcBorders>
                                  <w:hideMark/>
                                </w:tcPr>
                                <w:p w14:paraId="38CCEEF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9.8 </w:t>
                                  </w:r>
                                </w:p>
                              </w:tc>
                              <w:tc>
                                <w:tcPr>
                                  <w:tcW w:w="575" w:type="pct"/>
                                  <w:tcBorders>
                                    <w:top w:val="nil"/>
                                    <w:left w:val="nil"/>
                                    <w:bottom w:val="nil"/>
                                    <w:right w:val="nil"/>
                                  </w:tcBorders>
                                  <w:hideMark/>
                                </w:tcPr>
                                <w:p w14:paraId="28F7469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10.6 </w:t>
                                  </w:r>
                                </w:p>
                              </w:tc>
                              <w:tc>
                                <w:tcPr>
                                  <w:tcW w:w="538" w:type="pct"/>
                                  <w:tcBorders>
                                    <w:top w:val="nil"/>
                                    <w:left w:val="nil"/>
                                    <w:bottom w:val="nil"/>
                                    <w:right w:val="nil"/>
                                  </w:tcBorders>
                                  <w:hideMark/>
                                </w:tcPr>
                                <w:p w14:paraId="315B69F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11.0 </w:t>
                                  </w:r>
                                </w:p>
                              </w:tc>
                              <w:tc>
                                <w:tcPr>
                                  <w:tcW w:w="410" w:type="pct"/>
                                  <w:tcBorders>
                                    <w:top w:val="nil"/>
                                    <w:left w:val="nil"/>
                                    <w:bottom w:val="nil"/>
                                    <w:right w:val="nil"/>
                                  </w:tcBorders>
                                  <w:hideMark/>
                                </w:tcPr>
                                <w:p w14:paraId="1AFE010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16.5 </w:t>
                                  </w:r>
                                </w:p>
                              </w:tc>
                            </w:tr>
                            <w:tr w:rsidR="00166A40" w:rsidRPr="00166A40" w14:paraId="01B2A795" w14:textId="77777777" w:rsidTr="00166A40">
                              <w:trPr>
                                <w:trHeight w:val="196"/>
                              </w:trPr>
                              <w:tc>
                                <w:tcPr>
                                  <w:tcW w:w="1338" w:type="pct"/>
                                  <w:tcBorders>
                                    <w:top w:val="nil"/>
                                    <w:left w:val="nil"/>
                                    <w:bottom w:val="nil"/>
                                    <w:right w:val="nil"/>
                                  </w:tcBorders>
                                  <w:noWrap/>
                                  <w:hideMark/>
                                </w:tcPr>
                                <w:p w14:paraId="74641032"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NI to Common Excl. Extra Items</w:t>
                                  </w:r>
                                </w:p>
                              </w:tc>
                              <w:tc>
                                <w:tcPr>
                                  <w:tcW w:w="534" w:type="pct"/>
                                  <w:tcBorders>
                                    <w:top w:val="nil"/>
                                    <w:left w:val="nil"/>
                                    <w:bottom w:val="nil"/>
                                    <w:right w:val="nil"/>
                                  </w:tcBorders>
                                  <w:hideMark/>
                                </w:tcPr>
                                <w:p w14:paraId="3DCE490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13.1 </w:t>
                                  </w:r>
                                </w:p>
                              </w:tc>
                              <w:tc>
                                <w:tcPr>
                                  <w:tcW w:w="534" w:type="pct"/>
                                  <w:tcBorders>
                                    <w:top w:val="nil"/>
                                    <w:left w:val="nil"/>
                                    <w:bottom w:val="nil"/>
                                    <w:right w:val="nil"/>
                                  </w:tcBorders>
                                  <w:hideMark/>
                                </w:tcPr>
                                <w:p w14:paraId="2DD5270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21.1 </w:t>
                                  </w:r>
                                </w:p>
                              </w:tc>
                              <w:tc>
                                <w:tcPr>
                                  <w:tcW w:w="535" w:type="pct"/>
                                  <w:tcBorders>
                                    <w:top w:val="nil"/>
                                    <w:left w:val="nil"/>
                                    <w:bottom w:val="nil"/>
                                    <w:right w:val="nil"/>
                                  </w:tcBorders>
                                  <w:hideMark/>
                                </w:tcPr>
                                <w:p w14:paraId="65461C7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22.9 </w:t>
                                  </w:r>
                                </w:p>
                              </w:tc>
                              <w:tc>
                                <w:tcPr>
                                  <w:tcW w:w="536" w:type="pct"/>
                                  <w:tcBorders>
                                    <w:top w:val="nil"/>
                                    <w:left w:val="nil"/>
                                    <w:bottom w:val="nil"/>
                                    <w:right w:val="nil"/>
                                  </w:tcBorders>
                                  <w:hideMark/>
                                </w:tcPr>
                                <w:p w14:paraId="4DBDF50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9.8 </w:t>
                                  </w:r>
                                </w:p>
                              </w:tc>
                              <w:tc>
                                <w:tcPr>
                                  <w:tcW w:w="575" w:type="pct"/>
                                  <w:tcBorders>
                                    <w:top w:val="nil"/>
                                    <w:left w:val="nil"/>
                                    <w:bottom w:val="nil"/>
                                    <w:right w:val="nil"/>
                                  </w:tcBorders>
                                  <w:hideMark/>
                                </w:tcPr>
                                <w:p w14:paraId="0B6E603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10.6 </w:t>
                                  </w:r>
                                </w:p>
                              </w:tc>
                              <w:tc>
                                <w:tcPr>
                                  <w:tcW w:w="538" w:type="pct"/>
                                  <w:tcBorders>
                                    <w:top w:val="nil"/>
                                    <w:left w:val="nil"/>
                                    <w:bottom w:val="nil"/>
                                    <w:right w:val="nil"/>
                                  </w:tcBorders>
                                  <w:hideMark/>
                                </w:tcPr>
                                <w:p w14:paraId="246EFBA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11.0 </w:t>
                                  </w:r>
                                </w:p>
                              </w:tc>
                              <w:tc>
                                <w:tcPr>
                                  <w:tcW w:w="410" w:type="pct"/>
                                  <w:tcBorders>
                                    <w:top w:val="nil"/>
                                    <w:left w:val="nil"/>
                                    <w:bottom w:val="nil"/>
                                    <w:right w:val="nil"/>
                                  </w:tcBorders>
                                  <w:hideMark/>
                                </w:tcPr>
                                <w:p w14:paraId="50B9C47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16.5 </w:t>
                                  </w:r>
                                </w:p>
                              </w:tc>
                            </w:tr>
                            <w:tr w:rsidR="00166A40" w:rsidRPr="00166A40" w14:paraId="75206550" w14:textId="77777777" w:rsidTr="00166A40">
                              <w:trPr>
                                <w:trHeight w:val="196"/>
                              </w:trPr>
                              <w:tc>
                                <w:tcPr>
                                  <w:tcW w:w="1338" w:type="pct"/>
                                  <w:tcBorders>
                                    <w:top w:val="nil"/>
                                    <w:left w:val="nil"/>
                                    <w:bottom w:val="nil"/>
                                    <w:right w:val="nil"/>
                                  </w:tcBorders>
                                  <w:noWrap/>
                                  <w:hideMark/>
                                </w:tcPr>
                                <w:p w14:paraId="3DD3A1E5"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Per Share Items</w:t>
                                  </w:r>
                                </w:p>
                              </w:tc>
                              <w:tc>
                                <w:tcPr>
                                  <w:tcW w:w="534" w:type="pct"/>
                                  <w:tcBorders>
                                    <w:top w:val="nil"/>
                                    <w:left w:val="nil"/>
                                    <w:bottom w:val="nil"/>
                                    <w:right w:val="nil"/>
                                  </w:tcBorders>
                                  <w:noWrap/>
                                  <w:hideMark/>
                                </w:tcPr>
                                <w:p w14:paraId="7AF6B2D2"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534" w:type="pct"/>
                                  <w:tcBorders>
                                    <w:top w:val="nil"/>
                                    <w:left w:val="nil"/>
                                    <w:bottom w:val="nil"/>
                                    <w:right w:val="nil"/>
                                  </w:tcBorders>
                                  <w:noWrap/>
                                  <w:hideMark/>
                                </w:tcPr>
                                <w:p w14:paraId="653710F5"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0C926BC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6" w:type="pct"/>
                                  <w:tcBorders>
                                    <w:top w:val="nil"/>
                                    <w:left w:val="nil"/>
                                    <w:bottom w:val="nil"/>
                                    <w:right w:val="nil"/>
                                  </w:tcBorders>
                                  <w:noWrap/>
                                  <w:hideMark/>
                                </w:tcPr>
                                <w:p w14:paraId="683DBD4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75" w:type="pct"/>
                                  <w:tcBorders>
                                    <w:top w:val="nil"/>
                                    <w:left w:val="nil"/>
                                    <w:bottom w:val="nil"/>
                                    <w:right w:val="nil"/>
                                  </w:tcBorders>
                                  <w:noWrap/>
                                  <w:hideMark/>
                                </w:tcPr>
                                <w:p w14:paraId="2392728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8" w:type="pct"/>
                                  <w:tcBorders>
                                    <w:top w:val="nil"/>
                                    <w:left w:val="nil"/>
                                    <w:bottom w:val="nil"/>
                                    <w:right w:val="nil"/>
                                  </w:tcBorders>
                                  <w:noWrap/>
                                  <w:hideMark/>
                                </w:tcPr>
                                <w:p w14:paraId="443F9D6C"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410" w:type="pct"/>
                                  <w:tcBorders>
                                    <w:top w:val="nil"/>
                                    <w:left w:val="nil"/>
                                    <w:bottom w:val="nil"/>
                                    <w:right w:val="nil"/>
                                  </w:tcBorders>
                                  <w:noWrap/>
                                  <w:hideMark/>
                                </w:tcPr>
                                <w:p w14:paraId="57871AEA"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r>
                            <w:tr w:rsidR="00166A40" w:rsidRPr="00166A40" w14:paraId="1B09F232" w14:textId="77777777" w:rsidTr="00166A40">
                              <w:trPr>
                                <w:trHeight w:val="196"/>
                              </w:trPr>
                              <w:tc>
                                <w:tcPr>
                                  <w:tcW w:w="1338" w:type="pct"/>
                                  <w:tcBorders>
                                    <w:top w:val="nil"/>
                                    <w:left w:val="nil"/>
                                    <w:bottom w:val="nil"/>
                                    <w:right w:val="nil"/>
                                  </w:tcBorders>
                                  <w:noWrap/>
                                  <w:hideMark/>
                                </w:tcPr>
                                <w:p w14:paraId="76DB93E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Basic EPS</w:t>
                                  </w:r>
                                </w:p>
                              </w:tc>
                              <w:tc>
                                <w:tcPr>
                                  <w:tcW w:w="534" w:type="pct"/>
                                  <w:tcBorders>
                                    <w:top w:val="nil"/>
                                    <w:left w:val="nil"/>
                                    <w:bottom w:val="nil"/>
                                    <w:right w:val="nil"/>
                                  </w:tcBorders>
                                  <w:hideMark/>
                                </w:tcPr>
                                <w:p w14:paraId="60C565F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$5.06 </w:t>
                                  </w:r>
                                </w:p>
                              </w:tc>
                              <w:tc>
                                <w:tcPr>
                                  <w:tcW w:w="534" w:type="pct"/>
                                  <w:tcBorders>
                                    <w:top w:val="nil"/>
                                    <w:left w:val="nil"/>
                                    <w:bottom w:val="nil"/>
                                    <w:right w:val="nil"/>
                                  </w:tcBorders>
                                  <w:hideMark/>
                                </w:tcPr>
                                <w:p w14:paraId="0FE5DAB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$8.02 </w:t>
                                  </w:r>
                                </w:p>
                              </w:tc>
                              <w:tc>
                                <w:tcPr>
                                  <w:tcW w:w="535" w:type="pct"/>
                                  <w:tcBorders>
                                    <w:top w:val="nil"/>
                                    <w:left w:val="nil"/>
                                    <w:bottom w:val="nil"/>
                                    <w:right w:val="nil"/>
                                  </w:tcBorders>
                                  <w:hideMark/>
                                </w:tcPr>
                                <w:p w14:paraId="0003C55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$8.49 </w:t>
                                  </w:r>
                                </w:p>
                              </w:tc>
                              <w:tc>
                                <w:tcPr>
                                  <w:tcW w:w="536" w:type="pct"/>
                                  <w:tcBorders>
                                    <w:top w:val="nil"/>
                                    <w:left w:val="nil"/>
                                    <w:bottom w:val="nil"/>
                                    <w:right w:val="nil"/>
                                  </w:tcBorders>
                                  <w:hideMark/>
                                </w:tcPr>
                                <w:p w14:paraId="2BB5886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$3.63 </w:t>
                                  </w:r>
                                </w:p>
                              </w:tc>
                              <w:tc>
                                <w:tcPr>
                                  <w:tcW w:w="575" w:type="pct"/>
                                  <w:tcBorders>
                                    <w:top w:val="nil"/>
                                    <w:left w:val="nil"/>
                                    <w:bottom w:val="nil"/>
                                    <w:right w:val="nil"/>
                                  </w:tcBorders>
                                  <w:hideMark/>
                                </w:tcPr>
                                <w:p w14:paraId="6E3F627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8" w:type="pct"/>
                                  <w:tcBorders>
                                    <w:top w:val="nil"/>
                                    <w:left w:val="nil"/>
                                    <w:bottom w:val="nil"/>
                                    <w:right w:val="nil"/>
                                  </w:tcBorders>
                                  <w:hideMark/>
                                </w:tcPr>
                                <w:p w14:paraId="10B13E9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$4.38 </w:t>
                                  </w:r>
                                </w:p>
                              </w:tc>
                              <w:tc>
                                <w:tcPr>
                                  <w:tcW w:w="410" w:type="pct"/>
                                  <w:tcBorders>
                                    <w:top w:val="nil"/>
                                    <w:left w:val="nil"/>
                                    <w:bottom w:val="nil"/>
                                    <w:right w:val="nil"/>
                                  </w:tcBorders>
                                  <w:hideMark/>
                                </w:tcPr>
                                <w:p w14:paraId="7ABC0B4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$6.9 </w:t>
                                  </w:r>
                                </w:p>
                              </w:tc>
                            </w:tr>
                            <w:tr w:rsidR="00166A40" w:rsidRPr="00166A40" w14:paraId="0CE3697B" w14:textId="77777777" w:rsidTr="00166A40">
                              <w:trPr>
                                <w:trHeight w:val="196"/>
                              </w:trPr>
                              <w:tc>
                                <w:tcPr>
                                  <w:tcW w:w="1338" w:type="pct"/>
                                  <w:tcBorders>
                                    <w:top w:val="nil"/>
                                    <w:left w:val="nil"/>
                                    <w:bottom w:val="nil"/>
                                    <w:right w:val="nil"/>
                                  </w:tcBorders>
                                  <w:noWrap/>
                                  <w:hideMark/>
                                </w:tcPr>
                                <w:p w14:paraId="679D399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Basic EPS Excl. Extra Items</w:t>
                                  </w:r>
                                </w:p>
                              </w:tc>
                              <w:tc>
                                <w:tcPr>
                                  <w:tcW w:w="534" w:type="pct"/>
                                  <w:tcBorders>
                                    <w:top w:val="nil"/>
                                    <w:left w:val="nil"/>
                                    <w:bottom w:val="nil"/>
                                    <w:right w:val="nil"/>
                                  </w:tcBorders>
                                  <w:hideMark/>
                                </w:tcPr>
                                <w:p w14:paraId="15B8008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5.06 </w:t>
                                  </w:r>
                                </w:p>
                              </w:tc>
                              <w:tc>
                                <w:tcPr>
                                  <w:tcW w:w="534" w:type="pct"/>
                                  <w:tcBorders>
                                    <w:top w:val="nil"/>
                                    <w:left w:val="nil"/>
                                    <w:bottom w:val="nil"/>
                                    <w:right w:val="nil"/>
                                  </w:tcBorders>
                                  <w:hideMark/>
                                </w:tcPr>
                                <w:p w14:paraId="4EF8C8E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8.02 </w:t>
                                  </w:r>
                                </w:p>
                              </w:tc>
                              <w:tc>
                                <w:tcPr>
                                  <w:tcW w:w="535" w:type="pct"/>
                                  <w:tcBorders>
                                    <w:top w:val="nil"/>
                                    <w:left w:val="nil"/>
                                    <w:bottom w:val="nil"/>
                                    <w:right w:val="nil"/>
                                  </w:tcBorders>
                                  <w:hideMark/>
                                </w:tcPr>
                                <w:p w14:paraId="394036E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8.49 </w:t>
                                  </w:r>
                                </w:p>
                              </w:tc>
                              <w:tc>
                                <w:tcPr>
                                  <w:tcW w:w="536" w:type="pct"/>
                                  <w:tcBorders>
                                    <w:top w:val="nil"/>
                                    <w:left w:val="nil"/>
                                    <w:bottom w:val="nil"/>
                                    <w:right w:val="nil"/>
                                  </w:tcBorders>
                                  <w:hideMark/>
                                </w:tcPr>
                                <w:p w14:paraId="6F875F2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3.63 </w:t>
                                  </w:r>
                                </w:p>
                              </w:tc>
                              <w:tc>
                                <w:tcPr>
                                  <w:tcW w:w="575" w:type="pct"/>
                                  <w:tcBorders>
                                    <w:top w:val="nil"/>
                                    <w:left w:val="nil"/>
                                    <w:bottom w:val="nil"/>
                                    <w:right w:val="nil"/>
                                  </w:tcBorders>
                                  <w:hideMark/>
                                </w:tcPr>
                                <w:p w14:paraId="375B866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8" w:type="pct"/>
                                  <w:tcBorders>
                                    <w:top w:val="nil"/>
                                    <w:left w:val="nil"/>
                                    <w:bottom w:val="nil"/>
                                    <w:right w:val="nil"/>
                                  </w:tcBorders>
                                  <w:hideMark/>
                                </w:tcPr>
                                <w:p w14:paraId="4D40393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4.38 </w:t>
                                  </w:r>
                                </w:p>
                              </w:tc>
                              <w:tc>
                                <w:tcPr>
                                  <w:tcW w:w="410" w:type="pct"/>
                                  <w:tcBorders>
                                    <w:top w:val="nil"/>
                                    <w:left w:val="nil"/>
                                    <w:bottom w:val="nil"/>
                                    <w:right w:val="nil"/>
                                  </w:tcBorders>
                                  <w:hideMark/>
                                </w:tcPr>
                                <w:p w14:paraId="33DEFED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6.9 </w:t>
                                  </w:r>
                                </w:p>
                              </w:tc>
                            </w:tr>
                            <w:tr w:rsidR="00166A40" w:rsidRPr="00166A40" w14:paraId="6BF362F9" w14:textId="77777777" w:rsidTr="00166A40">
                              <w:trPr>
                                <w:trHeight w:val="196"/>
                              </w:trPr>
                              <w:tc>
                                <w:tcPr>
                                  <w:tcW w:w="1338" w:type="pct"/>
                                  <w:tcBorders>
                                    <w:top w:val="nil"/>
                                    <w:left w:val="nil"/>
                                    <w:bottom w:val="nil"/>
                                    <w:right w:val="nil"/>
                                  </w:tcBorders>
                                  <w:noWrap/>
                                  <w:hideMark/>
                                </w:tcPr>
                                <w:p w14:paraId="0B525254"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Weighted Avg. Basic Shares Out.</w:t>
                                  </w:r>
                                </w:p>
                              </w:tc>
                              <w:tc>
                                <w:tcPr>
                                  <w:tcW w:w="534" w:type="pct"/>
                                  <w:tcBorders>
                                    <w:top w:val="nil"/>
                                    <w:left w:val="nil"/>
                                    <w:bottom w:val="nil"/>
                                    <w:right w:val="nil"/>
                                  </w:tcBorders>
                                  <w:hideMark/>
                                </w:tcPr>
                                <w:p w14:paraId="702D0E4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4" w:type="pct"/>
                                  <w:tcBorders>
                                    <w:top w:val="nil"/>
                                    <w:left w:val="nil"/>
                                    <w:bottom w:val="nil"/>
                                    <w:right w:val="nil"/>
                                  </w:tcBorders>
                                  <w:hideMark/>
                                </w:tcPr>
                                <w:p w14:paraId="0B8A52C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5" w:type="pct"/>
                                  <w:tcBorders>
                                    <w:top w:val="nil"/>
                                    <w:left w:val="nil"/>
                                    <w:bottom w:val="nil"/>
                                    <w:right w:val="nil"/>
                                  </w:tcBorders>
                                  <w:hideMark/>
                                </w:tcPr>
                                <w:p w14:paraId="549655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6" w:type="pct"/>
                                  <w:tcBorders>
                                    <w:top w:val="nil"/>
                                    <w:left w:val="nil"/>
                                    <w:bottom w:val="nil"/>
                                    <w:right w:val="nil"/>
                                  </w:tcBorders>
                                  <w:hideMark/>
                                </w:tcPr>
                                <w:p w14:paraId="2664FFE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75" w:type="pct"/>
                                  <w:tcBorders>
                                    <w:top w:val="nil"/>
                                    <w:left w:val="nil"/>
                                    <w:bottom w:val="nil"/>
                                    <w:right w:val="nil"/>
                                  </w:tcBorders>
                                  <w:hideMark/>
                                </w:tcPr>
                                <w:p w14:paraId="0BB9B6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8" w:type="pct"/>
                                  <w:tcBorders>
                                    <w:top w:val="nil"/>
                                    <w:left w:val="nil"/>
                                    <w:bottom w:val="nil"/>
                                    <w:right w:val="nil"/>
                                  </w:tcBorders>
                                  <w:hideMark/>
                                </w:tcPr>
                                <w:p w14:paraId="6EA6C2A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410" w:type="pct"/>
                                  <w:tcBorders>
                                    <w:top w:val="nil"/>
                                    <w:left w:val="nil"/>
                                    <w:bottom w:val="nil"/>
                                    <w:right w:val="nil"/>
                                  </w:tcBorders>
                                  <w:hideMark/>
                                </w:tcPr>
                                <w:p w14:paraId="0E86FF0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r>
                            <w:tr w:rsidR="00166A40" w:rsidRPr="00166A40" w14:paraId="4D63DB2C" w14:textId="77777777" w:rsidTr="00166A40">
                              <w:trPr>
                                <w:trHeight w:val="196"/>
                              </w:trPr>
                              <w:tc>
                                <w:tcPr>
                                  <w:tcW w:w="1338" w:type="pct"/>
                                  <w:tcBorders>
                                    <w:top w:val="nil"/>
                                    <w:left w:val="nil"/>
                                    <w:bottom w:val="nil"/>
                                    <w:right w:val="nil"/>
                                  </w:tcBorders>
                                  <w:noWrap/>
                                  <w:hideMark/>
                                </w:tcPr>
                                <w:p w14:paraId="7328CEB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Diluted EPS</w:t>
                                  </w:r>
                                </w:p>
                              </w:tc>
                              <w:tc>
                                <w:tcPr>
                                  <w:tcW w:w="534" w:type="pct"/>
                                  <w:tcBorders>
                                    <w:top w:val="nil"/>
                                    <w:left w:val="nil"/>
                                    <w:bottom w:val="nil"/>
                                    <w:right w:val="nil"/>
                                  </w:tcBorders>
                                  <w:hideMark/>
                                </w:tcPr>
                                <w:p w14:paraId="7F8EF77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$4.97 </w:t>
                                  </w:r>
                                </w:p>
                              </w:tc>
                              <w:tc>
                                <w:tcPr>
                                  <w:tcW w:w="534" w:type="pct"/>
                                  <w:tcBorders>
                                    <w:top w:val="nil"/>
                                    <w:left w:val="nil"/>
                                    <w:bottom w:val="nil"/>
                                    <w:right w:val="nil"/>
                                  </w:tcBorders>
                                  <w:hideMark/>
                                </w:tcPr>
                                <w:p w14:paraId="2AB8072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 </w:t>
                                  </w:r>
                                </w:p>
                              </w:tc>
                              <w:tc>
                                <w:tcPr>
                                  <w:tcW w:w="535" w:type="pct"/>
                                  <w:tcBorders>
                                    <w:top w:val="nil"/>
                                    <w:left w:val="nil"/>
                                    <w:bottom w:val="nil"/>
                                    <w:right w:val="nil"/>
                                  </w:tcBorders>
                                  <w:hideMark/>
                                </w:tcPr>
                                <w:p w14:paraId="70F7B0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$8.35 </w:t>
                                  </w:r>
                                </w:p>
                              </w:tc>
                              <w:tc>
                                <w:tcPr>
                                  <w:tcW w:w="536" w:type="pct"/>
                                  <w:tcBorders>
                                    <w:top w:val="nil"/>
                                    <w:left w:val="nil"/>
                                    <w:bottom w:val="nil"/>
                                    <w:right w:val="nil"/>
                                  </w:tcBorders>
                                  <w:hideMark/>
                                </w:tcPr>
                                <w:p w14:paraId="694DFF3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$3.59 </w:t>
                                  </w:r>
                                </w:p>
                              </w:tc>
                              <w:tc>
                                <w:tcPr>
                                  <w:tcW w:w="575" w:type="pct"/>
                                  <w:tcBorders>
                                    <w:top w:val="nil"/>
                                    <w:left w:val="nil"/>
                                    <w:bottom w:val="nil"/>
                                    <w:right w:val="nil"/>
                                  </w:tcBorders>
                                  <w:hideMark/>
                                </w:tcPr>
                                <w:p w14:paraId="70443C5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38" w:type="pct"/>
                                  <w:tcBorders>
                                    <w:top w:val="nil"/>
                                    <w:left w:val="nil"/>
                                    <w:bottom w:val="nil"/>
                                    <w:right w:val="nil"/>
                                  </w:tcBorders>
                                  <w:hideMark/>
                                </w:tcPr>
                                <w:p w14:paraId="04CBB64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$4.33 </w:t>
                                  </w:r>
                                </w:p>
                              </w:tc>
                              <w:tc>
                                <w:tcPr>
                                  <w:tcW w:w="410" w:type="pct"/>
                                  <w:tcBorders>
                                    <w:top w:val="nil"/>
                                    <w:left w:val="nil"/>
                                    <w:bottom w:val="nil"/>
                                    <w:right w:val="nil"/>
                                  </w:tcBorders>
                                  <w:hideMark/>
                                </w:tcPr>
                                <w:p w14:paraId="161C0E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$6.75 </w:t>
                                  </w:r>
                                </w:p>
                              </w:tc>
                            </w:tr>
                            <w:tr w:rsidR="00166A40" w:rsidRPr="00166A40" w14:paraId="51B32EEA" w14:textId="77777777" w:rsidTr="00166A40">
                              <w:trPr>
                                <w:trHeight w:val="196"/>
                              </w:trPr>
                              <w:tc>
                                <w:tcPr>
                                  <w:tcW w:w="1338" w:type="pct"/>
                                  <w:tcBorders>
                                    <w:top w:val="nil"/>
                                    <w:left w:val="nil"/>
                                    <w:bottom w:val="nil"/>
                                    <w:right w:val="nil"/>
                                  </w:tcBorders>
                                  <w:noWrap/>
                                  <w:hideMark/>
                                </w:tcPr>
                                <w:p w14:paraId="0ADC0F10"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Diluted EPS Excl. Extra Items</w:t>
                                  </w:r>
                                </w:p>
                              </w:tc>
                              <w:tc>
                                <w:tcPr>
                                  <w:tcW w:w="534" w:type="pct"/>
                                  <w:tcBorders>
                                    <w:top w:val="nil"/>
                                    <w:left w:val="nil"/>
                                    <w:bottom w:val="nil"/>
                                    <w:right w:val="nil"/>
                                  </w:tcBorders>
                                  <w:hideMark/>
                                </w:tcPr>
                                <w:p w14:paraId="373A97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4.97 </w:t>
                                  </w:r>
                                </w:p>
                              </w:tc>
                              <w:tc>
                                <w:tcPr>
                                  <w:tcW w:w="534" w:type="pct"/>
                                  <w:tcBorders>
                                    <w:top w:val="nil"/>
                                    <w:left w:val="nil"/>
                                    <w:bottom w:val="nil"/>
                                    <w:right w:val="nil"/>
                                  </w:tcBorders>
                                  <w:hideMark/>
                                </w:tcPr>
                                <w:p w14:paraId="5DDC90C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 </w:t>
                                  </w:r>
                                </w:p>
                              </w:tc>
                              <w:tc>
                                <w:tcPr>
                                  <w:tcW w:w="535" w:type="pct"/>
                                  <w:tcBorders>
                                    <w:top w:val="nil"/>
                                    <w:left w:val="nil"/>
                                    <w:bottom w:val="nil"/>
                                    <w:right w:val="nil"/>
                                  </w:tcBorders>
                                  <w:hideMark/>
                                </w:tcPr>
                                <w:p w14:paraId="71AA9E3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8.35 </w:t>
                                  </w:r>
                                </w:p>
                              </w:tc>
                              <w:tc>
                                <w:tcPr>
                                  <w:tcW w:w="536" w:type="pct"/>
                                  <w:tcBorders>
                                    <w:top w:val="nil"/>
                                    <w:left w:val="nil"/>
                                    <w:bottom w:val="nil"/>
                                    <w:right w:val="nil"/>
                                  </w:tcBorders>
                                  <w:hideMark/>
                                </w:tcPr>
                                <w:p w14:paraId="3985B81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3.59 </w:t>
                                  </w:r>
                                </w:p>
                              </w:tc>
                              <w:tc>
                                <w:tcPr>
                                  <w:tcW w:w="575" w:type="pct"/>
                                  <w:tcBorders>
                                    <w:top w:val="nil"/>
                                    <w:left w:val="nil"/>
                                    <w:bottom w:val="nil"/>
                                    <w:right w:val="nil"/>
                                  </w:tcBorders>
                                  <w:hideMark/>
                                </w:tcPr>
                                <w:p w14:paraId="59F354A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38" w:type="pct"/>
                                  <w:tcBorders>
                                    <w:top w:val="nil"/>
                                    <w:left w:val="nil"/>
                                    <w:bottom w:val="nil"/>
                                    <w:right w:val="nil"/>
                                  </w:tcBorders>
                                  <w:hideMark/>
                                </w:tcPr>
                                <w:p w14:paraId="67030A1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4.33 </w:t>
                                  </w:r>
                                </w:p>
                              </w:tc>
                              <w:tc>
                                <w:tcPr>
                                  <w:tcW w:w="410" w:type="pct"/>
                                  <w:tcBorders>
                                    <w:top w:val="nil"/>
                                    <w:left w:val="nil"/>
                                    <w:bottom w:val="nil"/>
                                    <w:right w:val="nil"/>
                                  </w:tcBorders>
                                  <w:hideMark/>
                                </w:tcPr>
                                <w:p w14:paraId="7AA61C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6.75 </w:t>
                                  </w:r>
                                </w:p>
                              </w:tc>
                            </w:tr>
                            <w:tr w:rsidR="00166A40" w:rsidRPr="00166A40" w14:paraId="739E65A9" w14:textId="77777777" w:rsidTr="00166A40">
                              <w:trPr>
                                <w:trHeight w:val="196"/>
                              </w:trPr>
                              <w:tc>
                                <w:tcPr>
                                  <w:tcW w:w="1338" w:type="pct"/>
                                  <w:tcBorders>
                                    <w:top w:val="nil"/>
                                    <w:left w:val="nil"/>
                                    <w:bottom w:val="nil"/>
                                    <w:right w:val="nil"/>
                                  </w:tcBorders>
                                  <w:noWrap/>
                                  <w:hideMark/>
                                </w:tcPr>
                                <w:p w14:paraId="621B9D8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Weighted Avg. Diluted Shares Out.</w:t>
                                  </w:r>
                                </w:p>
                              </w:tc>
                              <w:tc>
                                <w:tcPr>
                                  <w:tcW w:w="534" w:type="pct"/>
                                  <w:tcBorders>
                                    <w:top w:val="nil"/>
                                    <w:left w:val="nil"/>
                                    <w:bottom w:val="nil"/>
                                    <w:right w:val="nil"/>
                                  </w:tcBorders>
                                  <w:hideMark/>
                                </w:tcPr>
                                <w:p w14:paraId="5877FC3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4" w:type="pct"/>
                                  <w:tcBorders>
                                    <w:top w:val="nil"/>
                                    <w:left w:val="nil"/>
                                    <w:bottom w:val="nil"/>
                                    <w:right w:val="nil"/>
                                  </w:tcBorders>
                                  <w:hideMark/>
                                </w:tcPr>
                                <w:p w14:paraId="0E12D91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5" w:type="pct"/>
                                  <w:tcBorders>
                                    <w:top w:val="nil"/>
                                    <w:left w:val="nil"/>
                                    <w:bottom w:val="nil"/>
                                    <w:right w:val="nil"/>
                                  </w:tcBorders>
                                  <w:hideMark/>
                                </w:tcPr>
                                <w:p w14:paraId="041E1EE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6" w:type="pct"/>
                                  <w:tcBorders>
                                    <w:top w:val="nil"/>
                                    <w:left w:val="nil"/>
                                    <w:bottom w:val="nil"/>
                                    <w:right w:val="nil"/>
                                  </w:tcBorders>
                                  <w:hideMark/>
                                </w:tcPr>
                                <w:p w14:paraId="1294EAA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75" w:type="pct"/>
                                  <w:tcBorders>
                                    <w:top w:val="nil"/>
                                    <w:left w:val="nil"/>
                                    <w:bottom w:val="nil"/>
                                    <w:right w:val="nil"/>
                                  </w:tcBorders>
                                  <w:hideMark/>
                                </w:tcPr>
                                <w:p w14:paraId="75F9BA0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8" w:type="pct"/>
                                  <w:tcBorders>
                                    <w:top w:val="nil"/>
                                    <w:left w:val="nil"/>
                                    <w:bottom w:val="nil"/>
                                    <w:right w:val="nil"/>
                                  </w:tcBorders>
                                  <w:hideMark/>
                                </w:tcPr>
                                <w:p w14:paraId="086206A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410" w:type="pct"/>
                                  <w:tcBorders>
                                    <w:top w:val="nil"/>
                                    <w:left w:val="nil"/>
                                    <w:bottom w:val="nil"/>
                                    <w:right w:val="nil"/>
                                  </w:tcBorders>
                                  <w:hideMark/>
                                </w:tcPr>
                                <w:p w14:paraId="33A59DA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r>
                            <w:tr w:rsidR="00166A40" w:rsidRPr="00166A40" w14:paraId="65B2B5D4" w14:textId="77777777" w:rsidTr="00166A40">
                              <w:trPr>
                                <w:trHeight w:val="196"/>
                              </w:trPr>
                              <w:tc>
                                <w:tcPr>
                                  <w:tcW w:w="1338" w:type="pct"/>
                                  <w:tcBorders>
                                    <w:top w:val="nil"/>
                                    <w:left w:val="nil"/>
                                    <w:bottom w:val="nil"/>
                                    <w:right w:val="nil"/>
                                  </w:tcBorders>
                                  <w:noWrap/>
                                  <w:hideMark/>
                                </w:tcPr>
                                <w:p w14:paraId="1EAEFB9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Normalized Basic EPS</w:t>
                                  </w:r>
                                </w:p>
                              </w:tc>
                              <w:tc>
                                <w:tcPr>
                                  <w:tcW w:w="534" w:type="pct"/>
                                  <w:tcBorders>
                                    <w:top w:val="nil"/>
                                    <w:left w:val="nil"/>
                                    <w:bottom w:val="nil"/>
                                    <w:right w:val="nil"/>
                                  </w:tcBorders>
                                  <w:hideMark/>
                                </w:tcPr>
                                <w:p w14:paraId="39F742D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$4.1 </w:t>
                                  </w:r>
                                </w:p>
                              </w:tc>
                              <w:tc>
                                <w:tcPr>
                                  <w:tcW w:w="534" w:type="pct"/>
                                  <w:tcBorders>
                                    <w:top w:val="nil"/>
                                    <w:left w:val="nil"/>
                                    <w:bottom w:val="nil"/>
                                    <w:right w:val="nil"/>
                                  </w:tcBorders>
                                  <w:hideMark/>
                                </w:tcPr>
                                <w:p w14:paraId="5DCC5A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$6.03 </w:t>
                                  </w:r>
                                </w:p>
                              </w:tc>
                              <w:tc>
                                <w:tcPr>
                                  <w:tcW w:w="535" w:type="pct"/>
                                  <w:tcBorders>
                                    <w:top w:val="nil"/>
                                    <w:left w:val="nil"/>
                                    <w:bottom w:val="nil"/>
                                    <w:right w:val="nil"/>
                                  </w:tcBorders>
                                  <w:hideMark/>
                                </w:tcPr>
                                <w:p w14:paraId="03CBAC2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$7.21 </w:t>
                                  </w:r>
                                </w:p>
                              </w:tc>
                              <w:tc>
                                <w:tcPr>
                                  <w:tcW w:w="536" w:type="pct"/>
                                  <w:tcBorders>
                                    <w:top w:val="nil"/>
                                    <w:left w:val="nil"/>
                                    <w:bottom w:val="nil"/>
                                    <w:right w:val="nil"/>
                                  </w:tcBorders>
                                  <w:hideMark/>
                                </w:tcPr>
                                <w:p w14:paraId="3797FA8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$5.15 </w:t>
                                  </w:r>
                                </w:p>
                              </w:tc>
                              <w:tc>
                                <w:tcPr>
                                  <w:tcW w:w="575" w:type="pct"/>
                                  <w:tcBorders>
                                    <w:top w:val="nil"/>
                                    <w:left w:val="nil"/>
                                    <w:bottom w:val="nil"/>
                                    <w:right w:val="nil"/>
                                  </w:tcBorders>
                                  <w:hideMark/>
                                </w:tcPr>
                                <w:p w14:paraId="5C730D3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$3.83 </w:t>
                                  </w:r>
                                </w:p>
                              </w:tc>
                              <w:tc>
                                <w:tcPr>
                                  <w:tcW w:w="538" w:type="pct"/>
                                  <w:tcBorders>
                                    <w:top w:val="nil"/>
                                    <w:left w:val="nil"/>
                                    <w:bottom w:val="nil"/>
                                    <w:right w:val="nil"/>
                                  </w:tcBorders>
                                  <w:hideMark/>
                                </w:tcPr>
                                <w:p w14:paraId="44CFFB8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$4.91 </w:t>
                                  </w:r>
                                </w:p>
                              </w:tc>
                              <w:tc>
                                <w:tcPr>
                                  <w:tcW w:w="410" w:type="pct"/>
                                  <w:tcBorders>
                                    <w:top w:val="nil"/>
                                    <w:left w:val="nil"/>
                                    <w:bottom w:val="nil"/>
                                    <w:right w:val="nil"/>
                                  </w:tcBorders>
                                  <w:hideMark/>
                                </w:tcPr>
                                <w:p w14:paraId="79F2765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$6.65 </w:t>
                                  </w:r>
                                </w:p>
                              </w:tc>
                            </w:tr>
                            <w:tr w:rsidR="00166A40" w:rsidRPr="00166A40" w14:paraId="52F9EE8F" w14:textId="77777777" w:rsidTr="00166A40">
                              <w:trPr>
                                <w:trHeight w:val="196"/>
                              </w:trPr>
                              <w:tc>
                                <w:tcPr>
                                  <w:tcW w:w="1338" w:type="pct"/>
                                  <w:tcBorders>
                                    <w:top w:val="nil"/>
                                    <w:left w:val="nil"/>
                                    <w:bottom w:val="nil"/>
                                    <w:right w:val="nil"/>
                                  </w:tcBorders>
                                  <w:noWrap/>
                                  <w:hideMark/>
                                </w:tcPr>
                                <w:p w14:paraId="13F6782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Normalized Diluted EPS</w:t>
                                  </w:r>
                                </w:p>
                              </w:tc>
                              <w:tc>
                                <w:tcPr>
                                  <w:tcW w:w="534" w:type="pct"/>
                                  <w:tcBorders>
                                    <w:top w:val="nil"/>
                                    <w:left w:val="nil"/>
                                    <w:bottom w:val="nil"/>
                                    <w:right w:val="nil"/>
                                  </w:tcBorders>
                                  <w:hideMark/>
                                </w:tcPr>
                                <w:p w14:paraId="716B7C5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4" w:type="pct"/>
                                  <w:tcBorders>
                                    <w:top w:val="nil"/>
                                    <w:left w:val="nil"/>
                                    <w:bottom w:val="nil"/>
                                    <w:right w:val="nil"/>
                                  </w:tcBorders>
                                  <w:hideMark/>
                                </w:tcPr>
                                <w:p w14:paraId="438D836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5.94 </w:t>
                                  </w:r>
                                </w:p>
                              </w:tc>
                              <w:tc>
                                <w:tcPr>
                                  <w:tcW w:w="535" w:type="pct"/>
                                  <w:tcBorders>
                                    <w:top w:val="nil"/>
                                    <w:left w:val="nil"/>
                                    <w:bottom w:val="nil"/>
                                    <w:right w:val="nil"/>
                                  </w:tcBorders>
                                  <w:hideMark/>
                                </w:tcPr>
                                <w:p w14:paraId="26F6B4A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7.09 </w:t>
                                  </w:r>
                                </w:p>
                              </w:tc>
                              <w:tc>
                                <w:tcPr>
                                  <w:tcW w:w="536" w:type="pct"/>
                                  <w:tcBorders>
                                    <w:top w:val="nil"/>
                                    <w:left w:val="nil"/>
                                    <w:bottom w:val="nil"/>
                                    <w:right w:val="nil"/>
                                  </w:tcBorders>
                                  <w:hideMark/>
                                </w:tcPr>
                                <w:p w14:paraId="617D20E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5.09 </w:t>
                                  </w:r>
                                </w:p>
                              </w:tc>
                              <w:tc>
                                <w:tcPr>
                                  <w:tcW w:w="575" w:type="pct"/>
                                  <w:tcBorders>
                                    <w:top w:val="nil"/>
                                    <w:left w:val="nil"/>
                                    <w:bottom w:val="nil"/>
                                    <w:right w:val="nil"/>
                                  </w:tcBorders>
                                  <w:hideMark/>
                                </w:tcPr>
                                <w:p w14:paraId="18649E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3.81 </w:t>
                                  </w:r>
                                </w:p>
                              </w:tc>
                              <w:tc>
                                <w:tcPr>
                                  <w:tcW w:w="538" w:type="pct"/>
                                  <w:tcBorders>
                                    <w:top w:val="nil"/>
                                    <w:left w:val="nil"/>
                                    <w:bottom w:val="nil"/>
                                    <w:right w:val="nil"/>
                                  </w:tcBorders>
                                  <w:hideMark/>
                                </w:tcPr>
                                <w:p w14:paraId="671AD6E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4.87 </w:t>
                                  </w:r>
                                </w:p>
                              </w:tc>
                              <w:tc>
                                <w:tcPr>
                                  <w:tcW w:w="410" w:type="pct"/>
                                  <w:tcBorders>
                                    <w:top w:val="nil"/>
                                    <w:left w:val="nil"/>
                                    <w:bottom w:val="nil"/>
                                    <w:right w:val="nil"/>
                                  </w:tcBorders>
                                  <w:hideMark/>
                                </w:tcPr>
                                <w:p w14:paraId="0BB251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6.51 </w:t>
                                  </w:r>
                                </w:p>
                              </w:tc>
                            </w:tr>
                            <w:tr w:rsidR="00166A40" w:rsidRPr="00166A40" w14:paraId="0E33D8BA" w14:textId="77777777" w:rsidTr="00166A40">
                              <w:trPr>
                                <w:trHeight w:val="196"/>
                              </w:trPr>
                              <w:tc>
                                <w:tcPr>
                                  <w:tcW w:w="1338" w:type="pct"/>
                                  <w:tcBorders>
                                    <w:top w:val="nil"/>
                                    <w:left w:val="nil"/>
                                    <w:bottom w:val="nil"/>
                                    <w:right w:val="nil"/>
                                  </w:tcBorders>
                                  <w:noWrap/>
                                  <w:hideMark/>
                                </w:tcPr>
                                <w:p w14:paraId="5941B4C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Dividends per Share</w:t>
                                  </w:r>
                                </w:p>
                              </w:tc>
                              <w:tc>
                                <w:tcPr>
                                  <w:tcW w:w="534" w:type="pct"/>
                                  <w:tcBorders>
                                    <w:top w:val="nil"/>
                                    <w:left w:val="nil"/>
                                    <w:bottom w:val="nil"/>
                                    <w:right w:val="nil"/>
                                  </w:tcBorders>
                                  <w:hideMark/>
                                </w:tcPr>
                                <w:p w14:paraId="48C1CF9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4" w:type="pct"/>
                                  <w:tcBorders>
                                    <w:top w:val="nil"/>
                                    <w:left w:val="nil"/>
                                    <w:bottom w:val="nil"/>
                                    <w:right w:val="nil"/>
                                  </w:tcBorders>
                                  <w:hideMark/>
                                </w:tcPr>
                                <w:p w14:paraId="4E450F9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5" w:type="pct"/>
                                  <w:tcBorders>
                                    <w:top w:val="nil"/>
                                    <w:left w:val="nil"/>
                                    <w:bottom w:val="nil"/>
                                    <w:right w:val="nil"/>
                                  </w:tcBorders>
                                  <w:hideMark/>
                                </w:tcPr>
                                <w:p w14:paraId="4A7428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6" w:type="pct"/>
                                  <w:tcBorders>
                                    <w:top w:val="nil"/>
                                    <w:left w:val="nil"/>
                                    <w:bottom w:val="nil"/>
                                    <w:right w:val="nil"/>
                                  </w:tcBorders>
                                  <w:hideMark/>
                                </w:tcPr>
                                <w:p w14:paraId="653792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75" w:type="pct"/>
                                  <w:tcBorders>
                                    <w:top w:val="nil"/>
                                    <w:left w:val="nil"/>
                                    <w:bottom w:val="nil"/>
                                    <w:right w:val="nil"/>
                                  </w:tcBorders>
                                  <w:hideMark/>
                                </w:tcPr>
                                <w:p w14:paraId="1FF5A43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c>
                                <w:tcPr>
                                  <w:tcW w:w="538" w:type="pct"/>
                                  <w:tcBorders>
                                    <w:top w:val="nil"/>
                                    <w:left w:val="nil"/>
                                    <w:bottom w:val="nil"/>
                                    <w:right w:val="nil"/>
                                  </w:tcBorders>
                                  <w:hideMark/>
                                </w:tcPr>
                                <w:p w14:paraId="2DAA9E7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c>
                                <w:tcPr>
                                  <w:tcW w:w="410" w:type="pct"/>
                                  <w:tcBorders>
                                    <w:top w:val="nil"/>
                                    <w:left w:val="nil"/>
                                    <w:bottom w:val="nil"/>
                                    <w:right w:val="nil"/>
                                  </w:tcBorders>
                                  <w:hideMark/>
                                </w:tcPr>
                                <w:p w14:paraId="058D063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r>
                            <w:tr w:rsidR="00166A40" w:rsidRPr="00166A40" w14:paraId="4F98E82C" w14:textId="77777777" w:rsidTr="00166A40">
                              <w:trPr>
                                <w:trHeight w:val="196"/>
                              </w:trPr>
                              <w:tc>
                                <w:tcPr>
                                  <w:tcW w:w="1338" w:type="pct"/>
                                  <w:tcBorders>
                                    <w:top w:val="nil"/>
                                    <w:left w:val="nil"/>
                                    <w:bottom w:val="nil"/>
                                    <w:right w:val="nil"/>
                                  </w:tcBorders>
                                  <w:noWrap/>
                                  <w:hideMark/>
                                </w:tcPr>
                                <w:p w14:paraId="760E174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Payout Ratio %</w:t>
                                  </w:r>
                                </w:p>
                              </w:tc>
                              <w:tc>
                                <w:tcPr>
                                  <w:tcW w:w="534" w:type="pct"/>
                                  <w:tcBorders>
                                    <w:top w:val="nil"/>
                                    <w:left w:val="nil"/>
                                    <w:bottom w:val="nil"/>
                                    <w:right w:val="nil"/>
                                  </w:tcBorders>
                                  <w:hideMark/>
                                </w:tcPr>
                                <w:p w14:paraId="159F27F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4" w:type="pct"/>
                                  <w:tcBorders>
                                    <w:top w:val="nil"/>
                                    <w:left w:val="nil"/>
                                    <w:bottom w:val="nil"/>
                                    <w:right w:val="nil"/>
                                  </w:tcBorders>
                                  <w:hideMark/>
                                </w:tcPr>
                                <w:p w14:paraId="15CC818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5" w:type="pct"/>
                                  <w:tcBorders>
                                    <w:top w:val="nil"/>
                                    <w:left w:val="nil"/>
                                    <w:bottom w:val="nil"/>
                                    <w:right w:val="nil"/>
                                  </w:tcBorders>
                                  <w:hideMark/>
                                </w:tcPr>
                                <w:p w14:paraId="6192C3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6" w:type="pct"/>
                                  <w:tcBorders>
                                    <w:top w:val="nil"/>
                                    <w:left w:val="nil"/>
                                    <w:bottom w:val="nil"/>
                                    <w:right w:val="nil"/>
                                  </w:tcBorders>
                                  <w:hideMark/>
                                </w:tcPr>
                                <w:p w14:paraId="566CB28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75" w:type="pct"/>
                                  <w:tcBorders>
                                    <w:top w:val="nil"/>
                                    <w:left w:val="nil"/>
                                    <w:bottom w:val="nil"/>
                                    <w:right w:val="nil"/>
                                  </w:tcBorders>
                                  <w:hideMark/>
                                </w:tcPr>
                                <w:p w14:paraId="2309E91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8" w:type="pct"/>
                                  <w:tcBorders>
                                    <w:top w:val="nil"/>
                                    <w:left w:val="nil"/>
                                    <w:bottom w:val="nil"/>
                                    <w:right w:val="nil"/>
                                  </w:tcBorders>
                                  <w:hideMark/>
                                </w:tcPr>
                                <w:p w14:paraId="4E3F0CF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c>
                                <w:tcPr>
                                  <w:tcW w:w="410" w:type="pct"/>
                                  <w:tcBorders>
                                    <w:top w:val="nil"/>
                                    <w:left w:val="nil"/>
                                    <w:bottom w:val="nil"/>
                                    <w:right w:val="nil"/>
                                  </w:tcBorders>
                                  <w:hideMark/>
                                </w:tcPr>
                                <w:p w14:paraId="63E126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38.9% </w:t>
                                  </w:r>
                                </w:p>
                              </w:tc>
                            </w:tr>
                            <w:tr w:rsidR="00166A40" w:rsidRPr="00166A40" w14:paraId="3334CAA4" w14:textId="77777777" w:rsidTr="00166A40">
                              <w:trPr>
                                <w:trHeight w:val="196"/>
                              </w:trPr>
                              <w:tc>
                                <w:tcPr>
                                  <w:tcW w:w="1338" w:type="pct"/>
                                  <w:tcBorders>
                                    <w:top w:val="nil"/>
                                    <w:left w:val="nil"/>
                                    <w:bottom w:val="nil"/>
                                    <w:right w:val="nil"/>
                                  </w:tcBorders>
                                  <w:noWrap/>
                                  <w:hideMark/>
                                </w:tcPr>
                                <w:p w14:paraId="380FB7F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Shares per Depository Receipt</w:t>
                                  </w:r>
                                </w:p>
                              </w:tc>
                              <w:tc>
                                <w:tcPr>
                                  <w:tcW w:w="534" w:type="pct"/>
                                  <w:tcBorders>
                                    <w:top w:val="nil"/>
                                    <w:left w:val="nil"/>
                                    <w:bottom w:val="nil"/>
                                    <w:right w:val="nil"/>
                                  </w:tcBorders>
                                  <w:hideMark/>
                                </w:tcPr>
                                <w:p w14:paraId="4E10C88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4" w:type="pct"/>
                                  <w:tcBorders>
                                    <w:top w:val="nil"/>
                                    <w:left w:val="nil"/>
                                    <w:bottom w:val="nil"/>
                                    <w:right w:val="nil"/>
                                  </w:tcBorders>
                                  <w:hideMark/>
                                </w:tcPr>
                                <w:p w14:paraId="74EAE34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5" w:type="pct"/>
                                  <w:tcBorders>
                                    <w:top w:val="nil"/>
                                    <w:left w:val="nil"/>
                                    <w:bottom w:val="nil"/>
                                    <w:right w:val="nil"/>
                                  </w:tcBorders>
                                  <w:hideMark/>
                                </w:tcPr>
                                <w:p w14:paraId="721DDFA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6" w:type="pct"/>
                                  <w:tcBorders>
                                    <w:top w:val="nil"/>
                                    <w:left w:val="nil"/>
                                    <w:bottom w:val="nil"/>
                                    <w:right w:val="nil"/>
                                  </w:tcBorders>
                                  <w:hideMark/>
                                </w:tcPr>
                                <w:p w14:paraId="7F19E0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75" w:type="pct"/>
                                  <w:tcBorders>
                                    <w:top w:val="nil"/>
                                    <w:left w:val="nil"/>
                                    <w:bottom w:val="nil"/>
                                    <w:right w:val="nil"/>
                                  </w:tcBorders>
                                  <w:hideMark/>
                                </w:tcPr>
                                <w:p w14:paraId="1ED248A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8" w:type="pct"/>
                                  <w:tcBorders>
                                    <w:top w:val="nil"/>
                                    <w:left w:val="nil"/>
                                    <w:bottom w:val="nil"/>
                                    <w:right w:val="nil"/>
                                  </w:tcBorders>
                                  <w:hideMark/>
                                </w:tcPr>
                                <w:p w14:paraId="043923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410" w:type="pct"/>
                                  <w:tcBorders>
                                    <w:top w:val="nil"/>
                                    <w:left w:val="nil"/>
                                    <w:bottom w:val="nil"/>
                                    <w:right w:val="nil"/>
                                  </w:tcBorders>
                                  <w:hideMark/>
                                </w:tcPr>
                                <w:p w14:paraId="1F203F9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r>
                            <w:tr w:rsidR="00166A40" w:rsidRPr="00166A40" w14:paraId="5EDB1FD6" w14:textId="77777777" w:rsidTr="00166A40">
                              <w:trPr>
                                <w:trHeight w:val="196"/>
                              </w:trPr>
                              <w:tc>
                                <w:tcPr>
                                  <w:tcW w:w="1338" w:type="pct"/>
                                  <w:tcBorders>
                                    <w:top w:val="nil"/>
                                    <w:left w:val="nil"/>
                                    <w:bottom w:val="nil"/>
                                    <w:right w:val="nil"/>
                                  </w:tcBorders>
                                  <w:noWrap/>
                                  <w:hideMark/>
                                </w:tcPr>
                                <w:p w14:paraId="0B4ECB4D"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Supplemental Items</w:t>
                                  </w:r>
                                </w:p>
                              </w:tc>
                              <w:tc>
                                <w:tcPr>
                                  <w:tcW w:w="534" w:type="pct"/>
                                  <w:tcBorders>
                                    <w:top w:val="nil"/>
                                    <w:left w:val="nil"/>
                                    <w:bottom w:val="nil"/>
                                    <w:right w:val="nil"/>
                                  </w:tcBorders>
                                  <w:noWrap/>
                                  <w:hideMark/>
                                </w:tcPr>
                                <w:p w14:paraId="68D9F4A7"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534" w:type="pct"/>
                                  <w:tcBorders>
                                    <w:top w:val="nil"/>
                                    <w:left w:val="nil"/>
                                    <w:bottom w:val="nil"/>
                                    <w:right w:val="nil"/>
                                  </w:tcBorders>
                                  <w:noWrap/>
                                  <w:hideMark/>
                                </w:tcPr>
                                <w:p w14:paraId="0C8BA6E7"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648EA58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6" w:type="pct"/>
                                  <w:tcBorders>
                                    <w:top w:val="nil"/>
                                    <w:left w:val="nil"/>
                                    <w:bottom w:val="nil"/>
                                    <w:right w:val="nil"/>
                                  </w:tcBorders>
                                  <w:noWrap/>
                                  <w:hideMark/>
                                </w:tcPr>
                                <w:p w14:paraId="4F716CC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75" w:type="pct"/>
                                  <w:tcBorders>
                                    <w:top w:val="nil"/>
                                    <w:left w:val="nil"/>
                                    <w:bottom w:val="nil"/>
                                    <w:right w:val="nil"/>
                                  </w:tcBorders>
                                  <w:noWrap/>
                                  <w:hideMark/>
                                </w:tcPr>
                                <w:p w14:paraId="4D662F35"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8" w:type="pct"/>
                                  <w:tcBorders>
                                    <w:top w:val="nil"/>
                                    <w:left w:val="nil"/>
                                    <w:bottom w:val="nil"/>
                                    <w:right w:val="nil"/>
                                  </w:tcBorders>
                                  <w:noWrap/>
                                  <w:hideMark/>
                                </w:tcPr>
                                <w:p w14:paraId="642DF133"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410" w:type="pct"/>
                                  <w:tcBorders>
                                    <w:top w:val="nil"/>
                                    <w:left w:val="nil"/>
                                    <w:bottom w:val="nil"/>
                                    <w:right w:val="nil"/>
                                  </w:tcBorders>
                                  <w:noWrap/>
                                  <w:hideMark/>
                                </w:tcPr>
                                <w:p w14:paraId="518B0F6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r>
                            <w:tr w:rsidR="00166A40" w:rsidRPr="00166A40" w14:paraId="0119F4BA" w14:textId="77777777" w:rsidTr="00166A40">
                              <w:trPr>
                                <w:trHeight w:val="196"/>
                              </w:trPr>
                              <w:tc>
                                <w:tcPr>
                                  <w:tcW w:w="1338" w:type="pct"/>
                                  <w:tcBorders>
                                    <w:top w:val="nil"/>
                                    <w:left w:val="nil"/>
                                    <w:bottom w:val="nil"/>
                                    <w:right w:val="nil"/>
                                  </w:tcBorders>
                                  <w:noWrap/>
                                  <w:hideMark/>
                                </w:tcPr>
                                <w:p w14:paraId="176135C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EBITDA</w:t>
                                  </w:r>
                                </w:p>
                              </w:tc>
                              <w:tc>
                                <w:tcPr>
                                  <w:tcW w:w="534" w:type="pct"/>
                                  <w:tcBorders>
                                    <w:top w:val="nil"/>
                                    <w:left w:val="nil"/>
                                    <w:bottom w:val="nil"/>
                                    <w:right w:val="nil"/>
                                  </w:tcBorders>
                                  <w:hideMark/>
                                </w:tcPr>
                                <w:p w14:paraId="0758CF6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14.7 </w:t>
                                  </w:r>
                                </w:p>
                              </w:tc>
                              <w:tc>
                                <w:tcPr>
                                  <w:tcW w:w="534" w:type="pct"/>
                                  <w:tcBorders>
                                    <w:top w:val="nil"/>
                                    <w:left w:val="nil"/>
                                    <w:bottom w:val="nil"/>
                                    <w:right w:val="nil"/>
                                  </w:tcBorders>
                                  <w:hideMark/>
                                </w:tcPr>
                                <w:p w14:paraId="7518D65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19.5 </w:t>
                                  </w:r>
                                </w:p>
                              </w:tc>
                              <w:tc>
                                <w:tcPr>
                                  <w:tcW w:w="535" w:type="pct"/>
                                  <w:tcBorders>
                                    <w:top w:val="nil"/>
                                    <w:left w:val="nil"/>
                                    <w:bottom w:val="nil"/>
                                    <w:right w:val="nil"/>
                                  </w:tcBorders>
                                  <w:hideMark/>
                                </w:tcPr>
                                <w:p w14:paraId="54E49FF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24.0 </w:t>
                                  </w:r>
                                </w:p>
                              </w:tc>
                              <w:tc>
                                <w:tcPr>
                                  <w:tcW w:w="536" w:type="pct"/>
                                  <w:tcBorders>
                                    <w:top w:val="nil"/>
                                    <w:left w:val="nil"/>
                                    <w:bottom w:val="nil"/>
                                    <w:right w:val="nil"/>
                                  </w:tcBorders>
                                  <w:hideMark/>
                                </w:tcPr>
                                <w:p w14:paraId="61DA0CC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22.8 </w:t>
                                  </w:r>
                                </w:p>
                              </w:tc>
                              <w:tc>
                                <w:tcPr>
                                  <w:tcW w:w="575" w:type="pct"/>
                                  <w:tcBorders>
                                    <w:top w:val="nil"/>
                                    <w:left w:val="nil"/>
                                    <w:bottom w:val="nil"/>
                                    <w:right w:val="nil"/>
                                  </w:tcBorders>
                                  <w:hideMark/>
                                </w:tcPr>
                                <w:p w14:paraId="052897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c>
                                <w:tcPr>
                                  <w:tcW w:w="538" w:type="pct"/>
                                  <w:tcBorders>
                                    <w:top w:val="nil"/>
                                    <w:left w:val="nil"/>
                                    <w:bottom w:val="nil"/>
                                    <w:right w:val="nil"/>
                                  </w:tcBorders>
                                  <w:hideMark/>
                                </w:tcPr>
                                <w:p w14:paraId="015AB3A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25.4 </w:t>
                                  </w:r>
                                </w:p>
                              </w:tc>
                              <w:tc>
                                <w:tcPr>
                                  <w:tcW w:w="410" w:type="pct"/>
                                  <w:tcBorders>
                                    <w:top w:val="nil"/>
                                    <w:left w:val="nil"/>
                                    <w:bottom w:val="nil"/>
                                    <w:right w:val="nil"/>
                                  </w:tcBorders>
                                  <w:hideMark/>
                                </w:tcPr>
                                <w:p w14:paraId="0FA9D34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26.1 </w:t>
                                  </w:r>
                                </w:p>
                              </w:tc>
                            </w:tr>
                            <w:tr w:rsidR="00166A40" w:rsidRPr="00166A40" w14:paraId="3ACAC130" w14:textId="77777777" w:rsidTr="00166A40">
                              <w:trPr>
                                <w:trHeight w:val="196"/>
                              </w:trPr>
                              <w:tc>
                                <w:tcPr>
                                  <w:tcW w:w="1338" w:type="pct"/>
                                  <w:tcBorders>
                                    <w:top w:val="nil"/>
                                    <w:left w:val="nil"/>
                                    <w:bottom w:val="nil"/>
                                    <w:right w:val="nil"/>
                                  </w:tcBorders>
                                  <w:noWrap/>
                                  <w:hideMark/>
                                </w:tcPr>
                                <w:p w14:paraId="5BCE449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EBITA</w:t>
                                  </w:r>
                                </w:p>
                              </w:tc>
                              <w:tc>
                                <w:tcPr>
                                  <w:tcW w:w="534" w:type="pct"/>
                                  <w:tcBorders>
                                    <w:top w:val="nil"/>
                                    <w:left w:val="nil"/>
                                    <w:bottom w:val="nil"/>
                                    <w:right w:val="nil"/>
                                  </w:tcBorders>
                                  <w:hideMark/>
                                </w:tcPr>
                                <w:p w14:paraId="132971B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12.5 </w:t>
                                  </w:r>
                                </w:p>
                              </w:tc>
                              <w:tc>
                                <w:tcPr>
                                  <w:tcW w:w="534" w:type="pct"/>
                                  <w:tcBorders>
                                    <w:top w:val="nil"/>
                                    <w:left w:val="nil"/>
                                    <w:bottom w:val="nil"/>
                                    <w:right w:val="nil"/>
                                  </w:tcBorders>
                                  <w:hideMark/>
                                </w:tcPr>
                                <w:p w14:paraId="37FB561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4021779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20.0 </w:t>
                                  </w:r>
                                </w:p>
                              </w:tc>
                              <w:tc>
                                <w:tcPr>
                                  <w:tcW w:w="536" w:type="pct"/>
                                  <w:tcBorders>
                                    <w:top w:val="nil"/>
                                    <w:left w:val="nil"/>
                                    <w:bottom w:val="nil"/>
                                    <w:right w:val="nil"/>
                                  </w:tcBorders>
                                  <w:hideMark/>
                                </w:tcPr>
                                <w:p w14:paraId="5EF56B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18.4 </w:t>
                                  </w:r>
                                </w:p>
                              </w:tc>
                              <w:tc>
                                <w:tcPr>
                                  <w:tcW w:w="575" w:type="pct"/>
                                  <w:tcBorders>
                                    <w:top w:val="nil"/>
                                    <w:left w:val="nil"/>
                                    <w:bottom w:val="nil"/>
                                    <w:right w:val="nil"/>
                                  </w:tcBorders>
                                  <w:hideMark/>
                                </w:tcPr>
                                <w:p w14:paraId="0835FED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18.4 </w:t>
                                  </w:r>
                                </w:p>
                              </w:tc>
                              <w:tc>
                                <w:tcPr>
                                  <w:tcW w:w="538" w:type="pct"/>
                                  <w:tcBorders>
                                    <w:top w:val="nil"/>
                                    <w:left w:val="nil"/>
                                    <w:bottom w:val="nil"/>
                                    <w:right w:val="nil"/>
                                  </w:tcBorders>
                                  <w:hideMark/>
                                </w:tcPr>
                                <w:p w14:paraId="1A7EC77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21.7 </w:t>
                                  </w:r>
                                </w:p>
                              </w:tc>
                              <w:tc>
                                <w:tcPr>
                                  <w:tcW w:w="410" w:type="pct"/>
                                  <w:tcBorders>
                                    <w:top w:val="nil"/>
                                    <w:left w:val="nil"/>
                                    <w:bottom w:val="nil"/>
                                    <w:right w:val="nil"/>
                                  </w:tcBorders>
                                  <w:hideMark/>
                                </w:tcPr>
                                <w:p w14:paraId="0CB5F02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r>
                            <w:tr w:rsidR="00166A40" w:rsidRPr="00166A40" w14:paraId="28E6076D" w14:textId="77777777" w:rsidTr="00166A40">
                              <w:trPr>
                                <w:trHeight w:val="196"/>
                              </w:trPr>
                              <w:tc>
                                <w:tcPr>
                                  <w:tcW w:w="1338" w:type="pct"/>
                                  <w:tcBorders>
                                    <w:top w:val="nil"/>
                                    <w:left w:val="nil"/>
                                    <w:bottom w:val="nil"/>
                                    <w:right w:val="nil"/>
                                  </w:tcBorders>
                                  <w:noWrap/>
                                  <w:hideMark/>
                                </w:tcPr>
                                <w:p w14:paraId="0F62310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w:t>
                                  </w:r>
                                </w:p>
                              </w:tc>
                              <w:tc>
                                <w:tcPr>
                                  <w:tcW w:w="534" w:type="pct"/>
                                  <w:tcBorders>
                                    <w:top w:val="nil"/>
                                    <w:left w:val="nil"/>
                                    <w:bottom w:val="nil"/>
                                    <w:right w:val="nil"/>
                                  </w:tcBorders>
                                  <w:hideMark/>
                                </w:tcPr>
                                <w:p w14:paraId="45004E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9.2 </w:t>
                                  </w:r>
                                </w:p>
                              </w:tc>
                              <w:tc>
                                <w:tcPr>
                                  <w:tcW w:w="534" w:type="pct"/>
                                  <w:tcBorders>
                                    <w:top w:val="nil"/>
                                    <w:left w:val="nil"/>
                                    <w:bottom w:val="nil"/>
                                    <w:right w:val="nil"/>
                                  </w:tcBorders>
                                  <w:hideMark/>
                                </w:tcPr>
                                <w:p w14:paraId="37C9FC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13.5 </w:t>
                                  </w:r>
                                </w:p>
                              </w:tc>
                              <w:tc>
                                <w:tcPr>
                                  <w:tcW w:w="535" w:type="pct"/>
                                  <w:tcBorders>
                                    <w:top w:val="nil"/>
                                    <w:left w:val="nil"/>
                                    <w:bottom w:val="nil"/>
                                    <w:right w:val="nil"/>
                                  </w:tcBorders>
                                  <w:hideMark/>
                                </w:tcPr>
                                <w:p w14:paraId="5AF524B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16.7 </w:t>
                                  </w:r>
                                </w:p>
                              </w:tc>
                              <w:tc>
                                <w:tcPr>
                                  <w:tcW w:w="536" w:type="pct"/>
                                  <w:tcBorders>
                                    <w:top w:val="nil"/>
                                    <w:left w:val="nil"/>
                                    <w:bottom w:val="nil"/>
                                    <w:right w:val="nil"/>
                                  </w:tcBorders>
                                  <w:hideMark/>
                                </w:tcPr>
                                <w:p w14:paraId="098E2FD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15.2 </w:t>
                                  </w:r>
                                </w:p>
                              </w:tc>
                              <w:tc>
                                <w:tcPr>
                                  <w:tcW w:w="575" w:type="pct"/>
                                  <w:tcBorders>
                                    <w:top w:val="nil"/>
                                    <w:left w:val="nil"/>
                                    <w:bottom w:val="nil"/>
                                    <w:right w:val="nil"/>
                                  </w:tcBorders>
                                  <w:hideMark/>
                                </w:tcPr>
                                <w:p w14:paraId="2ECDF6C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15.6 </w:t>
                                  </w:r>
                                </w:p>
                              </w:tc>
                              <w:tc>
                                <w:tcPr>
                                  <w:tcW w:w="538" w:type="pct"/>
                                  <w:tcBorders>
                                    <w:top w:val="nil"/>
                                    <w:left w:val="nil"/>
                                    <w:bottom w:val="nil"/>
                                    <w:right w:val="nil"/>
                                  </w:tcBorders>
                                  <w:hideMark/>
                                </w:tcPr>
                                <w:p w14:paraId="2E81794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19.2 </w:t>
                                  </w:r>
                                </w:p>
                              </w:tc>
                              <w:tc>
                                <w:tcPr>
                                  <w:tcW w:w="410" w:type="pct"/>
                                  <w:tcBorders>
                                    <w:top w:val="nil"/>
                                    <w:left w:val="nil"/>
                                    <w:bottom w:val="nil"/>
                                    <w:right w:val="nil"/>
                                  </w:tcBorders>
                                  <w:hideMark/>
                                </w:tcPr>
                                <w:p w14:paraId="38156C3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20.3 </w:t>
                                  </w:r>
                                </w:p>
                              </w:tc>
                            </w:tr>
                            <w:tr w:rsidR="00166A40" w:rsidRPr="00166A40" w14:paraId="12D2C4AF" w14:textId="77777777" w:rsidTr="00166A40">
                              <w:trPr>
                                <w:trHeight w:val="196"/>
                              </w:trPr>
                              <w:tc>
                                <w:tcPr>
                                  <w:tcW w:w="1338" w:type="pct"/>
                                  <w:tcBorders>
                                    <w:top w:val="nil"/>
                                    <w:left w:val="nil"/>
                                    <w:bottom w:val="nil"/>
                                    <w:right w:val="nil"/>
                                  </w:tcBorders>
                                  <w:noWrap/>
                                  <w:hideMark/>
                                </w:tcPr>
                                <w:p w14:paraId="1BB79AF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EBITDAR</w:t>
                                  </w:r>
                                </w:p>
                              </w:tc>
                              <w:tc>
                                <w:tcPr>
                                  <w:tcW w:w="534" w:type="pct"/>
                                  <w:tcBorders>
                                    <w:top w:val="nil"/>
                                    <w:left w:val="nil"/>
                                    <w:bottom w:val="nil"/>
                                    <w:right w:val="nil"/>
                                  </w:tcBorders>
                                  <w:hideMark/>
                                </w:tcPr>
                                <w:p w14:paraId="6DC0E2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15.4 </w:t>
                                  </w:r>
                                </w:p>
                              </w:tc>
                              <w:tc>
                                <w:tcPr>
                                  <w:tcW w:w="534" w:type="pct"/>
                                  <w:tcBorders>
                                    <w:top w:val="nil"/>
                                    <w:left w:val="nil"/>
                                    <w:bottom w:val="nil"/>
                                    <w:right w:val="nil"/>
                                  </w:tcBorders>
                                  <w:hideMark/>
                                </w:tcPr>
                                <w:p w14:paraId="1BC4E4B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20.2 </w:t>
                                  </w:r>
                                </w:p>
                              </w:tc>
                              <w:tc>
                                <w:tcPr>
                                  <w:tcW w:w="535" w:type="pct"/>
                                  <w:tcBorders>
                                    <w:top w:val="nil"/>
                                    <w:left w:val="nil"/>
                                    <w:bottom w:val="nil"/>
                                    <w:right w:val="nil"/>
                                  </w:tcBorders>
                                  <w:hideMark/>
                                </w:tcPr>
                                <w:p w14:paraId="6B87CAB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25.1 </w:t>
                                  </w:r>
                                </w:p>
                              </w:tc>
                              <w:tc>
                                <w:tcPr>
                                  <w:tcW w:w="536" w:type="pct"/>
                                  <w:tcBorders>
                                    <w:top w:val="nil"/>
                                    <w:left w:val="nil"/>
                                    <w:bottom w:val="nil"/>
                                    <w:right w:val="nil"/>
                                  </w:tcBorders>
                                  <w:hideMark/>
                                </w:tcPr>
                                <w:p w14:paraId="53781D0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24.7 </w:t>
                                  </w:r>
                                </w:p>
                              </w:tc>
                              <w:tc>
                                <w:tcPr>
                                  <w:tcW w:w="575" w:type="pct"/>
                                  <w:tcBorders>
                                    <w:top w:val="nil"/>
                                    <w:left w:val="nil"/>
                                    <w:bottom w:val="nil"/>
                                    <w:right w:val="nil"/>
                                  </w:tcBorders>
                                  <w:hideMark/>
                                </w:tcPr>
                                <w:p w14:paraId="41FE73E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24.1 </w:t>
                                  </w:r>
                                </w:p>
                              </w:tc>
                              <w:tc>
                                <w:tcPr>
                                  <w:tcW w:w="538" w:type="pct"/>
                                  <w:tcBorders>
                                    <w:top w:val="nil"/>
                                    <w:left w:val="nil"/>
                                    <w:bottom w:val="nil"/>
                                    <w:right w:val="nil"/>
                                  </w:tcBorders>
                                  <w:hideMark/>
                                </w:tcPr>
                                <w:p w14:paraId="59B04C8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27.0 </w:t>
                                  </w:r>
                                </w:p>
                              </w:tc>
                              <w:tc>
                                <w:tcPr>
                                  <w:tcW w:w="410" w:type="pct"/>
                                  <w:tcBorders>
                                    <w:top w:val="nil"/>
                                    <w:left w:val="nil"/>
                                    <w:bottom w:val="nil"/>
                                    <w:right w:val="nil"/>
                                  </w:tcBorders>
                                  <w:hideMark/>
                                </w:tcPr>
                                <w:p w14:paraId="5B742C4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r>
                          </w:tbl>
                          <w:p w14:paraId="14246DDC" w14:textId="0E81D554" w:rsidR="00166A40" w:rsidRDefault="00166A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E6E65" id="_x0000_s1058" type="#_x0000_t202" style="position:absolute;left:0;text-align:left;margin-left:0;margin-top:0;width:485.4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" stroked="f">
                <v:textbox style="mso-fit-shape-to-text:t">
                  <w:txbxContent>
                    <w:tbl>
                      <w:tblPr>
                        <w:tblW w:w="4920" w:type="pct"/>
                        <w:tblLook w:val="04A0" w:firstRow="1" w:lastRow="0" w:firstColumn="1" w:lastColumn="0" w:noHBand="0" w:noVBand="1"/>
                      </w:tblPr>
                      <w:tblGrid>
                        <w:gridCol w:w="2481"/>
                        <w:gridCol w:w="990"/>
                        <w:gridCol w:w="990"/>
                        <w:gridCol w:w="992"/>
                        <w:gridCol w:w="994"/>
                        <w:gridCol w:w="1066"/>
                        <w:gridCol w:w="997"/>
                        <w:gridCol w:w="760"/>
                      </w:tblGrid>
                      <w:tr w:rsidR="00166A40" w:rsidRPr="00166A40" w14:paraId="5804CBDB" w14:textId="77777777" w:rsidTr="00166A40">
                        <w:trPr>
                          <w:trHeight w:val="311"/>
                        </w:trPr>
                        <w:tc>
                          <w:tcPr>
                            <w:tcW w:w="4590" w:type="pct"/>
                            <w:gridSpan w:val="7"/>
                            <w:tcBorders>
                              <w:top w:val="nil"/>
                              <w:left w:val="nil"/>
                              <w:bottom w:val="nil"/>
                              <w:right w:val="nil"/>
                            </w:tcBorders>
                            <w:noWrap/>
                            <w:vAlign w:val="bottom"/>
                            <w:hideMark/>
                          </w:tcPr>
                          <w:p w14:paraId="1111B9C7"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Alibaba Group Holding Limited (</w:t>
                            </w:r>
                            <w:r w:rsidRPr="00166A40">
                              <w:rPr>
                                <w:rFonts w:ascii="Cambria" w:eastAsia="Times New Roman" w:hAnsi="Cambria" w:cs="Arial"/>
                                <w:b/>
                                <w:bCs/>
                                <w:color w:val="000000"/>
                                <w:kern w:val="0"/>
                                <w:sz w:val="14"/>
                                <w:szCs w:val="14"/>
                                <w:lang w:eastAsia="en-IN"/>
                                <w14:ligatures w14:val="none"/>
                              </w:rPr>
                              <w:t>NYSE:BABA) &gt; Financials &gt; Income Statement</w:t>
                            </w:r>
                          </w:p>
                          <w:p w14:paraId="7078CC7C"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410" w:type="pct"/>
                            <w:tcBorders>
                              <w:top w:val="nil"/>
                              <w:left w:val="nil"/>
                              <w:bottom w:val="nil"/>
                              <w:right w:val="nil"/>
                            </w:tcBorders>
                            <w:noWrap/>
                            <w:vAlign w:val="bottom"/>
                            <w:hideMark/>
                          </w:tcPr>
                          <w:p w14:paraId="6549B72B"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r>
                      <w:tr w:rsidR="00166A40" w:rsidRPr="00166A40" w14:paraId="39ACCE86" w14:textId="77777777" w:rsidTr="00166A40">
                        <w:trPr>
                          <w:trHeight w:val="196"/>
                        </w:trPr>
                        <w:tc>
                          <w:tcPr>
                            <w:tcW w:w="1338" w:type="pct"/>
                            <w:tcBorders>
                              <w:top w:val="nil"/>
                              <w:left w:val="nil"/>
                              <w:bottom w:val="nil"/>
                              <w:right w:val="nil"/>
                            </w:tcBorders>
                            <w:shd w:val="clear" w:color="000000" w:fill="003366"/>
                            <w:noWrap/>
                            <w:vAlign w:val="bottom"/>
                            <w:hideMark/>
                          </w:tcPr>
                          <w:p w14:paraId="4B0D653A"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Income Statement</w:t>
                            </w:r>
                          </w:p>
                        </w:tc>
                        <w:tc>
                          <w:tcPr>
                            <w:tcW w:w="534" w:type="pct"/>
                            <w:tcBorders>
                              <w:top w:val="nil"/>
                              <w:left w:val="nil"/>
                              <w:bottom w:val="nil"/>
                              <w:right w:val="nil"/>
                            </w:tcBorders>
                            <w:shd w:val="clear" w:color="000000" w:fill="003366"/>
                            <w:noWrap/>
                            <w:vAlign w:val="bottom"/>
                            <w:hideMark/>
                          </w:tcPr>
                          <w:p w14:paraId="5BF145A6"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5209DA81"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5" w:type="pct"/>
                            <w:tcBorders>
                              <w:top w:val="nil"/>
                              <w:left w:val="nil"/>
                              <w:bottom w:val="nil"/>
                              <w:right w:val="nil"/>
                            </w:tcBorders>
                            <w:shd w:val="clear" w:color="000000" w:fill="003366"/>
                            <w:noWrap/>
                            <w:vAlign w:val="bottom"/>
                            <w:hideMark/>
                          </w:tcPr>
                          <w:p w14:paraId="5F10619A"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6" w:type="pct"/>
                            <w:tcBorders>
                              <w:top w:val="nil"/>
                              <w:left w:val="nil"/>
                              <w:bottom w:val="nil"/>
                              <w:right w:val="nil"/>
                            </w:tcBorders>
                            <w:shd w:val="clear" w:color="000000" w:fill="003366"/>
                            <w:noWrap/>
                            <w:vAlign w:val="bottom"/>
                            <w:hideMark/>
                          </w:tcPr>
                          <w:p w14:paraId="127D298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75" w:type="pct"/>
                            <w:tcBorders>
                              <w:top w:val="nil"/>
                              <w:left w:val="nil"/>
                              <w:bottom w:val="nil"/>
                              <w:right w:val="nil"/>
                            </w:tcBorders>
                            <w:shd w:val="clear" w:color="000000" w:fill="003366"/>
                            <w:noWrap/>
                            <w:vAlign w:val="bottom"/>
                            <w:hideMark/>
                          </w:tcPr>
                          <w:p w14:paraId="66AE54E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538" w:type="pct"/>
                            <w:tcBorders>
                              <w:top w:val="nil"/>
                              <w:left w:val="nil"/>
                              <w:bottom w:val="nil"/>
                              <w:right w:val="nil"/>
                            </w:tcBorders>
                            <w:shd w:val="clear" w:color="000000" w:fill="003366"/>
                            <w:noWrap/>
                            <w:vAlign w:val="bottom"/>
                            <w:hideMark/>
                          </w:tcPr>
                          <w:p w14:paraId="48FB818C"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c>
                          <w:tcPr>
                            <w:tcW w:w="410" w:type="pct"/>
                            <w:tcBorders>
                              <w:top w:val="nil"/>
                              <w:left w:val="nil"/>
                              <w:bottom w:val="nil"/>
                              <w:right w:val="nil"/>
                            </w:tcBorders>
                            <w:shd w:val="clear" w:color="000000" w:fill="003366"/>
                            <w:noWrap/>
                            <w:vAlign w:val="bottom"/>
                            <w:hideMark/>
                          </w:tcPr>
                          <w:p w14:paraId="73A5C613" w14:textId="77777777" w:rsidR="00166A40" w:rsidRPr="00166A40" w:rsidRDefault="00166A40" w:rsidP="00166A40">
                            <w:pPr>
                              <w:spacing w:after="0" w:line="240" w:lineRule="auto"/>
                              <w:rPr>
                                <w:rFonts w:ascii="Cambria" w:eastAsia="Times New Roman" w:hAnsi="Cambria" w:cs="Arial"/>
                                <w:b/>
                                <w:bCs/>
                                <w:color w:val="FFFFFF"/>
                                <w:kern w:val="0"/>
                                <w:sz w:val="14"/>
                                <w:szCs w:val="14"/>
                                <w:lang w:eastAsia="en-IN"/>
                                <w14:ligatures w14:val="none"/>
                              </w:rPr>
                            </w:pPr>
                            <w:r w:rsidRPr="00166A40">
                              <w:rPr>
                                <w:rFonts w:ascii="Cambria" w:eastAsia="Times New Roman" w:hAnsi="Cambria" w:cs="Arial"/>
                                <w:b/>
                                <w:bCs/>
                                <w:color w:val="FFFFFF"/>
                                <w:kern w:val="0"/>
                                <w:sz w:val="14"/>
                                <w:szCs w:val="14"/>
                                <w:lang w:eastAsia="en-IN"/>
                                <w14:ligatures w14:val="none"/>
                              </w:rPr>
                              <w:t> </w:t>
                            </w:r>
                          </w:p>
                        </w:tc>
                      </w:tr>
                      <w:tr w:rsidR="00166A40" w:rsidRPr="00166A40" w14:paraId="61D67385" w14:textId="77777777" w:rsidTr="00166A40">
                        <w:trPr>
                          <w:trHeight w:val="589"/>
                        </w:trPr>
                        <w:tc>
                          <w:tcPr>
                            <w:tcW w:w="1338" w:type="pct"/>
                            <w:tcBorders>
                              <w:top w:val="nil"/>
                              <w:left w:val="nil"/>
                              <w:bottom w:val="nil"/>
                              <w:right w:val="nil"/>
                            </w:tcBorders>
                            <w:shd w:val="clear" w:color="000000" w:fill="F0F0DC"/>
                            <w:vAlign w:val="bottom"/>
                            <w:hideMark/>
                          </w:tcPr>
                          <w:p w14:paraId="357BBBD4"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For the Fiscal Period Ending</w:t>
                            </w:r>
                          </w:p>
                        </w:tc>
                        <w:tc>
                          <w:tcPr>
                            <w:tcW w:w="534" w:type="pct"/>
                            <w:tcBorders>
                              <w:top w:val="nil"/>
                              <w:left w:val="nil"/>
                              <w:bottom w:val="nil"/>
                              <w:right w:val="nil"/>
                            </w:tcBorders>
                            <w:shd w:val="clear" w:color="000000" w:fill="F0F0DC"/>
                            <w:vAlign w:val="bottom"/>
                            <w:hideMark/>
                          </w:tcPr>
                          <w:p w14:paraId="66E182F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Mar-31-2019</w:t>
                            </w:r>
                          </w:p>
                        </w:tc>
                        <w:tc>
                          <w:tcPr>
                            <w:tcW w:w="534" w:type="pct"/>
                            <w:tcBorders>
                              <w:top w:val="nil"/>
                              <w:left w:val="nil"/>
                              <w:bottom w:val="nil"/>
                              <w:right w:val="nil"/>
                            </w:tcBorders>
                            <w:shd w:val="clear" w:color="000000" w:fill="F0F0DC"/>
                            <w:vAlign w:val="bottom"/>
                            <w:hideMark/>
                          </w:tcPr>
                          <w:p w14:paraId="746B0EF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Mar-31-2020</w:t>
                            </w:r>
                          </w:p>
                        </w:tc>
                        <w:tc>
                          <w:tcPr>
                            <w:tcW w:w="535" w:type="pct"/>
                            <w:tcBorders>
                              <w:top w:val="nil"/>
                              <w:left w:val="nil"/>
                              <w:bottom w:val="nil"/>
                              <w:right w:val="nil"/>
                            </w:tcBorders>
                            <w:shd w:val="clear" w:color="000000" w:fill="F0F0DC"/>
                            <w:vAlign w:val="bottom"/>
                            <w:hideMark/>
                          </w:tcPr>
                          <w:p w14:paraId="4A2AA2A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Mar-31-2021</w:t>
                            </w:r>
                          </w:p>
                        </w:tc>
                        <w:tc>
                          <w:tcPr>
                            <w:tcW w:w="536" w:type="pct"/>
                            <w:tcBorders>
                              <w:top w:val="nil"/>
                              <w:left w:val="nil"/>
                              <w:bottom w:val="nil"/>
                              <w:right w:val="nil"/>
                            </w:tcBorders>
                            <w:shd w:val="clear" w:color="000000" w:fill="F0F0DC"/>
                            <w:vAlign w:val="bottom"/>
                            <w:hideMark/>
                          </w:tcPr>
                          <w:p w14:paraId="60AFAB7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Mar-31-2022</w:t>
                            </w:r>
                          </w:p>
                        </w:tc>
                        <w:tc>
                          <w:tcPr>
                            <w:tcW w:w="575" w:type="pct"/>
                            <w:tcBorders>
                              <w:top w:val="nil"/>
                              <w:left w:val="nil"/>
                              <w:bottom w:val="nil"/>
                              <w:right w:val="nil"/>
                            </w:tcBorders>
                            <w:shd w:val="clear" w:color="000000" w:fill="F0F0DC"/>
                            <w:vAlign w:val="bottom"/>
                            <w:hideMark/>
                          </w:tcPr>
                          <w:p w14:paraId="4E523EF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Reclassified</w:t>
                            </w:r>
                            <w:r w:rsidRPr="00166A40">
                              <w:rPr>
                                <w:rFonts w:ascii="Cambria" w:eastAsia="Times New Roman" w:hAnsi="Cambria" w:cs="Arial"/>
                                <w:b/>
                                <w:bCs/>
                                <w:color w:val="000000"/>
                                <w:kern w:val="0"/>
                                <w:sz w:val="14"/>
                                <w:szCs w:val="14"/>
                                <w:lang w:eastAsia="en-IN"/>
                                <w14:ligatures w14:val="none"/>
                              </w:rPr>
                              <w:br/>
                              <w:t>12 months</w:t>
                            </w:r>
                            <w:r w:rsidRPr="00166A40">
                              <w:rPr>
                                <w:rFonts w:ascii="Cambria" w:eastAsia="Times New Roman" w:hAnsi="Cambria" w:cs="Arial"/>
                                <w:b/>
                                <w:bCs/>
                                <w:color w:val="000000"/>
                                <w:kern w:val="0"/>
                                <w:sz w:val="14"/>
                                <w:szCs w:val="14"/>
                                <w:lang w:eastAsia="en-IN"/>
                                <w14:ligatures w14:val="none"/>
                              </w:rPr>
                              <w:br/>
                              <w:t>Mar-31-2023</w:t>
                            </w:r>
                          </w:p>
                        </w:tc>
                        <w:tc>
                          <w:tcPr>
                            <w:tcW w:w="538" w:type="pct"/>
                            <w:tcBorders>
                              <w:top w:val="nil"/>
                              <w:left w:val="nil"/>
                              <w:bottom w:val="nil"/>
                              <w:right w:val="nil"/>
                            </w:tcBorders>
                            <w:shd w:val="clear" w:color="000000" w:fill="F0F0DC"/>
                            <w:vAlign w:val="bottom"/>
                            <w:hideMark/>
                          </w:tcPr>
                          <w:p w14:paraId="4447375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12 months</w:t>
                            </w:r>
                            <w:r w:rsidRPr="00166A40">
                              <w:rPr>
                                <w:rFonts w:ascii="Cambria" w:eastAsia="Times New Roman" w:hAnsi="Cambria" w:cs="Arial"/>
                                <w:b/>
                                <w:bCs/>
                                <w:color w:val="000000"/>
                                <w:kern w:val="0"/>
                                <w:sz w:val="14"/>
                                <w:szCs w:val="14"/>
                                <w:lang w:eastAsia="en-IN"/>
                                <w14:ligatures w14:val="none"/>
                              </w:rPr>
                              <w:br/>
                              <w:t>Mar-31-2024</w:t>
                            </w:r>
                          </w:p>
                        </w:tc>
                        <w:tc>
                          <w:tcPr>
                            <w:tcW w:w="410" w:type="pct"/>
                            <w:tcBorders>
                              <w:top w:val="nil"/>
                              <w:left w:val="nil"/>
                              <w:bottom w:val="nil"/>
                              <w:right w:val="nil"/>
                            </w:tcBorders>
                            <w:shd w:val="clear" w:color="000000" w:fill="F0F0DC"/>
                            <w:vAlign w:val="bottom"/>
                            <w:hideMark/>
                          </w:tcPr>
                          <w:p w14:paraId="7B21FC3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LTM</w:t>
                            </w:r>
                            <w:r w:rsidRPr="00166A40">
                              <w:rPr>
                                <w:rFonts w:ascii="Cambria" w:eastAsia="Times New Roman" w:hAnsi="Cambria" w:cs="Arial"/>
                                <w:b/>
                                <w:bCs/>
                                <w:color w:val="000000"/>
                                <w:kern w:val="0"/>
                                <w:sz w:val="14"/>
                                <w:szCs w:val="14"/>
                                <w:lang w:eastAsia="en-IN"/>
                                <w14:ligatures w14:val="none"/>
                              </w:rPr>
                              <w:br/>
                              <w:t>12 months</w:t>
                            </w:r>
                            <w:r w:rsidRPr="00166A40">
                              <w:rPr>
                                <w:rFonts w:ascii="Cambria" w:eastAsia="Times New Roman" w:hAnsi="Cambria" w:cs="Arial"/>
                                <w:b/>
                                <w:bCs/>
                                <w:color w:val="000000"/>
                                <w:kern w:val="0"/>
                                <w:sz w:val="14"/>
                                <w:szCs w:val="14"/>
                                <w:lang w:eastAsia="en-IN"/>
                                <w14:ligatures w14:val="none"/>
                              </w:rPr>
                              <w:br/>
                              <w:t>Dec-31-2024</w:t>
                            </w:r>
                          </w:p>
                        </w:tc>
                      </w:tr>
                      <w:tr w:rsidR="00166A40" w:rsidRPr="00166A40" w14:paraId="4CC27E29" w14:textId="77777777" w:rsidTr="00166A40">
                        <w:trPr>
                          <w:trHeight w:val="196"/>
                        </w:trPr>
                        <w:tc>
                          <w:tcPr>
                            <w:tcW w:w="1338" w:type="pct"/>
                            <w:tcBorders>
                              <w:top w:val="nil"/>
                              <w:left w:val="nil"/>
                              <w:bottom w:val="nil"/>
                              <w:right w:val="nil"/>
                            </w:tcBorders>
                            <w:shd w:val="clear" w:color="000000" w:fill="F0F0DC"/>
                            <w:vAlign w:val="bottom"/>
                            <w:hideMark/>
                          </w:tcPr>
                          <w:p w14:paraId="7B1A9A8B" w14:textId="77777777" w:rsidR="00166A40" w:rsidRPr="00166A40" w:rsidRDefault="00166A40" w:rsidP="00166A40">
                            <w:pPr>
                              <w:spacing w:after="0" w:line="240" w:lineRule="auto"/>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Currency</w:t>
                            </w:r>
                          </w:p>
                        </w:tc>
                        <w:tc>
                          <w:tcPr>
                            <w:tcW w:w="534" w:type="pct"/>
                            <w:tcBorders>
                              <w:top w:val="nil"/>
                              <w:left w:val="nil"/>
                              <w:bottom w:val="nil"/>
                              <w:right w:val="nil"/>
                            </w:tcBorders>
                            <w:shd w:val="clear" w:color="000000" w:fill="F0F0DC"/>
                            <w:vAlign w:val="bottom"/>
                            <w:hideMark/>
                          </w:tcPr>
                          <w:p w14:paraId="46A7AF8C"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2A065AD0"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5" w:type="pct"/>
                            <w:tcBorders>
                              <w:top w:val="nil"/>
                              <w:left w:val="nil"/>
                              <w:bottom w:val="nil"/>
                              <w:right w:val="nil"/>
                            </w:tcBorders>
                            <w:shd w:val="clear" w:color="000000" w:fill="F0F0DC"/>
                            <w:vAlign w:val="bottom"/>
                            <w:hideMark/>
                          </w:tcPr>
                          <w:p w14:paraId="50D6A5F1"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6" w:type="pct"/>
                            <w:tcBorders>
                              <w:top w:val="nil"/>
                              <w:left w:val="nil"/>
                              <w:bottom w:val="nil"/>
                              <w:right w:val="nil"/>
                            </w:tcBorders>
                            <w:shd w:val="clear" w:color="000000" w:fill="F0F0DC"/>
                            <w:vAlign w:val="bottom"/>
                            <w:hideMark/>
                          </w:tcPr>
                          <w:p w14:paraId="55A8FA39"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75" w:type="pct"/>
                            <w:tcBorders>
                              <w:top w:val="nil"/>
                              <w:left w:val="nil"/>
                              <w:bottom w:val="nil"/>
                              <w:right w:val="nil"/>
                            </w:tcBorders>
                            <w:shd w:val="clear" w:color="000000" w:fill="F0F0DC"/>
                            <w:vAlign w:val="bottom"/>
                            <w:hideMark/>
                          </w:tcPr>
                          <w:p w14:paraId="4E943738"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538" w:type="pct"/>
                            <w:tcBorders>
                              <w:top w:val="nil"/>
                              <w:left w:val="nil"/>
                              <w:bottom w:val="nil"/>
                              <w:right w:val="nil"/>
                            </w:tcBorders>
                            <w:shd w:val="clear" w:color="000000" w:fill="F0F0DC"/>
                            <w:vAlign w:val="bottom"/>
                            <w:hideMark/>
                          </w:tcPr>
                          <w:p w14:paraId="2717495E"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c>
                          <w:tcPr>
                            <w:tcW w:w="410" w:type="pct"/>
                            <w:tcBorders>
                              <w:top w:val="nil"/>
                              <w:left w:val="nil"/>
                              <w:bottom w:val="nil"/>
                              <w:right w:val="nil"/>
                            </w:tcBorders>
                            <w:shd w:val="clear" w:color="000000" w:fill="F0F0DC"/>
                            <w:vAlign w:val="bottom"/>
                            <w:hideMark/>
                          </w:tcPr>
                          <w:p w14:paraId="436675D0" w14:textId="77777777" w:rsidR="00166A40" w:rsidRPr="00166A40" w:rsidRDefault="00166A40" w:rsidP="00166A40">
                            <w:pPr>
                              <w:spacing w:after="0" w:line="240" w:lineRule="auto"/>
                              <w:jc w:val="right"/>
                              <w:rPr>
                                <w:rFonts w:ascii="Cambria" w:eastAsia="Times New Roman" w:hAnsi="Cambria" w:cs="Arial"/>
                                <w:b/>
                                <w:bCs/>
                                <w:i/>
                                <w:iCs/>
                                <w:color w:val="000000"/>
                                <w:kern w:val="0"/>
                                <w:sz w:val="14"/>
                                <w:szCs w:val="14"/>
                                <w:lang w:eastAsia="en-IN"/>
                                <w14:ligatures w14:val="none"/>
                              </w:rPr>
                            </w:pPr>
                            <w:r w:rsidRPr="00166A40">
                              <w:rPr>
                                <w:rFonts w:ascii="Cambria" w:eastAsia="Times New Roman" w:hAnsi="Cambria" w:cs="Arial"/>
                                <w:b/>
                                <w:bCs/>
                                <w:i/>
                                <w:iCs/>
                                <w:color w:val="000000"/>
                                <w:kern w:val="0"/>
                                <w:sz w:val="14"/>
                                <w:szCs w:val="14"/>
                                <w:lang w:eastAsia="en-IN"/>
                                <w14:ligatures w14:val="none"/>
                              </w:rPr>
                              <w:t>USD</w:t>
                            </w:r>
                          </w:p>
                        </w:tc>
                      </w:tr>
                      <w:tr w:rsidR="00166A40" w:rsidRPr="00166A40" w14:paraId="49C3180B" w14:textId="77777777" w:rsidTr="00166A40">
                        <w:trPr>
                          <w:trHeight w:val="196"/>
                        </w:trPr>
                        <w:tc>
                          <w:tcPr>
                            <w:tcW w:w="1338" w:type="pct"/>
                            <w:tcBorders>
                              <w:top w:val="nil"/>
                              <w:left w:val="nil"/>
                              <w:bottom w:val="nil"/>
                              <w:right w:val="nil"/>
                            </w:tcBorders>
                            <w:noWrap/>
                            <w:hideMark/>
                          </w:tcPr>
                          <w:p w14:paraId="5C6EBD50"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Revenue</w:t>
                            </w:r>
                          </w:p>
                        </w:tc>
                        <w:tc>
                          <w:tcPr>
                            <w:tcW w:w="534" w:type="pct"/>
                            <w:tcBorders>
                              <w:top w:val="nil"/>
                              <w:left w:val="nil"/>
                              <w:bottom w:val="nil"/>
                              <w:right w:val="nil"/>
                            </w:tcBorders>
                            <w:hideMark/>
                          </w:tcPr>
                          <w:p w14:paraId="1F619EC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56.1 </w:t>
                            </w:r>
                          </w:p>
                        </w:tc>
                        <w:tc>
                          <w:tcPr>
                            <w:tcW w:w="534" w:type="pct"/>
                            <w:tcBorders>
                              <w:top w:val="nil"/>
                              <w:left w:val="nil"/>
                              <w:bottom w:val="nil"/>
                              <w:right w:val="nil"/>
                            </w:tcBorders>
                            <w:hideMark/>
                          </w:tcPr>
                          <w:p w14:paraId="7F14DD4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72.0 </w:t>
                            </w:r>
                          </w:p>
                        </w:tc>
                        <w:tc>
                          <w:tcPr>
                            <w:tcW w:w="535" w:type="pct"/>
                            <w:tcBorders>
                              <w:top w:val="nil"/>
                              <w:left w:val="nil"/>
                              <w:bottom w:val="nil"/>
                              <w:right w:val="nil"/>
                            </w:tcBorders>
                            <w:hideMark/>
                          </w:tcPr>
                          <w:p w14:paraId="5E7AEF3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109.5 </w:t>
                            </w:r>
                          </w:p>
                        </w:tc>
                        <w:tc>
                          <w:tcPr>
                            <w:tcW w:w="536" w:type="pct"/>
                            <w:tcBorders>
                              <w:top w:val="nil"/>
                              <w:left w:val="nil"/>
                              <w:bottom w:val="nil"/>
                              <w:right w:val="nil"/>
                            </w:tcBorders>
                            <w:hideMark/>
                          </w:tcPr>
                          <w:p w14:paraId="2D3746B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134.6 </w:t>
                            </w:r>
                          </w:p>
                        </w:tc>
                        <w:tc>
                          <w:tcPr>
                            <w:tcW w:w="575" w:type="pct"/>
                            <w:tcBorders>
                              <w:top w:val="nil"/>
                              <w:left w:val="nil"/>
                              <w:bottom w:val="nil"/>
                              <w:right w:val="nil"/>
                            </w:tcBorders>
                            <w:hideMark/>
                          </w:tcPr>
                          <w:p w14:paraId="3CA1272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126.5 </w:t>
                            </w:r>
                          </w:p>
                        </w:tc>
                        <w:tc>
                          <w:tcPr>
                            <w:tcW w:w="538" w:type="pct"/>
                            <w:tcBorders>
                              <w:top w:val="nil"/>
                              <w:left w:val="nil"/>
                              <w:bottom w:val="nil"/>
                              <w:right w:val="nil"/>
                            </w:tcBorders>
                            <w:hideMark/>
                          </w:tcPr>
                          <w:p w14:paraId="0D69193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130.3 </w:t>
                            </w:r>
                          </w:p>
                        </w:tc>
                        <w:tc>
                          <w:tcPr>
                            <w:tcW w:w="410" w:type="pct"/>
                            <w:tcBorders>
                              <w:top w:val="nil"/>
                              <w:left w:val="nil"/>
                              <w:bottom w:val="nil"/>
                              <w:right w:val="nil"/>
                            </w:tcBorders>
                            <w:hideMark/>
                          </w:tcPr>
                          <w:p w14:paraId="13F8C5A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134.5 </w:t>
                            </w:r>
                          </w:p>
                        </w:tc>
                      </w:tr>
                      <w:tr w:rsidR="00166A40" w:rsidRPr="00166A40" w14:paraId="03ACC754" w14:textId="77777777" w:rsidTr="00166A40">
                        <w:trPr>
                          <w:trHeight w:val="196"/>
                        </w:trPr>
                        <w:tc>
                          <w:tcPr>
                            <w:tcW w:w="1338" w:type="pct"/>
                            <w:tcBorders>
                              <w:top w:val="nil"/>
                              <w:left w:val="nil"/>
                              <w:bottom w:val="nil"/>
                              <w:right w:val="nil"/>
                            </w:tcBorders>
                            <w:noWrap/>
                            <w:hideMark/>
                          </w:tcPr>
                          <w:p w14:paraId="5C7E3450"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Total Revenue</w:t>
                            </w:r>
                          </w:p>
                        </w:tc>
                        <w:tc>
                          <w:tcPr>
                            <w:tcW w:w="534" w:type="pct"/>
                            <w:tcBorders>
                              <w:top w:val="single" w:sz="4" w:space="0" w:color="000000"/>
                              <w:left w:val="nil"/>
                              <w:bottom w:val="nil"/>
                              <w:right w:val="nil"/>
                            </w:tcBorders>
                            <w:hideMark/>
                          </w:tcPr>
                          <w:p w14:paraId="70A9C47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56.1 </w:t>
                            </w:r>
                          </w:p>
                        </w:tc>
                        <w:tc>
                          <w:tcPr>
                            <w:tcW w:w="534" w:type="pct"/>
                            <w:tcBorders>
                              <w:top w:val="single" w:sz="4" w:space="0" w:color="000000"/>
                              <w:left w:val="nil"/>
                              <w:bottom w:val="nil"/>
                              <w:right w:val="nil"/>
                            </w:tcBorders>
                            <w:hideMark/>
                          </w:tcPr>
                          <w:p w14:paraId="3BE3F10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72.0 </w:t>
                            </w:r>
                          </w:p>
                        </w:tc>
                        <w:tc>
                          <w:tcPr>
                            <w:tcW w:w="535" w:type="pct"/>
                            <w:tcBorders>
                              <w:top w:val="single" w:sz="4" w:space="0" w:color="000000"/>
                              <w:left w:val="nil"/>
                              <w:bottom w:val="nil"/>
                              <w:right w:val="nil"/>
                            </w:tcBorders>
                            <w:hideMark/>
                          </w:tcPr>
                          <w:p w14:paraId="32A2C96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109.5 </w:t>
                            </w:r>
                          </w:p>
                        </w:tc>
                        <w:tc>
                          <w:tcPr>
                            <w:tcW w:w="536" w:type="pct"/>
                            <w:tcBorders>
                              <w:top w:val="single" w:sz="4" w:space="0" w:color="000000"/>
                              <w:left w:val="nil"/>
                              <w:bottom w:val="nil"/>
                              <w:right w:val="nil"/>
                            </w:tcBorders>
                            <w:hideMark/>
                          </w:tcPr>
                          <w:p w14:paraId="2A1533C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134.6 </w:t>
                            </w:r>
                          </w:p>
                        </w:tc>
                        <w:tc>
                          <w:tcPr>
                            <w:tcW w:w="575" w:type="pct"/>
                            <w:tcBorders>
                              <w:top w:val="single" w:sz="4" w:space="0" w:color="000000"/>
                              <w:left w:val="nil"/>
                              <w:bottom w:val="nil"/>
                              <w:right w:val="nil"/>
                            </w:tcBorders>
                            <w:hideMark/>
                          </w:tcPr>
                          <w:p w14:paraId="0A71594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126.5 </w:t>
                            </w:r>
                          </w:p>
                        </w:tc>
                        <w:tc>
                          <w:tcPr>
                            <w:tcW w:w="538" w:type="pct"/>
                            <w:tcBorders>
                              <w:top w:val="single" w:sz="4" w:space="0" w:color="000000"/>
                              <w:left w:val="nil"/>
                              <w:bottom w:val="nil"/>
                              <w:right w:val="nil"/>
                            </w:tcBorders>
                            <w:hideMark/>
                          </w:tcPr>
                          <w:p w14:paraId="397BB54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130.3 </w:t>
                            </w:r>
                          </w:p>
                        </w:tc>
                        <w:tc>
                          <w:tcPr>
                            <w:tcW w:w="410" w:type="pct"/>
                            <w:tcBorders>
                              <w:top w:val="single" w:sz="4" w:space="0" w:color="000000"/>
                              <w:left w:val="nil"/>
                              <w:bottom w:val="nil"/>
                              <w:right w:val="nil"/>
                            </w:tcBorders>
                            <w:hideMark/>
                          </w:tcPr>
                          <w:p w14:paraId="59E6BB5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134.5 </w:t>
                            </w:r>
                          </w:p>
                        </w:tc>
                      </w:tr>
                      <w:tr w:rsidR="00166A40" w:rsidRPr="00166A40" w14:paraId="18C59BC8" w14:textId="77777777" w:rsidTr="00166A40">
                        <w:trPr>
                          <w:trHeight w:val="196"/>
                        </w:trPr>
                        <w:tc>
                          <w:tcPr>
                            <w:tcW w:w="1338" w:type="pct"/>
                            <w:tcBorders>
                              <w:top w:val="nil"/>
                              <w:left w:val="nil"/>
                              <w:bottom w:val="nil"/>
                              <w:right w:val="nil"/>
                            </w:tcBorders>
                            <w:noWrap/>
                            <w:hideMark/>
                          </w:tcPr>
                          <w:p w14:paraId="16679E2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Cost Of Goods Sold</w:t>
                            </w:r>
                          </w:p>
                        </w:tc>
                        <w:tc>
                          <w:tcPr>
                            <w:tcW w:w="534" w:type="pct"/>
                            <w:tcBorders>
                              <w:top w:val="nil"/>
                              <w:left w:val="nil"/>
                              <w:bottom w:val="nil"/>
                              <w:right w:val="nil"/>
                            </w:tcBorders>
                            <w:hideMark/>
                          </w:tcPr>
                          <w:p w14:paraId="202A562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30.4 </w:t>
                            </w:r>
                          </w:p>
                        </w:tc>
                        <w:tc>
                          <w:tcPr>
                            <w:tcW w:w="534" w:type="pct"/>
                            <w:tcBorders>
                              <w:top w:val="nil"/>
                              <w:left w:val="nil"/>
                              <w:bottom w:val="nil"/>
                              <w:right w:val="nil"/>
                            </w:tcBorders>
                            <w:hideMark/>
                          </w:tcPr>
                          <w:p w14:paraId="133884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39.5 </w:t>
                            </w:r>
                          </w:p>
                        </w:tc>
                        <w:tc>
                          <w:tcPr>
                            <w:tcW w:w="535" w:type="pct"/>
                            <w:tcBorders>
                              <w:top w:val="nil"/>
                              <w:left w:val="nil"/>
                              <w:bottom w:val="nil"/>
                              <w:right w:val="nil"/>
                            </w:tcBorders>
                            <w:hideMark/>
                          </w:tcPr>
                          <w:p w14:paraId="7A51CD4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64.0 </w:t>
                            </w:r>
                          </w:p>
                        </w:tc>
                        <w:tc>
                          <w:tcPr>
                            <w:tcW w:w="536" w:type="pct"/>
                            <w:tcBorders>
                              <w:top w:val="nil"/>
                              <w:left w:val="nil"/>
                              <w:bottom w:val="nil"/>
                              <w:right w:val="nil"/>
                            </w:tcBorders>
                            <w:hideMark/>
                          </w:tcPr>
                          <w:p w14:paraId="2F3DC71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85.0 </w:t>
                            </w:r>
                          </w:p>
                        </w:tc>
                        <w:tc>
                          <w:tcPr>
                            <w:tcW w:w="575" w:type="pct"/>
                            <w:tcBorders>
                              <w:top w:val="nil"/>
                              <w:left w:val="nil"/>
                              <w:bottom w:val="nil"/>
                              <w:right w:val="nil"/>
                            </w:tcBorders>
                            <w:hideMark/>
                          </w:tcPr>
                          <w:p w14:paraId="700B4E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79.9 </w:t>
                            </w:r>
                          </w:p>
                        </w:tc>
                        <w:tc>
                          <w:tcPr>
                            <w:tcW w:w="538" w:type="pct"/>
                            <w:tcBorders>
                              <w:top w:val="nil"/>
                              <w:left w:val="nil"/>
                              <w:bottom w:val="nil"/>
                              <w:right w:val="nil"/>
                            </w:tcBorders>
                            <w:hideMark/>
                          </w:tcPr>
                          <w:p w14:paraId="7CDB67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81.2 </w:t>
                            </w:r>
                          </w:p>
                        </w:tc>
                        <w:tc>
                          <w:tcPr>
                            <w:tcW w:w="410" w:type="pct"/>
                            <w:tcBorders>
                              <w:top w:val="nil"/>
                              <w:left w:val="nil"/>
                              <w:bottom w:val="nil"/>
                              <w:right w:val="nil"/>
                            </w:tcBorders>
                            <w:hideMark/>
                          </w:tcPr>
                          <w:p w14:paraId="08289A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82.3 </w:t>
                            </w:r>
                          </w:p>
                        </w:tc>
                      </w:tr>
                      <w:tr w:rsidR="00166A40" w:rsidRPr="00166A40" w14:paraId="6D0F70A6" w14:textId="77777777" w:rsidTr="00166A40">
                        <w:trPr>
                          <w:trHeight w:val="196"/>
                        </w:trPr>
                        <w:tc>
                          <w:tcPr>
                            <w:tcW w:w="1338" w:type="pct"/>
                            <w:tcBorders>
                              <w:top w:val="nil"/>
                              <w:left w:val="nil"/>
                              <w:bottom w:val="nil"/>
                              <w:right w:val="nil"/>
                            </w:tcBorders>
                            <w:noWrap/>
                            <w:hideMark/>
                          </w:tcPr>
                          <w:p w14:paraId="6FF60DF0"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Gross Profit</w:t>
                            </w:r>
                          </w:p>
                        </w:tc>
                        <w:tc>
                          <w:tcPr>
                            <w:tcW w:w="534" w:type="pct"/>
                            <w:tcBorders>
                              <w:top w:val="single" w:sz="4" w:space="0" w:color="000000"/>
                              <w:left w:val="nil"/>
                              <w:bottom w:val="nil"/>
                              <w:right w:val="nil"/>
                            </w:tcBorders>
                            <w:hideMark/>
                          </w:tcPr>
                          <w:p w14:paraId="4D81989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25.7 </w:t>
                            </w:r>
                          </w:p>
                        </w:tc>
                        <w:tc>
                          <w:tcPr>
                            <w:tcW w:w="534" w:type="pct"/>
                            <w:tcBorders>
                              <w:top w:val="single" w:sz="4" w:space="0" w:color="000000"/>
                              <w:left w:val="nil"/>
                              <w:bottom w:val="nil"/>
                              <w:right w:val="nil"/>
                            </w:tcBorders>
                            <w:hideMark/>
                          </w:tcPr>
                          <w:p w14:paraId="7FC6A73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32.5 </w:t>
                            </w:r>
                          </w:p>
                        </w:tc>
                        <w:tc>
                          <w:tcPr>
                            <w:tcW w:w="535" w:type="pct"/>
                            <w:tcBorders>
                              <w:top w:val="single" w:sz="4" w:space="0" w:color="000000"/>
                              <w:left w:val="nil"/>
                              <w:bottom w:val="nil"/>
                              <w:right w:val="nil"/>
                            </w:tcBorders>
                            <w:hideMark/>
                          </w:tcPr>
                          <w:p w14:paraId="0309360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45.4 </w:t>
                            </w:r>
                          </w:p>
                        </w:tc>
                        <w:tc>
                          <w:tcPr>
                            <w:tcW w:w="536" w:type="pct"/>
                            <w:tcBorders>
                              <w:top w:val="single" w:sz="4" w:space="0" w:color="000000"/>
                              <w:left w:val="nil"/>
                              <w:bottom w:val="nil"/>
                              <w:right w:val="nil"/>
                            </w:tcBorders>
                            <w:hideMark/>
                          </w:tcPr>
                          <w:p w14:paraId="136A96F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49.6 </w:t>
                            </w:r>
                          </w:p>
                        </w:tc>
                        <w:tc>
                          <w:tcPr>
                            <w:tcW w:w="575" w:type="pct"/>
                            <w:tcBorders>
                              <w:top w:val="single" w:sz="4" w:space="0" w:color="000000"/>
                              <w:left w:val="nil"/>
                              <w:bottom w:val="nil"/>
                              <w:right w:val="nil"/>
                            </w:tcBorders>
                            <w:hideMark/>
                          </w:tcPr>
                          <w:p w14:paraId="7B2E5533"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46.6 </w:t>
                            </w:r>
                          </w:p>
                        </w:tc>
                        <w:tc>
                          <w:tcPr>
                            <w:tcW w:w="538" w:type="pct"/>
                            <w:tcBorders>
                              <w:top w:val="single" w:sz="4" w:space="0" w:color="000000"/>
                              <w:left w:val="nil"/>
                              <w:bottom w:val="nil"/>
                              <w:right w:val="nil"/>
                            </w:tcBorders>
                            <w:hideMark/>
                          </w:tcPr>
                          <w:p w14:paraId="3B8783B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49.1 </w:t>
                            </w:r>
                          </w:p>
                        </w:tc>
                        <w:tc>
                          <w:tcPr>
                            <w:tcW w:w="410" w:type="pct"/>
                            <w:tcBorders>
                              <w:top w:val="single" w:sz="4" w:space="0" w:color="000000"/>
                              <w:left w:val="nil"/>
                              <w:bottom w:val="nil"/>
                              <w:right w:val="nil"/>
                            </w:tcBorders>
                            <w:hideMark/>
                          </w:tcPr>
                          <w:p w14:paraId="58D48C1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52.2 </w:t>
                            </w:r>
                          </w:p>
                        </w:tc>
                      </w:tr>
                      <w:tr w:rsidR="00166A40" w:rsidRPr="00166A40" w14:paraId="1CA01BA1" w14:textId="77777777" w:rsidTr="00166A40">
                        <w:trPr>
                          <w:trHeight w:val="196"/>
                        </w:trPr>
                        <w:tc>
                          <w:tcPr>
                            <w:tcW w:w="1338" w:type="pct"/>
                            <w:tcBorders>
                              <w:top w:val="nil"/>
                              <w:left w:val="nil"/>
                              <w:bottom w:val="nil"/>
                              <w:right w:val="nil"/>
                            </w:tcBorders>
                            <w:noWrap/>
                            <w:hideMark/>
                          </w:tcPr>
                          <w:p w14:paraId="04617AC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Selling General &amp; Admin Exp.</w:t>
                            </w:r>
                          </w:p>
                        </w:tc>
                        <w:tc>
                          <w:tcPr>
                            <w:tcW w:w="534" w:type="pct"/>
                            <w:tcBorders>
                              <w:top w:val="nil"/>
                              <w:left w:val="nil"/>
                              <w:bottom w:val="nil"/>
                              <w:right w:val="nil"/>
                            </w:tcBorders>
                            <w:hideMark/>
                          </w:tcPr>
                          <w:p w14:paraId="2AB0027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9.4 </w:t>
                            </w:r>
                          </w:p>
                        </w:tc>
                        <w:tc>
                          <w:tcPr>
                            <w:tcW w:w="534" w:type="pct"/>
                            <w:tcBorders>
                              <w:top w:val="nil"/>
                              <w:left w:val="nil"/>
                              <w:bottom w:val="nil"/>
                              <w:right w:val="nil"/>
                            </w:tcBorders>
                            <w:hideMark/>
                          </w:tcPr>
                          <w:p w14:paraId="3D5BE88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11.1 </w:t>
                            </w:r>
                          </w:p>
                        </w:tc>
                        <w:tc>
                          <w:tcPr>
                            <w:tcW w:w="535" w:type="pct"/>
                            <w:tcBorders>
                              <w:top w:val="nil"/>
                              <w:left w:val="nil"/>
                              <w:bottom w:val="nil"/>
                              <w:right w:val="nil"/>
                            </w:tcBorders>
                            <w:hideMark/>
                          </w:tcPr>
                          <w:p w14:paraId="09F42D3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18.1 </w:t>
                            </w:r>
                          </w:p>
                        </w:tc>
                        <w:tc>
                          <w:tcPr>
                            <w:tcW w:w="536" w:type="pct"/>
                            <w:tcBorders>
                              <w:top w:val="nil"/>
                              <w:left w:val="nil"/>
                              <w:bottom w:val="nil"/>
                              <w:right w:val="nil"/>
                            </w:tcBorders>
                            <w:hideMark/>
                          </w:tcPr>
                          <w:p w14:paraId="7777EE0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23.9 </w:t>
                            </w:r>
                          </w:p>
                        </w:tc>
                        <w:tc>
                          <w:tcPr>
                            <w:tcW w:w="575" w:type="pct"/>
                            <w:tcBorders>
                              <w:top w:val="nil"/>
                              <w:left w:val="nil"/>
                              <w:bottom w:val="nil"/>
                              <w:right w:val="nil"/>
                            </w:tcBorders>
                            <w:hideMark/>
                          </w:tcPr>
                          <w:p w14:paraId="4EF341D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21.2 </w:t>
                            </w:r>
                          </w:p>
                        </w:tc>
                        <w:tc>
                          <w:tcPr>
                            <w:tcW w:w="538" w:type="pct"/>
                            <w:tcBorders>
                              <w:top w:val="nil"/>
                              <w:left w:val="nil"/>
                              <w:bottom w:val="nil"/>
                              <w:right w:val="nil"/>
                            </w:tcBorders>
                            <w:hideMark/>
                          </w:tcPr>
                          <w:p w14:paraId="65325B2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21.8 </w:t>
                            </w:r>
                          </w:p>
                        </w:tc>
                        <w:tc>
                          <w:tcPr>
                            <w:tcW w:w="410" w:type="pct"/>
                            <w:tcBorders>
                              <w:top w:val="nil"/>
                              <w:left w:val="nil"/>
                              <w:bottom w:val="nil"/>
                              <w:right w:val="nil"/>
                            </w:tcBorders>
                            <w:hideMark/>
                          </w:tcPr>
                          <w:p w14:paraId="57DEE26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25.3 </w:t>
                            </w:r>
                          </w:p>
                        </w:tc>
                      </w:tr>
                      <w:tr w:rsidR="00166A40" w:rsidRPr="00166A40" w14:paraId="6BEF7E1C" w14:textId="77777777" w:rsidTr="00166A40">
                        <w:trPr>
                          <w:trHeight w:val="196"/>
                        </w:trPr>
                        <w:tc>
                          <w:tcPr>
                            <w:tcW w:w="1338" w:type="pct"/>
                            <w:tcBorders>
                              <w:top w:val="nil"/>
                              <w:left w:val="nil"/>
                              <w:bottom w:val="nil"/>
                              <w:right w:val="nil"/>
                            </w:tcBorders>
                            <w:noWrap/>
                            <w:hideMark/>
                          </w:tcPr>
                          <w:p w14:paraId="4550A849"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R &amp; D Exp.</w:t>
                            </w:r>
                          </w:p>
                        </w:tc>
                        <w:tc>
                          <w:tcPr>
                            <w:tcW w:w="534" w:type="pct"/>
                            <w:tcBorders>
                              <w:top w:val="nil"/>
                              <w:left w:val="nil"/>
                              <w:bottom w:val="nil"/>
                              <w:right w:val="nil"/>
                            </w:tcBorders>
                            <w:hideMark/>
                          </w:tcPr>
                          <w:p w14:paraId="4254C63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5.6 </w:t>
                            </w:r>
                          </w:p>
                        </w:tc>
                        <w:tc>
                          <w:tcPr>
                            <w:tcW w:w="534" w:type="pct"/>
                            <w:tcBorders>
                              <w:top w:val="nil"/>
                              <w:left w:val="nil"/>
                              <w:bottom w:val="nil"/>
                              <w:right w:val="nil"/>
                            </w:tcBorders>
                            <w:hideMark/>
                          </w:tcPr>
                          <w:p w14:paraId="49453A0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6.1 </w:t>
                            </w:r>
                          </w:p>
                        </w:tc>
                        <w:tc>
                          <w:tcPr>
                            <w:tcW w:w="535" w:type="pct"/>
                            <w:tcBorders>
                              <w:top w:val="nil"/>
                              <w:left w:val="nil"/>
                              <w:bottom w:val="nil"/>
                              <w:right w:val="nil"/>
                            </w:tcBorders>
                            <w:hideMark/>
                          </w:tcPr>
                          <w:p w14:paraId="7FD0A0D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8.7 </w:t>
                            </w:r>
                          </w:p>
                        </w:tc>
                        <w:tc>
                          <w:tcPr>
                            <w:tcW w:w="536" w:type="pct"/>
                            <w:tcBorders>
                              <w:top w:val="nil"/>
                              <w:left w:val="nil"/>
                              <w:bottom w:val="nil"/>
                              <w:right w:val="nil"/>
                            </w:tcBorders>
                            <w:hideMark/>
                          </w:tcPr>
                          <w:p w14:paraId="01B6768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8.7 </w:t>
                            </w:r>
                          </w:p>
                        </w:tc>
                        <w:tc>
                          <w:tcPr>
                            <w:tcW w:w="575" w:type="pct"/>
                            <w:tcBorders>
                              <w:top w:val="nil"/>
                              <w:left w:val="nil"/>
                              <w:bottom w:val="nil"/>
                              <w:right w:val="nil"/>
                            </w:tcBorders>
                            <w:hideMark/>
                          </w:tcPr>
                          <w:p w14:paraId="4FEEC6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 </w:t>
                            </w:r>
                          </w:p>
                        </w:tc>
                        <w:tc>
                          <w:tcPr>
                            <w:tcW w:w="538" w:type="pct"/>
                            <w:tcBorders>
                              <w:top w:val="nil"/>
                              <w:left w:val="nil"/>
                              <w:bottom w:val="nil"/>
                              <w:right w:val="nil"/>
                            </w:tcBorders>
                            <w:hideMark/>
                          </w:tcPr>
                          <w:p w14:paraId="1635AD1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 </w:t>
                            </w:r>
                          </w:p>
                        </w:tc>
                        <w:tc>
                          <w:tcPr>
                            <w:tcW w:w="410" w:type="pct"/>
                            <w:tcBorders>
                              <w:top w:val="nil"/>
                              <w:left w:val="nil"/>
                              <w:bottom w:val="nil"/>
                              <w:right w:val="nil"/>
                            </w:tcBorders>
                            <w:hideMark/>
                          </w:tcPr>
                          <w:p w14:paraId="243DA4F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7.7 </w:t>
                            </w:r>
                          </w:p>
                        </w:tc>
                      </w:tr>
                      <w:tr w:rsidR="00166A40" w:rsidRPr="00166A40" w14:paraId="0926A3D4" w14:textId="77777777" w:rsidTr="00166A40">
                        <w:trPr>
                          <w:trHeight w:val="196"/>
                        </w:trPr>
                        <w:tc>
                          <w:tcPr>
                            <w:tcW w:w="1338" w:type="pct"/>
                            <w:tcBorders>
                              <w:top w:val="nil"/>
                              <w:left w:val="nil"/>
                              <w:bottom w:val="nil"/>
                              <w:right w:val="nil"/>
                            </w:tcBorders>
                            <w:noWrap/>
                            <w:hideMark/>
                          </w:tcPr>
                          <w:p w14:paraId="5DC5F03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Amort. of Goodwill and Intangibles</w:t>
                            </w:r>
                          </w:p>
                        </w:tc>
                        <w:tc>
                          <w:tcPr>
                            <w:tcW w:w="534" w:type="pct"/>
                            <w:tcBorders>
                              <w:top w:val="nil"/>
                              <w:left w:val="nil"/>
                              <w:bottom w:val="nil"/>
                              <w:right w:val="nil"/>
                            </w:tcBorders>
                            <w:hideMark/>
                          </w:tcPr>
                          <w:p w14:paraId="0D9CFAC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4" w:type="pct"/>
                            <w:tcBorders>
                              <w:top w:val="nil"/>
                              <w:left w:val="nil"/>
                              <w:bottom w:val="nil"/>
                              <w:right w:val="nil"/>
                            </w:tcBorders>
                            <w:hideMark/>
                          </w:tcPr>
                          <w:p w14:paraId="5A4E19E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 </w:t>
                            </w:r>
                          </w:p>
                        </w:tc>
                        <w:tc>
                          <w:tcPr>
                            <w:tcW w:w="535" w:type="pct"/>
                            <w:tcBorders>
                              <w:top w:val="nil"/>
                              <w:left w:val="nil"/>
                              <w:bottom w:val="nil"/>
                              <w:right w:val="nil"/>
                            </w:tcBorders>
                            <w:hideMark/>
                          </w:tcPr>
                          <w:p w14:paraId="0144C32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 </w:t>
                            </w:r>
                          </w:p>
                        </w:tc>
                        <w:tc>
                          <w:tcPr>
                            <w:tcW w:w="536" w:type="pct"/>
                            <w:tcBorders>
                              <w:top w:val="nil"/>
                              <w:left w:val="nil"/>
                              <w:bottom w:val="nil"/>
                              <w:right w:val="nil"/>
                            </w:tcBorders>
                            <w:hideMark/>
                          </w:tcPr>
                          <w:p w14:paraId="45FFA24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1.7 </w:t>
                            </w:r>
                          </w:p>
                        </w:tc>
                        <w:tc>
                          <w:tcPr>
                            <w:tcW w:w="575" w:type="pct"/>
                            <w:tcBorders>
                              <w:top w:val="nil"/>
                              <w:left w:val="nil"/>
                              <w:bottom w:val="nil"/>
                              <w:right w:val="nil"/>
                            </w:tcBorders>
                            <w:hideMark/>
                          </w:tcPr>
                          <w:p w14:paraId="7B0097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8" w:type="pct"/>
                            <w:tcBorders>
                              <w:top w:val="nil"/>
                              <w:left w:val="nil"/>
                              <w:bottom w:val="nil"/>
                              <w:right w:val="nil"/>
                            </w:tcBorders>
                            <w:hideMark/>
                          </w:tcPr>
                          <w:p w14:paraId="60CD0A0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410" w:type="pct"/>
                            <w:tcBorders>
                              <w:top w:val="nil"/>
                              <w:left w:val="nil"/>
                              <w:bottom w:val="nil"/>
                              <w:right w:val="nil"/>
                            </w:tcBorders>
                            <w:hideMark/>
                          </w:tcPr>
                          <w:p w14:paraId="3507D94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r>
                      <w:tr w:rsidR="00166A40" w:rsidRPr="00166A40" w14:paraId="4DC16CCB" w14:textId="77777777" w:rsidTr="00166A40">
                        <w:trPr>
                          <w:trHeight w:val="196"/>
                        </w:trPr>
                        <w:tc>
                          <w:tcPr>
                            <w:tcW w:w="1338" w:type="pct"/>
                            <w:tcBorders>
                              <w:top w:val="nil"/>
                              <w:left w:val="nil"/>
                              <w:bottom w:val="nil"/>
                              <w:right w:val="nil"/>
                            </w:tcBorders>
                            <w:noWrap/>
                            <w:hideMark/>
                          </w:tcPr>
                          <w:p w14:paraId="2A67B03E"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Other Operating Exp., Total</w:t>
                            </w:r>
                          </w:p>
                        </w:tc>
                        <w:tc>
                          <w:tcPr>
                            <w:tcW w:w="534" w:type="pct"/>
                            <w:tcBorders>
                              <w:top w:val="single" w:sz="4" w:space="0" w:color="000000"/>
                              <w:left w:val="nil"/>
                              <w:bottom w:val="nil"/>
                              <w:right w:val="nil"/>
                            </w:tcBorders>
                            <w:hideMark/>
                          </w:tcPr>
                          <w:p w14:paraId="66E1052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16.6 </w:t>
                            </w:r>
                          </w:p>
                        </w:tc>
                        <w:tc>
                          <w:tcPr>
                            <w:tcW w:w="534" w:type="pct"/>
                            <w:tcBorders>
                              <w:top w:val="single" w:sz="4" w:space="0" w:color="000000"/>
                              <w:left w:val="nil"/>
                              <w:bottom w:val="nil"/>
                              <w:right w:val="nil"/>
                            </w:tcBorders>
                            <w:hideMark/>
                          </w:tcPr>
                          <w:p w14:paraId="618F7FB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19.0 </w:t>
                            </w:r>
                          </w:p>
                        </w:tc>
                        <w:tc>
                          <w:tcPr>
                            <w:tcW w:w="535" w:type="pct"/>
                            <w:tcBorders>
                              <w:top w:val="single" w:sz="4" w:space="0" w:color="000000"/>
                              <w:left w:val="nil"/>
                              <w:bottom w:val="nil"/>
                              <w:right w:val="nil"/>
                            </w:tcBorders>
                            <w:hideMark/>
                          </w:tcPr>
                          <w:p w14:paraId="59233B1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28.7 </w:t>
                            </w:r>
                          </w:p>
                        </w:tc>
                        <w:tc>
                          <w:tcPr>
                            <w:tcW w:w="536" w:type="pct"/>
                            <w:tcBorders>
                              <w:top w:val="single" w:sz="4" w:space="0" w:color="000000"/>
                              <w:left w:val="nil"/>
                              <w:bottom w:val="nil"/>
                              <w:right w:val="nil"/>
                            </w:tcBorders>
                            <w:hideMark/>
                          </w:tcPr>
                          <w:p w14:paraId="379EB04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34.4 </w:t>
                            </w:r>
                          </w:p>
                        </w:tc>
                        <w:tc>
                          <w:tcPr>
                            <w:tcW w:w="575" w:type="pct"/>
                            <w:tcBorders>
                              <w:top w:val="single" w:sz="4" w:space="0" w:color="000000"/>
                              <w:left w:val="nil"/>
                              <w:bottom w:val="nil"/>
                              <w:right w:val="nil"/>
                            </w:tcBorders>
                            <w:hideMark/>
                          </w:tcPr>
                          <w:p w14:paraId="5DDC91B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31.0 </w:t>
                            </w:r>
                          </w:p>
                        </w:tc>
                        <w:tc>
                          <w:tcPr>
                            <w:tcW w:w="538" w:type="pct"/>
                            <w:tcBorders>
                              <w:top w:val="single" w:sz="4" w:space="0" w:color="000000"/>
                              <w:left w:val="nil"/>
                              <w:bottom w:val="nil"/>
                              <w:right w:val="nil"/>
                            </w:tcBorders>
                            <w:hideMark/>
                          </w:tcPr>
                          <w:p w14:paraId="71CF0D1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29.9 </w:t>
                            </w:r>
                          </w:p>
                        </w:tc>
                        <w:tc>
                          <w:tcPr>
                            <w:tcW w:w="410" w:type="pct"/>
                            <w:tcBorders>
                              <w:top w:val="single" w:sz="4" w:space="0" w:color="000000"/>
                              <w:left w:val="nil"/>
                              <w:bottom w:val="nil"/>
                              <w:right w:val="nil"/>
                            </w:tcBorders>
                            <w:hideMark/>
                          </w:tcPr>
                          <w:p w14:paraId="2F3635F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31.9 </w:t>
                            </w:r>
                          </w:p>
                        </w:tc>
                      </w:tr>
                      <w:tr w:rsidR="00166A40" w:rsidRPr="00166A40" w14:paraId="4BB4D24B" w14:textId="77777777" w:rsidTr="00166A40">
                        <w:trPr>
                          <w:trHeight w:val="196"/>
                        </w:trPr>
                        <w:tc>
                          <w:tcPr>
                            <w:tcW w:w="1338" w:type="pct"/>
                            <w:tcBorders>
                              <w:top w:val="nil"/>
                              <w:left w:val="nil"/>
                              <w:bottom w:val="nil"/>
                              <w:right w:val="nil"/>
                            </w:tcBorders>
                            <w:noWrap/>
                            <w:hideMark/>
                          </w:tcPr>
                          <w:p w14:paraId="107791B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Operating Income</w:t>
                            </w:r>
                          </w:p>
                        </w:tc>
                        <w:tc>
                          <w:tcPr>
                            <w:tcW w:w="534" w:type="pct"/>
                            <w:tcBorders>
                              <w:top w:val="nil"/>
                              <w:left w:val="nil"/>
                              <w:bottom w:val="nil"/>
                              <w:right w:val="nil"/>
                            </w:tcBorders>
                            <w:hideMark/>
                          </w:tcPr>
                          <w:p w14:paraId="561D2D5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9.2 </w:t>
                            </w:r>
                          </w:p>
                        </w:tc>
                        <w:tc>
                          <w:tcPr>
                            <w:tcW w:w="534" w:type="pct"/>
                            <w:tcBorders>
                              <w:top w:val="nil"/>
                              <w:left w:val="nil"/>
                              <w:bottom w:val="nil"/>
                              <w:right w:val="nil"/>
                            </w:tcBorders>
                            <w:hideMark/>
                          </w:tcPr>
                          <w:p w14:paraId="3861F82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13.5 </w:t>
                            </w:r>
                          </w:p>
                        </w:tc>
                        <w:tc>
                          <w:tcPr>
                            <w:tcW w:w="535" w:type="pct"/>
                            <w:tcBorders>
                              <w:top w:val="nil"/>
                              <w:left w:val="nil"/>
                              <w:bottom w:val="nil"/>
                              <w:right w:val="nil"/>
                            </w:tcBorders>
                            <w:hideMark/>
                          </w:tcPr>
                          <w:p w14:paraId="21794F2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16.7 </w:t>
                            </w:r>
                          </w:p>
                        </w:tc>
                        <w:tc>
                          <w:tcPr>
                            <w:tcW w:w="536" w:type="pct"/>
                            <w:tcBorders>
                              <w:top w:val="nil"/>
                              <w:left w:val="nil"/>
                              <w:bottom w:val="nil"/>
                              <w:right w:val="nil"/>
                            </w:tcBorders>
                            <w:hideMark/>
                          </w:tcPr>
                          <w:p w14:paraId="45DD547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15.2 </w:t>
                            </w:r>
                          </w:p>
                        </w:tc>
                        <w:tc>
                          <w:tcPr>
                            <w:tcW w:w="575" w:type="pct"/>
                            <w:tcBorders>
                              <w:top w:val="nil"/>
                              <w:left w:val="nil"/>
                              <w:bottom w:val="nil"/>
                              <w:right w:val="nil"/>
                            </w:tcBorders>
                            <w:hideMark/>
                          </w:tcPr>
                          <w:p w14:paraId="56FF45C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15.6 </w:t>
                            </w:r>
                          </w:p>
                        </w:tc>
                        <w:tc>
                          <w:tcPr>
                            <w:tcW w:w="538" w:type="pct"/>
                            <w:tcBorders>
                              <w:top w:val="nil"/>
                              <w:left w:val="nil"/>
                              <w:bottom w:val="nil"/>
                              <w:right w:val="nil"/>
                            </w:tcBorders>
                            <w:hideMark/>
                          </w:tcPr>
                          <w:p w14:paraId="1A23F11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19.2 </w:t>
                            </w:r>
                          </w:p>
                        </w:tc>
                        <w:tc>
                          <w:tcPr>
                            <w:tcW w:w="410" w:type="pct"/>
                            <w:tcBorders>
                              <w:top w:val="nil"/>
                              <w:left w:val="nil"/>
                              <w:bottom w:val="nil"/>
                              <w:right w:val="nil"/>
                            </w:tcBorders>
                            <w:hideMark/>
                          </w:tcPr>
                          <w:p w14:paraId="6FE5532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20.3 </w:t>
                            </w:r>
                          </w:p>
                        </w:tc>
                      </w:tr>
                      <w:tr w:rsidR="00166A40" w:rsidRPr="00166A40" w14:paraId="1A044F2E" w14:textId="77777777" w:rsidTr="00166A40">
                        <w:trPr>
                          <w:trHeight w:val="196"/>
                        </w:trPr>
                        <w:tc>
                          <w:tcPr>
                            <w:tcW w:w="1338" w:type="pct"/>
                            <w:tcBorders>
                              <w:top w:val="nil"/>
                              <w:left w:val="nil"/>
                              <w:bottom w:val="nil"/>
                              <w:right w:val="nil"/>
                            </w:tcBorders>
                            <w:noWrap/>
                            <w:hideMark/>
                          </w:tcPr>
                          <w:p w14:paraId="72F4654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Interest Expense</w:t>
                            </w:r>
                          </w:p>
                        </w:tc>
                        <w:tc>
                          <w:tcPr>
                            <w:tcW w:w="534" w:type="pct"/>
                            <w:tcBorders>
                              <w:top w:val="nil"/>
                              <w:left w:val="nil"/>
                              <w:bottom w:val="nil"/>
                              <w:right w:val="nil"/>
                            </w:tcBorders>
                            <w:hideMark/>
                          </w:tcPr>
                          <w:p w14:paraId="24DE536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00332F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(0.7)  </w:t>
                            </w:r>
                          </w:p>
                        </w:tc>
                        <w:tc>
                          <w:tcPr>
                            <w:tcW w:w="535" w:type="pct"/>
                            <w:tcBorders>
                              <w:top w:val="nil"/>
                              <w:left w:val="nil"/>
                              <w:bottom w:val="nil"/>
                              <w:right w:val="nil"/>
                            </w:tcBorders>
                            <w:hideMark/>
                          </w:tcPr>
                          <w:p w14:paraId="46A59C2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(0.7)  </w:t>
                            </w:r>
                          </w:p>
                        </w:tc>
                        <w:tc>
                          <w:tcPr>
                            <w:tcW w:w="536" w:type="pct"/>
                            <w:tcBorders>
                              <w:top w:val="nil"/>
                              <w:left w:val="nil"/>
                              <w:bottom w:val="nil"/>
                              <w:right w:val="nil"/>
                            </w:tcBorders>
                            <w:hideMark/>
                          </w:tcPr>
                          <w:p w14:paraId="5A635C1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75" w:type="pct"/>
                            <w:tcBorders>
                              <w:top w:val="nil"/>
                              <w:left w:val="nil"/>
                              <w:bottom w:val="nil"/>
                              <w:right w:val="nil"/>
                            </w:tcBorders>
                            <w:hideMark/>
                          </w:tcPr>
                          <w:p w14:paraId="30D14FE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538" w:type="pct"/>
                            <w:tcBorders>
                              <w:top w:val="nil"/>
                              <w:left w:val="nil"/>
                              <w:bottom w:val="nil"/>
                              <w:right w:val="nil"/>
                            </w:tcBorders>
                            <w:hideMark/>
                          </w:tcPr>
                          <w:p w14:paraId="68F401F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410" w:type="pct"/>
                            <w:tcBorders>
                              <w:top w:val="nil"/>
                              <w:left w:val="nil"/>
                              <w:bottom w:val="nil"/>
                              <w:right w:val="nil"/>
                            </w:tcBorders>
                            <w:hideMark/>
                          </w:tcPr>
                          <w:p w14:paraId="73FBB2B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  </w:t>
                            </w:r>
                          </w:p>
                        </w:tc>
                      </w:tr>
                      <w:tr w:rsidR="00166A40" w:rsidRPr="00166A40" w14:paraId="79177461" w14:textId="77777777" w:rsidTr="00166A40">
                        <w:trPr>
                          <w:trHeight w:val="196"/>
                        </w:trPr>
                        <w:tc>
                          <w:tcPr>
                            <w:tcW w:w="1338" w:type="pct"/>
                            <w:tcBorders>
                              <w:top w:val="nil"/>
                              <w:left w:val="nil"/>
                              <w:bottom w:val="nil"/>
                              <w:right w:val="nil"/>
                            </w:tcBorders>
                            <w:noWrap/>
                            <w:hideMark/>
                          </w:tcPr>
                          <w:p w14:paraId="325E67CF"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Interest and Invest. Income</w:t>
                            </w:r>
                          </w:p>
                        </w:tc>
                        <w:tc>
                          <w:tcPr>
                            <w:tcW w:w="534" w:type="pct"/>
                            <w:tcBorders>
                              <w:top w:val="nil"/>
                              <w:left w:val="nil"/>
                              <w:bottom w:val="nil"/>
                              <w:right w:val="nil"/>
                            </w:tcBorders>
                            <w:hideMark/>
                          </w:tcPr>
                          <w:p w14:paraId="6AC150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6.6 </w:t>
                            </w:r>
                          </w:p>
                        </w:tc>
                        <w:tc>
                          <w:tcPr>
                            <w:tcW w:w="534" w:type="pct"/>
                            <w:tcBorders>
                              <w:top w:val="nil"/>
                              <w:left w:val="nil"/>
                              <w:bottom w:val="nil"/>
                              <w:right w:val="nil"/>
                            </w:tcBorders>
                            <w:hideMark/>
                          </w:tcPr>
                          <w:p w14:paraId="154207C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10.3 </w:t>
                            </w:r>
                          </w:p>
                        </w:tc>
                        <w:tc>
                          <w:tcPr>
                            <w:tcW w:w="535" w:type="pct"/>
                            <w:tcBorders>
                              <w:top w:val="nil"/>
                              <w:left w:val="nil"/>
                              <w:bottom w:val="nil"/>
                              <w:right w:val="nil"/>
                            </w:tcBorders>
                            <w:hideMark/>
                          </w:tcPr>
                          <w:p w14:paraId="2131E0F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11.1 </w:t>
                            </w:r>
                          </w:p>
                        </w:tc>
                        <w:tc>
                          <w:tcPr>
                            <w:tcW w:w="536" w:type="pct"/>
                            <w:tcBorders>
                              <w:top w:val="nil"/>
                              <w:left w:val="nil"/>
                              <w:bottom w:val="nil"/>
                              <w:right w:val="nil"/>
                            </w:tcBorders>
                            <w:hideMark/>
                          </w:tcPr>
                          <w:p w14:paraId="11915FD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75" w:type="pct"/>
                            <w:tcBorders>
                              <w:top w:val="nil"/>
                              <w:left w:val="nil"/>
                              <w:bottom w:val="nil"/>
                              <w:right w:val="nil"/>
                            </w:tcBorders>
                            <w:hideMark/>
                          </w:tcPr>
                          <w:p w14:paraId="1116A6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8" w:type="pct"/>
                            <w:tcBorders>
                              <w:top w:val="nil"/>
                              <w:left w:val="nil"/>
                              <w:bottom w:val="nil"/>
                              <w:right w:val="nil"/>
                            </w:tcBorders>
                            <w:hideMark/>
                          </w:tcPr>
                          <w:p w14:paraId="2D061AF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410" w:type="pct"/>
                            <w:tcBorders>
                              <w:top w:val="nil"/>
                              <w:left w:val="nil"/>
                              <w:bottom w:val="nil"/>
                              <w:right w:val="nil"/>
                            </w:tcBorders>
                            <w:hideMark/>
                          </w:tcPr>
                          <w:p w14:paraId="5E4430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3.9 </w:t>
                            </w:r>
                          </w:p>
                        </w:tc>
                      </w:tr>
                      <w:tr w:rsidR="00166A40" w:rsidRPr="00166A40" w14:paraId="4F7E8930" w14:textId="77777777" w:rsidTr="00166A40">
                        <w:trPr>
                          <w:trHeight w:val="196"/>
                        </w:trPr>
                        <w:tc>
                          <w:tcPr>
                            <w:tcW w:w="1338" w:type="pct"/>
                            <w:tcBorders>
                              <w:top w:val="nil"/>
                              <w:left w:val="nil"/>
                              <w:bottom w:val="nil"/>
                              <w:right w:val="nil"/>
                            </w:tcBorders>
                            <w:noWrap/>
                            <w:hideMark/>
                          </w:tcPr>
                          <w:p w14:paraId="13D8A8B9"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Interest Exp.</w:t>
                            </w:r>
                          </w:p>
                        </w:tc>
                        <w:tc>
                          <w:tcPr>
                            <w:tcW w:w="534" w:type="pct"/>
                            <w:tcBorders>
                              <w:top w:val="single" w:sz="4" w:space="0" w:color="000000"/>
                              <w:left w:val="nil"/>
                              <w:bottom w:val="nil"/>
                              <w:right w:val="nil"/>
                            </w:tcBorders>
                            <w:hideMark/>
                          </w:tcPr>
                          <w:p w14:paraId="79CD81D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5.8 </w:t>
                            </w:r>
                          </w:p>
                        </w:tc>
                        <w:tc>
                          <w:tcPr>
                            <w:tcW w:w="534" w:type="pct"/>
                            <w:tcBorders>
                              <w:top w:val="single" w:sz="4" w:space="0" w:color="000000"/>
                              <w:left w:val="nil"/>
                              <w:bottom w:val="nil"/>
                              <w:right w:val="nil"/>
                            </w:tcBorders>
                            <w:hideMark/>
                          </w:tcPr>
                          <w:p w14:paraId="5BFC187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9.6 </w:t>
                            </w:r>
                          </w:p>
                        </w:tc>
                        <w:tc>
                          <w:tcPr>
                            <w:tcW w:w="535" w:type="pct"/>
                            <w:tcBorders>
                              <w:top w:val="single" w:sz="4" w:space="0" w:color="000000"/>
                              <w:left w:val="nil"/>
                              <w:bottom w:val="nil"/>
                              <w:right w:val="nil"/>
                            </w:tcBorders>
                            <w:hideMark/>
                          </w:tcPr>
                          <w:p w14:paraId="71442A2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10.4 </w:t>
                            </w:r>
                          </w:p>
                        </w:tc>
                        <w:tc>
                          <w:tcPr>
                            <w:tcW w:w="536" w:type="pct"/>
                            <w:tcBorders>
                              <w:top w:val="single" w:sz="4" w:space="0" w:color="000000"/>
                              <w:left w:val="nil"/>
                              <w:bottom w:val="nil"/>
                              <w:right w:val="nil"/>
                            </w:tcBorders>
                            <w:hideMark/>
                          </w:tcPr>
                          <w:p w14:paraId="5F131E7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(0.8)  </w:t>
                            </w:r>
                          </w:p>
                        </w:tc>
                        <w:tc>
                          <w:tcPr>
                            <w:tcW w:w="575" w:type="pct"/>
                            <w:tcBorders>
                              <w:top w:val="single" w:sz="4" w:space="0" w:color="000000"/>
                              <w:left w:val="nil"/>
                              <w:bottom w:val="nil"/>
                              <w:right w:val="nil"/>
                            </w:tcBorders>
                            <w:hideMark/>
                          </w:tcPr>
                          <w:p w14:paraId="7B83DF7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(0.9)  </w:t>
                            </w:r>
                          </w:p>
                        </w:tc>
                        <w:tc>
                          <w:tcPr>
                            <w:tcW w:w="538" w:type="pct"/>
                            <w:tcBorders>
                              <w:top w:val="single" w:sz="4" w:space="0" w:color="000000"/>
                              <w:left w:val="nil"/>
                              <w:bottom w:val="nil"/>
                              <w:right w:val="nil"/>
                            </w:tcBorders>
                            <w:hideMark/>
                          </w:tcPr>
                          <w:p w14:paraId="0D1FDEB3"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  </w:t>
                            </w:r>
                          </w:p>
                        </w:tc>
                        <w:tc>
                          <w:tcPr>
                            <w:tcW w:w="410" w:type="pct"/>
                            <w:tcBorders>
                              <w:top w:val="single" w:sz="4" w:space="0" w:color="000000"/>
                              <w:left w:val="nil"/>
                              <w:bottom w:val="nil"/>
                              <w:right w:val="nil"/>
                            </w:tcBorders>
                            <w:hideMark/>
                          </w:tcPr>
                          <w:p w14:paraId="1AAF3B3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2.6 </w:t>
                            </w:r>
                          </w:p>
                        </w:tc>
                      </w:tr>
                      <w:tr w:rsidR="00166A40" w:rsidRPr="00166A40" w14:paraId="050966DC" w14:textId="77777777" w:rsidTr="00166A40">
                        <w:trPr>
                          <w:trHeight w:val="196"/>
                        </w:trPr>
                        <w:tc>
                          <w:tcPr>
                            <w:tcW w:w="1338" w:type="pct"/>
                            <w:tcBorders>
                              <w:top w:val="nil"/>
                              <w:left w:val="nil"/>
                              <w:bottom w:val="nil"/>
                              <w:right w:val="nil"/>
                            </w:tcBorders>
                            <w:noWrap/>
                            <w:hideMark/>
                          </w:tcPr>
                          <w:p w14:paraId="4461CDBB"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Income/(Loss) from Affiliates</w:t>
                            </w:r>
                          </w:p>
                        </w:tc>
                        <w:tc>
                          <w:tcPr>
                            <w:tcW w:w="534" w:type="pct"/>
                            <w:tcBorders>
                              <w:top w:val="nil"/>
                              <w:left w:val="nil"/>
                              <w:bottom w:val="nil"/>
                              <w:right w:val="nil"/>
                            </w:tcBorders>
                            <w:hideMark/>
                          </w:tcPr>
                          <w:p w14:paraId="771E49D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0046F5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5" w:type="pct"/>
                            <w:tcBorders>
                              <w:top w:val="nil"/>
                              <w:left w:val="nil"/>
                              <w:bottom w:val="nil"/>
                              <w:right w:val="nil"/>
                            </w:tcBorders>
                            <w:hideMark/>
                          </w:tcPr>
                          <w:p w14:paraId="25301E2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6" w:type="pct"/>
                            <w:tcBorders>
                              <w:top w:val="nil"/>
                              <w:left w:val="nil"/>
                              <w:bottom w:val="nil"/>
                              <w:right w:val="nil"/>
                            </w:tcBorders>
                            <w:hideMark/>
                          </w:tcPr>
                          <w:p w14:paraId="42022EF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 </w:t>
                            </w:r>
                          </w:p>
                        </w:tc>
                        <w:tc>
                          <w:tcPr>
                            <w:tcW w:w="575" w:type="pct"/>
                            <w:tcBorders>
                              <w:top w:val="nil"/>
                              <w:left w:val="nil"/>
                              <w:bottom w:val="nil"/>
                              <w:right w:val="nil"/>
                            </w:tcBorders>
                            <w:hideMark/>
                          </w:tcPr>
                          <w:p w14:paraId="68D171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538" w:type="pct"/>
                            <w:tcBorders>
                              <w:top w:val="nil"/>
                              <w:left w:val="nil"/>
                              <w:bottom w:val="nil"/>
                              <w:right w:val="nil"/>
                            </w:tcBorders>
                            <w:hideMark/>
                          </w:tcPr>
                          <w:p w14:paraId="4607DA2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410" w:type="pct"/>
                            <w:tcBorders>
                              <w:top w:val="nil"/>
                              <w:left w:val="nil"/>
                              <w:bottom w:val="nil"/>
                              <w:right w:val="nil"/>
                            </w:tcBorders>
                            <w:hideMark/>
                          </w:tcPr>
                          <w:p w14:paraId="36480C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r>
                      <w:tr w:rsidR="00166A40" w:rsidRPr="00166A40" w14:paraId="1E7D641F" w14:textId="77777777" w:rsidTr="00166A40">
                        <w:trPr>
                          <w:trHeight w:val="196"/>
                        </w:trPr>
                        <w:tc>
                          <w:tcPr>
                            <w:tcW w:w="1338" w:type="pct"/>
                            <w:tcBorders>
                              <w:top w:val="nil"/>
                              <w:left w:val="nil"/>
                              <w:bottom w:val="nil"/>
                              <w:right w:val="nil"/>
                            </w:tcBorders>
                            <w:noWrap/>
                            <w:hideMark/>
                          </w:tcPr>
                          <w:p w14:paraId="54BBC75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Other Non-Operating Inc. (Exp.)</w:t>
                            </w:r>
                          </w:p>
                        </w:tc>
                        <w:tc>
                          <w:tcPr>
                            <w:tcW w:w="534" w:type="pct"/>
                            <w:tcBorders>
                              <w:top w:val="nil"/>
                              <w:left w:val="nil"/>
                              <w:bottom w:val="nil"/>
                              <w:right w:val="nil"/>
                            </w:tcBorders>
                            <w:hideMark/>
                          </w:tcPr>
                          <w:p w14:paraId="42DAF7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655C5B9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5" w:type="pct"/>
                            <w:tcBorders>
                              <w:top w:val="nil"/>
                              <w:left w:val="nil"/>
                              <w:bottom w:val="nil"/>
                              <w:right w:val="nil"/>
                            </w:tcBorders>
                            <w:hideMark/>
                          </w:tcPr>
                          <w:p w14:paraId="2333D04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536" w:type="pct"/>
                            <w:tcBorders>
                              <w:top w:val="nil"/>
                              <w:left w:val="nil"/>
                              <w:bottom w:val="nil"/>
                              <w:right w:val="nil"/>
                            </w:tcBorders>
                            <w:hideMark/>
                          </w:tcPr>
                          <w:p w14:paraId="15CB2F9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1.7 </w:t>
                            </w:r>
                          </w:p>
                        </w:tc>
                        <w:tc>
                          <w:tcPr>
                            <w:tcW w:w="575" w:type="pct"/>
                            <w:tcBorders>
                              <w:top w:val="nil"/>
                              <w:left w:val="nil"/>
                              <w:bottom w:val="nil"/>
                              <w:right w:val="nil"/>
                            </w:tcBorders>
                            <w:hideMark/>
                          </w:tcPr>
                          <w:p w14:paraId="2EEE1D0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c>
                          <w:tcPr>
                            <w:tcW w:w="538" w:type="pct"/>
                            <w:tcBorders>
                              <w:top w:val="nil"/>
                              <w:left w:val="nil"/>
                              <w:bottom w:val="nil"/>
                              <w:right w:val="nil"/>
                            </w:tcBorders>
                            <w:hideMark/>
                          </w:tcPr>
                          <w:p w14:paraId="7FDC9FE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c>
                          <w:tcPr>
                            <w:tcW w:w="410" w:type="pct"/>
                            <w:tcBorders>
                              <w:top w:val="nil"/>
                              <w:left w:val="nil"/>
                              <w:bottom w:val="nil"/>
                              <w:right w:val="nil"/>
                            </w:tcBorders>
                            <w:hideMark/>
                          </w:tcPr>
                          <w:p w14:paraId="4DF080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0.9 </w:t>
                            </w:r>
                          </w:p>
                        </w:tc>
                      </w:tr>
                      <w:tr w:rsidR="00166A40" w:rsidRPr="00166A40" w14:paraId="6CF9586C" w14:textId="77777777" w:rsidTr="00166A40">
                        <w:trPr>
                          <w:trHeight w:val="196"/>
                        </w:trPr>
                        <w:tc>
                          <w:tcPr>
                            <w:tcW w:w="1338" w:type="pct"/>
                            <w:tcBorders>
                              <w:top w:val="nil"/>
                              <w:left w:val="nil"/>
                              <w:bottom w:val="nil"/>
                              <w:right w:val="nil"/>
                            </w:tcBorders>
                            <w:noWrap/>
                            <w:hideMark/>
                          </w:tcPr>
                          <w:p w14:paraId="4B76BBA6"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EBT Excl. Unusual Items</w:t>
                            </w:r>
                          </w:p>
                        </w:tc>
                        <w:tc>
                          <w:tcPr>
                            <w:tcW w:w="534" w:type="pct"/>
                            <w:tcBorders>
                              <w:top w:val="single" w:sz="4" w:space="0" w:color="000000"/>
                              <w:left w:val="nil"/>
                              <w:bottom w:val="nil"/>
                              <w:right w:val="nil"/>
                            </w:tcBorders>
                            <w:hideMark/>
                          </w:tcPr>
                          <w:p w14:paraId="2509A69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15.1 </w:t>
                            </w:r>
                          </w:p>
                        </w:tc>
                        <w:tc>
                          <w:tcPr>
                            <w:tcW w:w="534" w:type="pct"/>
                            <w:tcBorders>
                              <w:top w:val="single" w:sz="4" w:space="0" w:color="000000"/>
                              <w:left w:val="nil"/>
                              <w:bottom w:val="nil"/>
                              <w:right w:val="nil"/>
                            </w:tcBorders>
                            <w:hideMark/>
                          </w:tcPr>
                          <w:p w14:paraId="7E49068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23.3 </w:t>
                            </w:r>
                          </w:p>
                        </w:tc>
                        <w:tc>
                          <w:tcPr>
                            <w:tcW w:w="535" w:type="pct"/>
                            <w:tcBorders>
                              <w:top w:val="single" w:sz="4" w:space="0" w:color="000000"/>
                              <w:left w:val="nil"/>
                              <w:bottom w:val="nil"/>
                              <w:right w:val="nil"/>
                            </w:tcBorders>
                            <w:hideMark/>
                          </w:tcPr>
                          <w:p w14:paraId="528B9BA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29.4 </w:t>
                            </w:r>
                          </w:p>
                        </w:tc>
                        <w:tc>
                          <w:tcPr>
                            <w:tcW w:w="536" w:type="pct"/>
                            <w:tcBorders>
                              <w:top w:val="single" w:sz="4" w:space="0" w:color="000000"/>
                              <w:left w:val="nil"/>
                              <w:bottom w:val="nil"/>
                              <w:right w:val="nil"/>
                            </w:tcBorders>
                            <w:hideMark/>
                          </w:tcPr>
                          <w:p w14:paraId="50DECA8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18.4 </w:t>
                            </w:r>
                          </w:p>
                        </w:tc>
                        <w:tc>
                          <w:tcPr>
                            <w:tcW w:w="575" w:type="pct"/>
                            <w:tcBorders>
                              <w:top w:val="single" w:sz="4" w:space="0" w:color="000000"/>
                              <w:left w:val="nil"/>
                              <w:bottom w:val="nil"/>
                              <w:right w:val="nil"/>
                            </w:tcBorders>
                            <w:hideMark/>
                          </w:tcPr>
                          <w:p w14:paraId="0E0B8E3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14.4 </w:t>
                            </w:r>
                          </w:p>
                        </w:tc>
                        <w:tc>
                          <w:tcPr>
                            <w:tcW w:w="538" w:type="pct"/>
                            <w:tcBorders>
                              <w:top w:val="single" w:sz="4" w:space="0" w:color="000000"/>
                              <w:left w:val="nil"/>
                              <w:bottom w:val="nil"/>
                              <w:right w:val="nil"/>
                            </w:tcBorders>
                            <w:hideMark/>
                          </w:tcPr>
                          <w:p w14:paraId="6C5C3F5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17.9 </w:t>
                            </w:r>
                          </w:p>
                        </w:tc>
                        <w:tc>
                          <w:tcPr>
                            <w:tcW w:w="410" w:type="pct"/>
                            <w:tcBorders>
                              <w:top w:val="single" w:sz="4" w:space="0" w:color="000000"/>
                              <w:left w:val="nil"/>
                              <w:bottom w:val="nil"/>
                              <w:right w:val="nil"/>
                            </w:tcBorders>
                            <w:hideMark/>
                          </w:tcPr>
                          <w:p w14:paraId="29F667D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24.1 </w:t>
                            </w:r>
                          </w:p>
                        </w:tc>
                      </w:tr>
                      <w:tr w:rsidR="00166A40" w:rsidRPr="00166A40" w14:paraId="562698FB" w14:textId="77777777" w:rsidTr="00166A40">
                        <w:trPr>
                          <w:trHeight w:val="196"/>
                        </w:trPr>
                        <w:tc>
                          <w:tcPr>
                            <w:tcW w:w="1338" w:type="pct"/>
                            <w:tcBorders>
                              <w:top w:val="nil"/>
                              <w:left w:val="nil"/>
                              <w:bottom w:val="nil"/>
                              <w:right w:val="nil"/>
                            </w:tcBorders>
                            <w:noWrap/>
                            <w:hideMark/>
                          </w:tcPr>
                          <w:p w14:paraId="34C21A7A"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Impairment of Goodwill</w:t>
                            </w:r>
                          </w:p>
                        </w:tc>
                        <w:tc>
                          <w:tcPr>
                            <w:tcW w:w="534" w:type="pct"/>
                            <w:tcBorders>
                              <w:top w:val="nil"/>
                              <w:left w:val="nil"/>
                              <w:bottom w:val="nil"/>
                              <w:right w:val="nil"/>
                            </w:tcBorders>
                            <w:hideMark/>
                          </w:tcPr>
                          <w:p w14:paraId="157E7BE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306364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c>
                          <w:tcPr>
                            <w:tcW w:w="535" w:type="pct"/>
                            <w:tcBorders>
                              <w:top w:val="nil"/>
                              <w:left w:val="nil"/>
                              <w:bottom w:val="nil"/>
                              <w:right w:val="nil"/>
                            </w:tcBorders>
                            <w:hideMark/>
                          </w:tcPr>
                          <w:p w14:paraId="7012217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6" w:type="pct"/>
                            <w:tcBorders>
                              <w:top w:val="nil"/>
                              <w:left w:val="nil"/>
                              <w:bottom w:val="nil"/>
                              <w:right w:val="nil"/>
                            </w:tcBorders>
                            <w:hideMark/>
                          </w:tcPr>
                          <w:p w14:paraId="029BA6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75" w:type="pct"/>
                            <w:tcBorders>
                              <w:top w:val="nil"/>
                              <w:left w:val="nil"/>
                              <w:bottom w:val="nil"/>
                              <w:right w:val="nil"/>
                            </w:tcBorders>
                            <w:hideMark/>
                          </w:tcPr>
                          <w:p w14:paraId="28572F9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(0.4)  </w:t>
                            </w:r>
                          </w:p>
                        </w:tc>
                        <w:tc>
                          <w:tcPr>
                            <w:tcW w:w="538" w:type="pct"/>
                            <w:tcBorders>
                              <w:top w:val="nil"/>
                              <w:left w:val="nil"/>
                              <w:bottom w:val="nil"/>
                              <w:right w:val="nil"/>
                            </w:tcBorders>
                            <w:hideMark/>
                          </w:tcPr>
                          <w:p w14:paraId="33CA8D4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  </w:t>
                            </w:r>
                          </w:p>
                        </w:tc>
                        <w:tc>
                          <w:tcPr>
                            <w:tcW w:w="410" w:type="pct"/>
                            <w:tcBorders>
                              <w:top w:val="nil"/>
                              <w:left w:val="nil"/>
                              <w:bottom w:val="nil"/>
                              <w:right w:val="nil"/>
                            </w:tcBorders>
                            <w:hideMark/>
                          </w:tcPr>
                          <w:p w14:paraId="7C9AB53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413143F7" w14:textId="77777777" w:rsidTr="00166A40">
                        <w:trPr>
                          <w:trHeight w:val="196"/>
                        </w:trPr>
                        <w:tc>
                          <w:tcPr>
                            <w:tcW w:w="1338" w:type="pct"/>
                            <w:tcBorders>
                              <w:top w:val="nil"/>
                              <w:left w:val="nil"/>
                              <w:bottom w:val="nil"/>
                              <w:right w:val="nil"/>
                            </w:tcBorders>
                            <w:noWrap/>
                            <w:hideMark/>
                          </w:tcPr>
                          <w:p w14:paraId="21C7B039"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Gain (Loss) On Sale Of Invest.</w:t>
                            </w:r>
                          </w:p>
                        </w:tc>
                        <w:tc>
                          <w:tcPr>
                            <w:tcW w:w="534" w:type="pct"/>
                            <w:tcBorders>
                              <w:top w:val="nil"/>
                              <w:left w:val="nil"/>
                              <w:bottom w:val="nil"/>
                              <w:right w:val="nil"/>
                            </w:tcBorders>
                            <w:hideMark/>
                          </w:tcPr>
                          <w:p w14:paraId="04C048C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5FB504D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5" w:type="pct"/>
                            <w:tcBorders>
                              <w:top w:val="nil"/>
                              <w:left w:val="nil"/>
                              <w:bottom w:val="nil"/>
                              <w:right w:val="nil"/>
                            </w:tcBorders>
                            <w:hideMark/>
                          </w:tcPr>
                          <w:p w14:paraId="3E8759F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t>
                            </w:r>
                          </w:p>
                        </w:tc>
                        <w:tc>
                          <w:tcPr>
                            <w:tcW w:w="536" w:type="pct"/>
                            <w:tcBorders>
                              <w:top w:val="nil"/>
                              <w:left w:val="nil"/>
                              <w:bottom w:val="nil"/>
                              <w:right w:val="nil"/>
                            </w:tcBorders>
                            <w:hideMark/>
                          </w:tcPr>
                          <w:p w14:paraId="6993127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575" w:type="pct"/>
                            <w:tcBorders>
                              <w:top w:val="nil"/>
                              <w:left w:val="nil"/>
                              <w:bottom w:val="nil"/>
                              <w:right w:val="nil"/>
                            </w:tcBorders>
                            <w:hideMark/>
                          </w:tcPr>
                          <w:p w14:paraId="4A39941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  </w:t>
                            </w:r>
                          </w:p>
                        </w:tc>
                        <w:tc>
                          <w:tcPr>
                            <w:tcW w:w="538" w:type="pct"/>
                            <w:tcBorders>
                              <w:top w:val="nil"/>
                              <w:left w:val="nil"/>
                              <w:bottom w:val="nil"/>
                              <w:right w:val="nil"/>
                            </w:tcBorders>
                            <w:hideMark/>
                          </w:tcPr>
                          <w:p w14:paraId="1DF2024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(1.4)  </w:t>
                            </w:r>
                          </w:p>
                        </w:tc>
                        <w:tc>
                          <w:tcPr>
                            <w:tcW w:w="410" w:type="pct"/>
                            <w:tcBorders>
                              <w:top w:val="nil"/>
                              <w:left w:val="nil"/>
                              <w:bottom w:val="nil"/>
                              <w:right w:val="nil"/>
                            </w:tcBorders>
                            <w:hideMark/>
                          </w:tcPr>
                          <w:p w14:paraId="684F31A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360A17C7" w14:textId="77777777" w:rsidTr="00166A40">
                        <w:trPr>
                          <w:trHeight w:val="196"/>
                        </w:trPr>
                        <w:tc>
                          <w:tcPr>
                            <w:tcW w:w="1338" w:type="pct"/>
                            <w:tcBorders>
                              <w:top w:val="nil"/>
                              <w:left w:val="nil"/>
                              <w:bottom w:val="nil"/>
                              <w:right w:val="nil"/>
                            </w:tcBorders>
                            <w:noWrap/>
                            <w:hideMark/>
                          </w:tcPr>
                          <w:p w14:paraId="1A09223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Asset </w:t>
                            </w:r>
                            <w:r w:rsidRPr="00166A40">
                              <w:rPr>
                                <w:rFonts w:ascii="Cambria" w:eastAsia="Times New Roman" w:hAnsi="Cambria" w:cs="Arial"/>
                                <w:color w:val="000000"/>
                                <w:kern w:val="0"/>
                                <w:sz w:val="14"/>
                                <w:szCs w:val="14"/>
                                <w:lang w:eastAsia="en-IN"/>
                                <w14:ligatures w14:val="none"/>
                              </w:rPr>
                              <w:t>Writedown</w:t>
                            </w:r>
                          </w:p>
                        </w:tc>
                        <w:tc>
                          <w:tcPr>
                            <w:tcW w:w="534" w:type="pct"/>
                            <w:tcBorders>
                              <w:top w:val="nil"/>
                              <w:left w:val="nil"/>
                              <w:bottom w:val="nil"/>
                              <w:right w:val="nil"/>
                            </w:tcBorders>
                            <w:hideMark/>
                          </w:tcPr>
                          <w:p w14:paraId="6B72566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C69464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(0.5)  </w:t>
                            </w:r>
                          </w:p>
                        </w:tc>
                        <w:tc>
                          <w:tcPr>
                            <w:tcW w:w="535" w:type="pct"/>
                            <w:tcBorders>
                              <w:top w:val="nil"/>
                              <w:left w:val="nil"/>
                              <w:bottom w:val="nil"/>
                              <w:right w:val="nil"/>
                            </w:tcBorders>
                            <w:hideMark/>
                          </w:tcPr>
                          <w:p w14:paraId="0DBA90C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c>
                          <w:tcPr>
                            <w:tcW w:w="536" w:type="pct"/>
                            <w:tcBorders>
                              <w:top w:val="nil"/>
                              <w:left w:val="nil"/>
                              <w:bottom w:val="nil"/>
                              <w:right w:val="nil"/>
                            </w:tcBorders>
                            <w:hideMark/>
                          </w:tcPr>
                          <w:p w14:paraId="4950DA7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(0.3)  </w:t>
                            </w:r>
                          </w:p>
                        </w:tc>
                        <w:tc>
                          <w:tcPr>
                            <w:tcW w:w="575" w:type="pct"/>
                            <w:tcBorders>
                              <w:top w:val="nil"/>
                              <w:left w:val="nil"/>
                              <w:bottom w:val="nil"/>
                              <w:right w:val="nil"/>
                            </w:tcBorders>
                            <w:hideMark/>
                          </w:tcPr>
                          <w:p w14:paraId="3DDAD01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(0.6)  </w:t>
                            </w:r>
                          </w:p>
                        </w:tc>
                        <w:tc>
                          <w:tcPr>
                            <w:tcW w:w="538" w:type="pct"/>
                            <w:tcBorders>
                              <w:top w:val="nil"/>
                              <w:left w:val="nil"/>
                              <w:bottom w:val="nil"/>
                              <w:right w:val="nil"/>
                            </w:tcBorders>
                            <w:hideMark/>
                          </w:tcPr>
                          <w:p w14:paraId="0E6DE4A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  </w:t>
                            </w:r>
                          </w:p>
                        </w:tc>
                        <w:tc>
                          <w:tcPr>
                            <w:tcW w:w="410" w:type="pct"/>
                            <w:tcBorders>
                              <w:top w:val="nil"/>
                              <w:left w:val="nil"/>
                              <w:bottom w:val="nil"/>
                              <w:right w:val="nil"/>
                            </w:tcBorders>
                            <w:hideMark/>
                          </w:tcPr>
                          <w:p w14:paraId="28EA0D3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  </w:t>
                            </w:r>
                          </w:p>
                        </w:tc>
                      </w:tr>
                      <w:tr w:rsidR="00166A40" w:rsidRPr="00166A40" w14:paraId="6381616D" w14:textId="77777777" w:rsidTr="00166A40">
                        <w:trPr>
                          <w:trHeight w:val="196"/>
                        </w:trPr>
                        <w:tc>
                          <w:tcPr>
                            <w:tcW w:w="1338" w:type="pct"/>
                            <w:tcBorders>
                              <w:top w:val="nil"/>
                              <w:left w:val="nil"/>
                              <w:bottom w:val="nil"/>
                              <w:right w:val="nil"/>
                            </w:tcBorders>
                            <w:noWrap/>
                            <w:hideMark/>
                          </w:tcPr>
                          <w:p w14:paraId="3C3EFF7D"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EBT Incl. Unusual Items</w:t>
                            </w:r>
                          </w:p>
                        </w:tc>
                        <w:tc>
                          <w:tcPr>
                            <w:tcW w:w="534" w:type="pct"/>
                            <w:tcBorders>
                              <w:top w:val="single" w:sz="4" w:space="0" w:color="000000"/>
                              <w:left w:val="nil"/>
                              <w:bottom w:val="nil"/>
                              <w:right w:val="nil"/>
                            </w:tcBorders>
                            <w:hideMark/>
                          </w:tcPr>
                          <w:p w14:paraId="57DC423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14.4 </w:t>
                            </w:r>
                          </w:p>
                        </w:tc>
                        <w:tc>
                          <w:tcPr>
                            <w:tcW w:w="534" w:type="pct"/>
                            <w:tcBorders>
                              <w:top w:val="single" w:sz="4" w:space="0" w:color="000000"/>
                              <w:left w:val="nil"/>
                              <w:bottom w:val="nil"/>
                              <w:right w:val="nil"/>
                            </w:tcBorders>
                            <w:hideMark/>
                          </w:tcPr>
                          <w:p w14:paraId="37E50FB9"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22.7 </w:t>
                            </w:r>
                          </w:p>
                        </w:tc>
                        <w:tc>
                          <w:tcPr>
                            <w:tcW w:w="535" w:type="pct"/>
                            <w:tcBorders>
                              <w:top w:val="single" w:sz="4" w:space="0" w:color="000000"/>
                              <w:left w:val="nil"/>
                              <w:bottom w:val="nil"/>
                              <w:right w:val="nil"/>
                            </w:tcBorders>
                            <w:hideMark/>
                          </w:tcPr>
                          <w:p w14:paraId="6998FA9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26.3 </w:t>
                            </w:r>
                          </w:p>
                        </w:tc>
                        <w:tc>
                          <w:tcPr>
                            <w:tcW w:w="536" w:type="pct"/>
                            <w:tcBorders>
                              <w:top w:val="single" w:sz="4" w:space="0" w:color="000000"/>
                              <w:left w:val="nil"/>
                              <w:bottom w:val="nil"/>
                              <w:right w:val="nil"/>
                            </w:tcBorders>
                            <w:hideMark/>
                          </w:tcPr>
                          <w:p w14:paraId="2CD1FFD2"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11.7 </w:t>
                            </w:r>
                          </w:p>
                        </w:tc>
                        <w:tc>
                          <w:tcPr>
                            <w:tcW w:w="575" w:type="pct"/>
                            <w:tcBorders>
                              <w:top w:val="single" w:sz="4" w:space="0" w:color="000000"/>
                              <w:left w:val="nil"/>
                              <w:bottom w:val="nil"/>
                              <w:right w:val="nil"/>
                            </w:tcBorders>
                            <w:hideMark/>
                          </w:tcPr>
                          <w:p w14:paraId="0F4FDF0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11.8 </w:t>
                            </w:r>
                          </w:p>
                        </w:tc>
                        <w:tc>
                          <w:tcPr>
                            <w:tcW w:w="538" w:type="pct"/>
                            <w:tcBorders>
                              <w:top w:val="single" w:sz="4" w:space="0" w:color="000000"/>
                              <w:left w:val="nil"/>
                              <w:bottom w:val="nil"/>
                              <w:right w:val="nil"/>
                            </w:tcBorders>
                            <w:hideMark/>
                          </w:tcPr>
                          <w:p w14:paraId="062BCAD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13.0 </w:t>
                            </w:r>
                          </w:p>
                        </w:tc>
                        <w:tc>
                          <w:tcPr>
                            <w:tcW w:w="410" w:type="pct"/>
                            <w:tcBorders>
                              <w:top w:val="single" w:sz="4" w:space="0" w:color="000000"/>
                              <w:left w:val="nil"/>
                              <w:bottom w:val="nil"/>
                              <w:right w:val="nil"/>
                            </w:tcBorders>
                            <w:hideMark/>
                          </w:tcPr>
                          <w:p w14:paraId="59105B0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20.4 </w:t>
                            </w:r>
                          </w:p>
                        </w:tc>
                      </w:tr>
                      <w:tr w:rsidR="00166A40" w:rsidRPr="00166A40" w14:paraId="40EA89F6" w14:textId="77777777" w:rsidTr="00166A40">
                        <w:trPr>
                          <w:trHeight w:val="196"/>
                        </w:trPr>
                        <w:tc>
                          <w:tcPr>
                            <w:tcW w:w="1338" w:type="pct"/>
                            <w:tcBorders>
                              <w:top w:val="nil"/>
                              <w:left w:val="nil"/>
                              <w:bottom w:val="nil"/>
                              <w:right w:val="nil"/>
                            </w:tcBorders>
                            <w:noWrap/>
                            <w:hideMark/>
                          </w:tcPr>
                          <w:p w14:paraId="758387C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Income Tax Expense</w:t>
                            </w:r>
                          </w:p>
                        </w:tc>
                        <w:tc>
                          <w:tcPr>
                            <w:tcW w:w="534" w:type="pct"/>
                            <w:tcBorders>
                              <w:top w:val="nil"/>
                              <w:left w:val="nil"/>
                              <w:bottom w:val="nil"/>
                              <w:right w:val="nil"/>
                            </w:tcBorders>
                            <w:hideMark/>
                          </w:tcPr>
                          <w:p w14:paraId="51FD072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534" w:type="pct"/>
                            <w:tcBorders>
                              <w:top w:val="nil"/>
                              <w:left w:val="nil"/>
                              <w:bottom w:val="nil"/>
                              <w:right w:val="nil"/>
                            </w:tcBorders>
                            <w:hideMark/>
                          </w:tcPr>
                          <w:p w14:paraId="73085AF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2.9 </w:t>
                            </w:r>
                          </w:p>
                        </w:tc>
                        <w:tc>
                          <w:tcPr>
                            <w:tcW w:w="535" w:type="pct"/>
                            <w:tcBorders>
                              <w:top w:val="nil"/>
                              <w:left w:val="nil"/>
                              <w:bottom w:val="nil"/>
                              <w:right w:val="nil"/>
                            </w:tcBorders>
                            <w:hideMark/>
                          </w:tcPr>
                          <w:p w14:paraId="229713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4.5 </w:t>
                            </w:r>
                          </w:p>
                        </w:tc>
                        <w:tc>
                          <w:tcPr>
                            <w:tcW w:w="536" w:type="pct"/>
                            <w:tcBorders>
                              <w:top w:val="nil"/>
                              <w:left w:val="nil"/>
                              <w:bottom w:val="nil"/>
                              <w:right w:val="nil"/>
                            </w:tcBorders>
                            <w:hideMark/>
                          </w:tcPr>
                          <w:p w14:paraId="18DA61D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4.2 </w:t>
                            </w:r>
                          </w:p>
                        </w:tc>
                        <w:tc>
                          <w:tcPr>
                            <w:tcW w:w="575" w:type="pct"/>
                            <w:tcBorders>
                              <w:top w:val="nil"/>
                              <w:left w:val="nil"/>
                              <w:bottom w:val="nil"/>
                              <w:right w:val="nil"/>
                            </w:tcBorders>
                            <w:hideMark/>
                          </w:tcPr>
                          <w:p w14:paraId="0CE90D7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2.3 </w:t>
                            </w:r>
                          </w:p>
                        </w:tc>
                        <w:tc>
                          <w:tcPr>
                            <w:tcW w:w="538" w:type="pct"/>
                            <w:tcBorders>
                              <w:top w:val="nil"/>
                              <w:left w:val="nil"/>
                              <w:bottom w:val="nil"/>
                              <w:right w:val="nil"/>
                            </w:tcBorders>
                            <w:hideMark/>
                          </w:tcPr>
                          <w:p w14:paraId="63B742B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3.1 </w:t>
                            </w:r>
                          </w:p>
                        </w:tc>
                        <w:tc>
                          <w:tcPr>
                            <w:tcW w:w="410" w:type="pct"/>
                            <w:tcBorders>
                              <w:top w:val="nil"/>
                              <w:left w:val="nil"/>
                              <w:bottom w:val="nil"/>
                              <w:right w:val="nil"/>
                            </w:tcBorders>
                            <w:hideMark/>
                          </w:tcPr>
                          <w:p w14:paraId="088712D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4.7 </w:t>
                            </w:r>
                          </w:p>
                        </w:tc>
                      </w:tr>
                      <w:tr w:rsidR="00166A40" w:rsidRPr="00166A40" w14:paraId="4511BDFB" w14:textId="77777777" w:rsidTr="00166A40">
                        <w:trPr>
                          <w:trHeight w:val="196"/>
                        </w:trPr>
                        <w:tc>
                          <w:tcPr>
                            <w:tcW w:w="1338" w:type="pct"/>
                            <w:tcBorders>
                              <w:top w:val="nil"/>
                              <w:left w:val="nil"/>
                              <w:bottom w:val="nil"/>
                              <w:right w:val="nil"/>
                            </w:tcBorders>
                            <w:noWrap/>
                            <w:hideMark/>
                          </w:tcPr>
                          <w:p w14:paraId="00BB83A1"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Earnings from Cont. Ops.</w:t>
                            </w:r>
                          </w:p>
                        </w:tc>
                        <w:tc>
                          <w:tcPr>
                            <w:tcW w:w="534" w:type="pct"/>
                            <w:tcBorders>
                              <w:top w:val="single" w:sz="4" w:space="0" w:color="000000"/>
                              <w:left w:val="nil"/>
                              <w:bottom w:val="nil"/>
                              <w:right w:val="nil"/>
                            </w:tcBorders>
                            <w:hideMark/>
                          </w:tcPr>
                          <w:p w14:paraId="34B5622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12.0 </w:t>
                            </w:r>
                          </w:p>
                        </w:tc>
                        <w:tc>
                          <w:tcPr>
                            <w:tcW w:w="534" w:type="pct"/>
                            <w:tcBorders>
                              <w:top w:val="single" w:sz="4" w:space="0" w:color="000000"/>
                              <w:left w:val="nil"/>
                              <w:bottom w:val="nil"/>
                              <w:right w:val="nil"/>
                            </w:tcBorders>
                            <w:hideMark/>
                          </w:tcPr>
                          <w:p w14:paraId="2D8226A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19.8 </w:t>
                            </w:r>
                          </w:p>
                        </w:tc>
                        <w:tc>
                          <w:tcPr>
                            <w:tcW w:w="535" w:type="pct"/>
                            <w:tcBorders>
                              <w:top w:val="single" w:sz="4" w:space="0" w:color="000000"/>
                              <w:left w:val="nil"/>
                              <w:bottom w:val="nil"/>
                              <w:right w:val="nil"/>
                            </w:tcBorders>
                            <w:hideMark/>
                          </w:tcPr>
                          <w:p w14:paraId="7512203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21.9 </w:t>
                            </w:r>
                          </w:p>
                        </w:tc>
                        <w:tc>
                          <w:tcPr>
                            <w:tcW w:w="536" w:type="pct"/>
                            <w:tcBorders>
                              <w:top w:val="single" w:sz="4" w:space="0" w:color="000000"/>
                              <w:left w:val="nil"/>
                              <w:bottom w:val="nil"/>
                              <w:right w:val="nil"/>
                            </w:tcBorders>
                            <w:hideMark/>
                          </w:tcPr>
                          <w:p w14:paraId="536A8EA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7.4 </w:t>
                            </w:r>
                          </w:p>
                        </w:tc>
                        <w:tc>
                          <w:tcPr>
                            <w:tcW w:w="575" w:type="pct"/>
                            <w:tcBorders>
                              <w:top w:val="single" w:sz="4" w:space="0" w:color="000000"/>
                              <w:left w:val="nil"/>
                              <w:bottom w:val="nil"/>
                              <w:right w:val="nil"/>
                            </w:tcBorders>
                            <w:hideMark/>
                          </w:tcPr>
                          <w:p w14:paraId="39EF3C1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9.5 </w:t>
                            </w:r>
                          </w:p>
                        </w:tc>
                        <w:tc>
                          <w:tcPr>
                            <w:tcW w:w="538" w:type="pct"/>
                            <w:tcBorders>
                              <w:top w:val="single" w:sz="4" w:space="0" w:color="000000"/>
                              <w:left w:val="nil"/>
                              <w:bottom w:val="nil"/>
                              <w:right w:val="nil"/>
                            </w:tcBorders>
                            <w:hideMark/>
                          </w:tcPr>
                          <w:p w14:paraId="29E00FC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9.9 </w:t>
                            </w:r>
                          </w:p>
                        </w:tc>
                        <w:tc>
                          <w:tcPr>
                            <w:tcW w:w="410" w:type="pct"/>
                            <w:tcBorders>
                              <w:top w:val="single" w:sz="4" w:space="0" w:color="000000"/>
                              <w:left w:val="nil"/>
                              <w:bottom w:val="nil"/>
                              <w:right w:val="nil"/>
                            </w:tcBorders>
                            <w:hideMark/>
                          </w:tcPr>
                          <w:p w14:paraId="13C9F03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15.7 </w:t>
                            </w:r>
                          </w:p>
                        </w:tc>
                      </w:tr>
                      <w:tr w:rsidR="00166A40" w:rsidRPr="00166A40" w14:paraId="44B7AFF0" w14:textId="77777777" w:rsidTr="00166A40">
                        <w:trPr>
                          <w:trHeight w:val="196"/>
                        </w:trPr>
                        <w:tc>
                          <w:tcPr>
                            <w:tcW w:w="1338" w:type="pct"/>
                            <w:tcBorders>
                              <w:top w:val="nil"/>
                              <w:left w:val="nil"/>
                              <w:bottom w:val="nil"/>
                              <w:right w:val="nil"/>
                            </w:tcBorders>
                            <w:noWrap/>
                            <w:hideMark/>
                          </w:tcPr>
                          <w:p w14:paraId="54B2290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Income to Company</w:t>
                            </w:r>
                          </w:p>
                        </w:tc>
                        <w:tc>
                          <w:tcPr>
                            <w:tcW w:w="534" w:type="pct"/>
                            <w:tcBorders>
                              <w:top w:val="single" w:sz="4" w:space="0" w:color="000000"/>
                              <w:left w:val="nil"/>
                              <w:bottom w:val="nil"/>
                              <w:right w:val="nil"/>
                            </w:tcBorders>
                            <w:hideMark/>
                          </w:tcPr>
                          <w:p w14:paraId="51DC485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12.0 </w:t>
                            </w:r>
                          </w:p>
                        </w:tc>
                        <w:tc>
                          <w:tcPr>
                            <w:tcW w:w="534" w:type="pct"/>
                            <w:tcBorders>
                              <w:top w:val="single" w:sz="4" w:space="0" w:color="000000"/>
                              <w:left w:val="nil"/>
                              <w:bottom w:val="nil"/>
                              <w:right w:val="nil"/>
                            </w:tcBorders>
                            <w:hideMark/>
                          </w:tcPr>
                          <w:p w14:paraId="0ACFC27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19.8 </w:t>
                            </w:r>
                          </w:p>
                        </w:tc>
                        <w:tc>
                          <w:tcPr>
                            <w:tcW w:w="535" w:type="pct"/>
                            <w:tcBorders>
                              <w:top w:val="single" w:sz="4" w:space="0" w:color="000000"/>
                              <w:left w:val="nil"/>
                              <w:bottom w:val="nil"/>
                              <w:right w:val="nil"/>
                            </w:tcBorders>
                            <w:hideMark/>
                          </w:tcPr>
                          <w:p w14:paraId="5F64240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21.9 </w:t>
                            </w:r>
                          </w:p>
                        </w:tc>
                        <w:tc>
                          <w:tcPr>
                            <w:tcW w:w="536" w:type="pct"/>
                            <w:tcBorders>
                              <w:top w:val="single" w:sz="4" w:space="0" w:color="000000"/>
                              <w:left w:val="nil"/>
                              <w:bottom w:val="nil"/>
                              <w:right w:val="nil"/>
                            </w:tcBorders>
                            <w:hideMark/>
                          </w:tcPr>
                          <w:p w14:paraId="1FC7D1E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7.4 </w:t>
                            </w:r>
                          </w:p>
                        </w:tc>
                        <w:tc>
                          <w:tcPr>
                            <w:tcW w:w="575" w:type="pct"/>
                            <w:tcBorders>
                              <w:top w:val="single" w:sz="4" w:space="0" w:color="000000"/>
                              <w:left w:val="nil"/>
                              <w:bottom w:val="nil"/>
                              <w:right w:val="nil"/>
                            </w:tcBorders>
                            <w:hideMark/>
                          </w:tcPr>
                          <w:p w14:paraId="4FCB5F5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9.5 </w:t>
                            </w:r>
                          </w:p>
                        </w:tc>
                        <w:tc>
                          <w:tcPr>
                            <w:tcW w:w="538" w:type="pct"/>
                            <w:tcBorders>
                              <w:top w:val="single" w:sz="4" w:space="0" w:color="000000"/>
                              <w:left w:val="nil"/>
                              <w:bottom w:val="nil"/>
                              <w:right w:val="nil"/>
                            </w:tcBorders>
                            <w:hideMark/>
                          </w:tcPr>
                          <w:p w14:paraId="48151B5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9.9 </w:t>
                            </w:r>
                          </w:p>
                        </w:tc>
                        <w:tc>
                          <w:tcPr>
                            <w:tcW w:w="410" w:type="pct"/>
                            <w:tcBorders>
                              <w:top w:val="single" w:sz="4" w:space="0" w:color="000000"/>
                              <w:left w:val="nil"/>
                              <w:bottom w:val="nil"/>
                              <w:right w:val="nil"/>
                            </w:tcBorders>
                            <w:hideMark/>
                          </w:tcPr>
                          <w:p w14:paraId="6CC7B6A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15.7 </w:t>
                            </w:r>
                          </w:p>
                        </w:tc>
                      </w:tr>
                      <w:tr w:rsidR="00166A40" w:rsidRPr="00166A40" w14:paraId="727865EC" w14:textId="77777777" w:rsidTr="00166A40">
                        <w:trPr>
                          <w:trHeight w:val="196"/>
                        </w:trPr>
                        <w:tc>
                          <w:tcPr>
                            <w:tcW w:w="1338" w:type="pct"/>
                            <w:tcBorders>
                              <w:top w:val="nil"/>
                              <w:left w:val="nil"/>
                              <w:bottom w:val="nil"/>
                              <w:right w:val="nil"/>
                            </w:tcBorders>
                            <w:noWrap/>
                            <w:hideMark/>
                          </w:tcPr>
                          <w:p w14:paraId="55E560BB"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Minority Int. in Earnings</w:t>
                            </w:r>
                          </w:p>
                        </w:tc>
                        <w:tc>
                          <w:tcPr>
                            <w:tcW w:w="534" w:type="pct"/>
                            <w:tcBorders>
                              <w:top w:val="nil"/>
                              <w:left w:val="nil"/>
                              <w:bottom w:val="nil"/>
                              <w:right w:val="nil"/>
                            </w:tcBorders>
                            <w:hideMark/>
                          </w:tcPr>
                          <w:p w14:paraId="5BBCB7E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4" w:type="pct"/>
                            <w:tcBorders>
                              <w:top w:val="nil"/>
                              <w:left w:val="nil"/>
                              <w:bottom w:val="nil"/>
                              <w:right w:val="nil"/>
                            </w:tcBorders>
                            <w:hideMark/>
                          </w:tcPr>
                          <w:p w14:paraId="71E80E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 </w:t>
                            </w:r>
                          </w:p>
                        </w:tc>
                        <w:tc>
                          <w:tcPr>
                            <w:tcW w:w="535" w:type="pct"/>
                            <w:tcBorders>
                              <w:top w:val="nil"/>
                              <w:left w:val="nil"/>
                              <w:bottom w:val="nil"/>
                              <w:right w:val="nil"/>
                            </w:tcBorders>
                            <w:hideMark/>
                          </w:tcPr>
                          <w:p w14:paraId="6E74DE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1.1 </w:t>
                            </w:r>
                          </w:p>
                        </w:tc>
                        <w:tc>
                          <w:tcPr>
                            <w:tcW w:w="536" w:type="pct"/>
                            <w:tcBorders>
                              <w:top w:val="nil"/>
                              <w:left w:val="nil"/>
                              <w:bottom w:val="nil"/>
                              <w:right w:val="nil"/>
                            </w:tcBorders>
                            <w:hideMark/>
                          </w:tcPr>
                          <w:p w14:paraId="1494C52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c>
                          <w:tcPr>
                            <w:tcW w:w="575" w:type="pct"/>
                            <w:tcBorders>
                              <w:top w:val="nil"/>
                              <w:left w:val="nil"/>
                              <w:bottom w:val="nil"/>
                              <w:right w:val="nil"/>
                            </w:tcBorders>
                            <w:hideMark/>
                          </w:tcPr>
                          <w:p w14:paraId="2A5D33A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1.0 </w:t>
                            </w:r>
                          </w:p>
                        </w:tc>
                        <w:tc>
                          <w:tcPr>
                            <w:tcW w:w="538" w:type="pct"/>
                            <w:tcBorders>
                              <w:top w:val="nil"/>
                              <w:left w:val="nil"/>
                              <w:bottom w:val="nil"/>
                              <w:right w:val="nil"/>
                            </w:tcBorders>
                            <w:hideMark/>
                          </w:tcPr>
                          <w:p w14:paraId="5494560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 </w:t>
                            </w:r>
                          </w:p>
                        </w:tc>
                        <w:tc>
                          <w:tcPr>
                            <w:tcW w:w="410" w:type="pct"/>
                            <w:tcBorders>
                              <w:top w:val="nil"/>
                              <w:left w:val="nil"/>
                              <w:bottom w:val="nil"/>
                              <w:right w:val="nil"/>
                            </w:tcBorders>
                            <w:hideMark/>
                          </w:tcPr>
                          <w:p w14:paraId="59B43C4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0.8 </w:t>
                            </w:r>
                          </w:p>
                        </w:tc>
                      </w:tr>
                      <w:tr w:rsidR="00166A40" w:rsidRPr="00166A40" w14:paraId="2FF5A44C" w14:textId="77777777" w:rsidTr="00166A40">
                        <w:trPr>
                          <w:trHeight w:val="196"/>
                        </w:trPr>
                        <w:tc>
                          <w:tcPr>
                            <w:tcW w:w="1338" w:type="pct"/>
                            <w:tcBorders>
                              <w:top w:val="nil"/>
                              <w:left w:val="nil"/>
                              <w:bottom w:val="nil"/>
                              <w:right w:val="nil"/>
                            </w:tcBorders>
                            <w:noWrap/>
                            <w:hideMark/>
                          </w:tcPr>
                          <w:p w14:paraId="0FEB068C"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Net Income</w:t>
                            </w:r>
                          </w:p>
                        </w:tc>
                        <w:tc>
                          <w:tcPr>
                            <w:tcW w:w="534" w:type="pct"/>
                            <w:tcBorders>
                              <w:top w:val="single" w:sz="4" w:space="0" w:color="000000"/>
                              <w:left w:val="nil"/>
                              <w:bottom w:val="nil"/>
                              <w:right w:val="nil"/>
                            </w:tcBorders>
                            <w:hideMark/>
                          </w:tcPr>
                          <w:p w14:paraId="4666ED6B"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13.1 </w:t>
                            </w:r>
                          </w:p>
                        </w:tc>
                        <w:tc>
                          <w:tcPr>
                            <w:tcW w:w="534" w:type="pct"/>
                            <w:tcBorders>
                              <w:top w:val="single" w:sz="4" w:space="0" w:color="000000"/>
                              <w:left w:val="nil"/>
                              <w:bottom w:val="nil"/>
                              <w:right w:val="nil"/>
                            </w:tcBorders>
                            <w:hideMark/>
                          </w:tcPr>
                          <w:p w14:paraId="75AF036D"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21.1 </w:t>
                            </w:r>
                          </w:p>
                        </w:tc>
                        <w:tc>
                          <w:tcPr>
                            <w:tcW w:w="535" w:type="pct"/>
                            <w:tcBorders>
                              <w:top w:val="single" w:sz="4" w:space="0" w:color="000000"/>
                              <w:left w:val="nil"/>
                              <w:bottom w:val="nil"/>
                              <w:right w:val="nil"/>
                            </w:tcBorders>
                            <w:hideMark/>
                          </w:tcPr>
                          <w:p w14:paraId="56235978"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23.0 </w:t>
                            </w:r>
                          </w:p>
                        </w:tc>
                        <w:tc>
                          <w:tcPr>
                            <w:tcW w:w="536" w:type="pct"/>
                            <w:tcBorders>
                              <w:top w:val="single" w:sz="4" w:space="0" w:color="000000"/>
                              <w:left w:val="nil"/>
                              <w:bottom w:val="nil"/>
                              <w:right w:val="nil"/>
                            </w:tcBorders>
                            <w:hideMark/>
                          </w:tcPr>
                          <w:p w14:paraId="252C2796"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9.8 </w:t>
                            </w:r>
                          </w:p>
                        </w:tc>
                        <w:tc>
                          <w:tcPr>
                            <w:tcW w:w="575" w:type="pct"/>
                            <w:tcBorders>
                              <w:top w:val="single" w:sz="4" w:space="0" w:color="000000"/>
                              <w:left w:val="nil"/>
                              <w:bottom w:val="nil"/>
                              <w:right w:val="nil"/>
                            </w:tcBorders>
                            <w:hideMark/>
                          </w:tcPr>
                          <w:p w14:paraId="29F77AE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10.6 </w:t>
                            </w:r>
                          </w:p>
                        </w:tc>
                        <w:tc>
                          <w:tcPr>
                            <w:tcW w:w="538" w:type="pct"/>
                            <w:tcBorders>
                              <w:top w:val="single" w:sz="4" w:space="0" w:color="000000"/>
                              <w:left w:val="nil"/>
                              <w:bottom w:val="nil"/>
                              <w:right w:val="nil"/>
                            </w:tcBorders>
                            <w:hideMark/>
                          </w:tcPr>
                          <w:p w14:paraId="1633192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11.1 </w:t>
                            </w:r>
                          </w:p>
                        </w:tc>
                        <w:tc>
                          <w:tcPr>
                            <w:tcW w:w="410" w:type="pct"/>
                            <w:tcBorders>
                              <w:top w:val="single" w:sz="4" w:space="0" w:color="000000"/>
                              <w:left w:val="nil"/>
                              <w:bottom w:val="nil"/>
                              <w:right w:val="nil"/>
                            </w:tcBorders>
                            <w:hideMark/>
                          </w:tcPr>
                          <w:p w14:paraId="4159E01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u w:val="double"/>
                                <w:lang w:eastAsia="en-IN"/>
                                <w14:ligatures w14:val="none"/>
                              </w:rPr>
                            </w:pPr>
                            <w:r w:rsidRPr="00166A40">
                              <w:rPr>
                                <w:rFonts w:ascii="Cambria" w:eastAsia="Times New Roman" w:hAnsi="Cambria" w:cs="Arial"/>
                                <w:b/>
                                <w:bCs/>
                                <w:color w:val="000000"/>
                                <w:kern w:val="0"/>
                                <w:sz w:val="14"/>
                                <w:szCs w:val="14"/>
                                <w:u w:val="double"/>
                                <w:lang w:eastAsia="en-IN"/>
                                <w14:ligatures w14:val="none"/>
                              </w:rPr>
                              <w:t xml:space="preserve">                        16.6 </w:t>
                            </w:r>
                          </w:p>
                        </w:tc>
                      </w:tr>
                      <w:tr w:rsidR="00166A40" w:rsidRPr="00166A40" w14:paraId="6295B6D9" w14:textId="77777777" w:rsidTr="00166A40">
                        <w:trPr>
                          <w:trHeight w:val="196"/>
                        </w:trPr>
                        <w:tc>
                          <w:tcPr>
                            <w:tcW w:w="1338" w:type="pct"/>
                            <w:tcBorders>
                              <w:top w:val="nil"/>
                              <w:left w:val="nil"/>
                              <w:bottom w:val="nil"/>
                              <w:right w:val="nil"/>
                            </w:tcBorders>
                            <w:noWrap/>
                            <w:hideMark/>
                          </w:tcPr>
                          <w:p w14:paraId="7DACD351"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Pref. Dividends and Other Adj.</w:t>
                            </w:r>
                          </w:p>
                        </w:tc>
                        <w:tc>
                          <w:tcPr>
                            <w:tcW w:w="534" w:type="pct"/>
                            <w:tcBorders>
                              <w:top w:val="nil"/>
                              <w:left w:val="nil"/>
                              <w:bottom w:val="nil"/>
                              <w:right w:val="nil"/>
                            </w:tcBorders>
                            <w:hideMark/>
                          </w:tcPr>
                          <w:p w14:paraId="6A33D7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61D43E8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5" w:type="pct"/>
                            <w:tcBorders>
                              <w:top w:val="nil"/>
                              <w:left w:val="nil"/>
                              <w:bottom w:val="nil"/>
                              <w:right w:val="nil"/>
                            </w:tcBorders>
                            <w:hideMark/>
                          </w:tcPr>
                          <w:p w14:paraId="266EDFC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6" w:type="pct"/>
                            <w:tcBorders>
                              <w:top w:val="nil"/>
                              <w:left w:val="nil"/>
                              <w:bottom w:val="nil"/>
                              <w:right w:val="nil"/>
                            </w:tcBorders>
                            <w:hideMark/>
                          </w:tcPr>
                          <w:p w14:paraId="068C04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75" w:type="pct"/>
                            <w:tcBorders>
                              <w:top w:val="nil"/>
                              <w:left w:val="nil"/>
                              <w:bottom w:val="nil"/>
                              <w:right w:val="nil"/>
                            </w:tcBorders>
                            <w:hideMark/>
                          </w:tcPr>
                          <w:p w14:paraId="449D29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538" w:type="pct"/>
                            <w:tcBorders>
                              <w:top w:val="nil"/>
                              <w:left w:val="nil"/>
                              <w:bottom w:val="nil"/>
                              <w:right w:val="nil"/>
                            </w:tcBorders>
                            <w:hideMark/>
                          </w:tcPr>
                          <w:p w14:paraId="5C4787B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0.0 </w:t>
                            </w:r>
                          </w:p>
                        </w:tc>
                        <w:tc>
                          <w:tcPr>
                            <w:tcW w:w="410" w:type="pct"/>
                            <w:tcBorders>
                              <w:top w:val="nil"/>
                              <w:left w:val="nil"/>
                              <w:bottom w:val="nil"/>
                              <w:right w:val="nil"/>
                            </w:tcBorders>
                            <w:hideMark/>
                          </w:tcPr>
                          <w:p w14:paraId="3F2DFED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0.1 </w:t>
                            </w:r>
                          </w:p>
                        </w:tc>
                      </w:tr>
                      <w:tr w:rsidR="00166A40" w:rsidRPr="00166A40" w14:paraId="1D7A3586" w14:textId="77777777" w:rsidTr="00166A40">
                        <w:trPr>
                          <w:trHeight w:val="196"/>
                        </w:trPr>
                        <w:tc>
                          <w:tcPr>
                            <w:tcW w:w="1338" w:type="pct"/>
                            <w:tcBorders>
                              <w:top w:val="nil"/>
                              <w:left w:val="nil"/>
                              <w:bottom w:val="nil"/>
                              <w:right w:val="nil"/>
                            </w:tcBorders>
                            <w:noWrap/>
                            <w:hideMark/>
                          </w:tcPr>
                          <w:p w14:paraId="249486A3"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NI to Common Incl Extra Items</w:t>
                            </w:r>
                          </w:p>
                        </w:tc>
                        <w:tc>
                          <w:tcPr>
                            <w:tcW w:w="534" w:type="pct"/>
                            <w:tcBorders>
                              <w:top w:val="nil"/>
                              <w:left w:val="nil"/>
                              <w:bottom w:val="nil"/>
                              <w:right w:val="nil"/>
                            </w:tcBorders>
                            <w:hideMark/>
                          </w:tcPr>
                          <w:p w14:paraId="70FDF2F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13.1 </w:t>
                            </w:r>
                          </w:p>
                        </w:tc>
                        <w:tc>
                          <w:tcPr>
                            <w:tcW w:w="534" w:type="pct"/>
                            <w:tcBorders>
                              <w:top w:val="nil"/>
                              <w:left w:val="nil"/>
                              <w:bottom w:val="nil"/>
                              <w:right w:val="nil"/>
                            </w:tcBorders>
                            <w:hideMark/>
                          </w:tcPr>
                          <w:p w14:paraId="595E6F6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21.1 </w:t>
                            </w:r>
                          </w:p>
                        </w:tc>
                        <w:tc>
                          <w:tcPr>
                            <w:tcW w:w="535" w:type="pct"/>
                            <w:tcBorders>
                              <w:top w:val="nil"/>
                              <w:left w:val="nil"/>
                              <w:bottom w:val="nil"/>
                              <w:right w:val="nil"/>
                            </w:tcBorders>
                            <w:hideMark/>
                          </w:tcPr>
                          <w:p w14:paraId="16E3B61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22.9 </w:t>
                            </w:r>
                          </w:p>
                        </w:tc>
                        <w:tc>
                          <w:tcPr>
                            <w:tcW w:w="536" w:type="pct"/>
                            <w:tcBorders>
                              <w:top w:val="nil"/>
                              <w:left w:val="nil"/>
                              <w:bottom w:val="nil"/>
                              <w:right w:val="nil"/>
                            </w:tcBorders>
                            <w:hideMark/>
                          </w:tcPr>
                          <w:p w14:paraId="38CCEEF0"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9.8 </w:t>
                            </w:r>
                          </w:p>
                        </w:tc>
                        <w:tc>
                          <w:tcPr>
                            <w:tcW w:w="575" w:type="pct"/>
                            <w:tcBorders>
                              <w:top w:val="nil"/>
                              <w:left w:val="nil"/>
                              <w:bottom w:val="nil"/>
                              <w:right w:val="nil"/>
                            </w:tcBorders>
                            <w:hideMark/>
                          </w:tcPr>
                          <w:p w14:paraId="28F74694"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10.6 </w:t>
                            </w:r>
                          </w:p>
                        </w:tc>
                        <w:tc>
                          <w:tcPr>
                            <w:tcW w:w="538" w:type="pct"/>
                            <w:tcBorders>
                              <w:top w:val="nil"/>
                              <w:left w:val="nil"/>
                              <w:bottom w:val="nil"/>
                              <w:right w:val="nil"/>
                            </w:tcBorders>
                            <w:hideMark/>
                          </w:tcPr>
                          <w:p w14:paraId="315B69FE"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11.0 </w:t>
                            </w:r>
                          </w:p>
                        </w:tc>
                        <w:tc>
                          <w:tcPr>
                            <w:tcW w:w="410" w:type="pct"/>
                            <w:tcBorders>
                              <w:top w:val="nil"/>
                              <w:left w:val="nil"/>
                              <w:bottom w:val="nil"/>
                              <w:right w:val="nil"/>
                            </w:tcBorders>
                            <w:hideMark/>
                          </w:tcPr>
                          <w:p w14:paraId="1AFE0107"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16.5 </w:t>
                            </w:r>
                          </w:p>
                        </w:tc>
                      </w:tr>
                      <w:tr w:rsidR="00166A40" w:rsidRPr="00166A40" w14:paraId="01B2A795" w14:textId="77777777" w:rsidTr="00166A40">
                        <w:trPr>
                          <w:trHeight w:val="196"/>
                        </w:trPr>
                        <w:tc>
                          <w:tcPr>
                            <w:tcW w:w="1338" w:type="pct"/>
                            <w:tcBorders>
                              <w:top w:val="nil"/>
                              <w:left w:val="nil"/>
                              <w:bottom w:val="nil"/>
                              <w:right w:val="nil"/>
                            </w:tcBorders>
                            <w:noWrap/>
                            <w:hideMark/>
                          </w:tcPr>
                          <w:p w14:paraId="74641032"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NI to Common Excl. Extra Items</w:t>
                            </w:r>
                          </w:p>
                        </w:tc>
                        <w:tc>
                          <w:tcPr>
                            <w:tcW w:w="534" w:type="pct"/>
                            <w:tcBorders>
                              <w:top w:val="nil"/>
                              <w:left w:val="nil"/>
                              <w:bottom w:val="nil"/>
                              <w:right w:val="nil"/>
                            </w:tcBorders>
                            <w:hideMark/>
                          </w:tcPr>
                          <w:p w14:paraId="3DCE490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13.1 </w:t>
                            </w:r>
                          </w:p>
                        </w:tc>
                        <w:tc>
                          <w:tcPr>
                            <w:tcW w:w="534" w:type="pct"/>
                            <w:tcBorders>
                              <w:top w:val="nil"/>
                              <w:left w:val="nil"/>
                              <w:bottom w:val="nil"/>
                              <w:right w:val="nil"/>
                            </w:tcBorders>
                            <w:hideMark/>
                          </w:tcPr>
                          <w:p w14:paraId="2DD5270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21.1 </w:t>
                            </w:r>
                          </w:p>
                        </w:tc>
                        <w:tc>
                          <w:tcPr>
                            <w:tcW w:w="535" w:type="pct"/>
                            <w:tcBorders>
                              <w:top w:val="nil"/>
                              <w:left w:val="nil"/>
                              <w:bottom w:val="nil"/>
                              <w:right w:val="nil"/>
                            </w:tcBorders>
                            <w:hideMark/>
                          </w:tcPr>
                          <w:p w14:paraId="65461C71"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22.9 </w:t>
                            </w:r>
                          </w:p>
                        </w:tc>
                        <w:tc>
                          <w:tcPr>
                            <w:tcW w:w="536" w:type="pct"/>
                            <w:tcBorders>
                              <w:top w:val="nil"/>
                              <w:left w:val="nil"/>
                              <w:bottom w:val="nil"/>
                              <w:right w:val="nil"/>
                            </w:tcBorders>
                            <w:hideMark/>
                          </w:tcPr>
                          <w:p w14:paraId="4DBDF50A"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9.8 </w:t>
                            </w:r>
                          </w:p>
                        </w:tc>
                        <w:tc>
                          <w:tcPr>
                            <w:tcW w:w="575" w:type="pct"/>
                            <w:tcBorders>
                              <w:top w:val="nil"/>
                              <w:left w:val="nil"/>
                              <w:bottom w:val="nil"/>
                              <w:right w:val="nil"/>
                            </w:tcBorders>
                            <w:hideMark/>
                          </w:tcPr>
                          <w:p w14:paraId="0B6E603F"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10.6 </w:t>
                            </w:r>
                          </w:p>
                        </w:tc>
                        <w:tc>
                          <w:tcPr>
                            <w:tcW w:w="538" w:type="pct"/>
                            <w:tcBorders>
                              <w:top w:val="nil"/>
                              <w:left w:val="nil"/>
                              <w:bottom w:val="nil"/>
                              <w:right w:val="nil"/>
                            </w:tcBorders>
                            <w:hideMark/>
                          </w:tcPr>
                          <w:p w14:paraId="246EFBAC"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11.0 </w:t>
                            </w:r>
                          </w:p>
                        </w:tc>
                        <w:tc>
                          <w:tcPr>
                            <w:tcW w:w="410" w:type="pct"/>
                            <w:tcBorders>
                              <w:top w:val="nil"/>
                              <w:left w:val="nil"/>
                              <w:bottom w:val="nil"/>
                              <w:right w:val="nil"/>
                            </w:tcBorders>
                            <w:hideMark/>
                          </w:tcPr>
                          <w:p w14:paraId="50B9C475" w14:textId="77777777" w:rsidR="00166A40" w:rsidRPr="00166A40" w:rsidRDefault="00166A40" w:rsidP="00166A40">
                            <w:pPr>
                              <w:spacing w:after="0" w:line="240" w:lineRule="auto"/>
                              <w:jc w:val="right"/>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 xml:space="preserve">                        16.5 </w:t>
                            </w:r>
                          </w:p>
                        </w:tc>
                      </w:tr>
                      <w:tr w:rsidR="00166A40" w:rsidRPr="00166A40" w14:paraId="75206550" w14:textId="77777777" w:rsidTr="00166A40">
                        <w:trPr>
                          <w:trHeight w:val="196"/>
                        </w:trPr>
                        <w:tc>
                          <w:tcPr>
                            <w:tcW w:w="1338" w:type="pct"/>
                            <w:tcBorders>
                              <w:top w:val="nil"/>
                              <w:left w:val="nil"/>
                              <w:bottom w:val="nil"/>
                              <w:right w:val="nil"/>
                            </w:tcBorders>
                            <w:noWrap/>
                            <w:hideMark/>
                          </w:tcPr>
                          <w:p w14:paraId="3DD3A1E5"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Per Share Items</w:t>
                            </w:r>
                          </w:p>
                        </w:tc>
                        <w:tc>
                          <w:tcPr>
                            <w:tcW w:w="534" w:type="pct"/>
                            <w:tcBorders>
                              <w:top w:val="nil"/>
                              <w:left w:val="nil"/>
                              <w:bottom w:val="nil"/>
                              <w:right w:val="nil"/>
                            </w:tcBorders>
                            <w:noWrap/>
                            <w:hideMark/>
                          </w:tcPr>
                          <w:p w14:paraId="7AF6B2D2"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534" w:type="pct"/>
                            <w:tcBorders>
                              <w:top w:val="nil"/>
                              <w:left w:val="nil"/>
                              <w:bottom w:val="nil"/>
                              <w:right w:val="nil"/>
                            </w:tcBorders>
                            <w:noWrap/>
                            <w:hideMark/>
                          </w:tcPr>
                          <w:p w14:paraId="653710F5"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0C926BC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6" w:type="pct"/>
                            <w:tcBorders>
                              <w:top w:val="nil"/>
                              <w:left w:val="nil"/>
                              <w:bottom w:val="nil"/>
                              <w:right w:val="nil"/>
                            </w:tcBorders>
                            <w:noWrap/>
                            <w:hideMark/>
                          </w:tcPr>
                          <w:p w14:paraId="683DBD4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75" w:type="pct"/>
                            <w:tcBorders>
                              <w:top w:val="nil"/>
                              <w:left w:val="nil"/>
                              <w:bottom w:val="nil"/>
                              <w:right w:val="nil"/>
                            </w:tcBorders>
                            <w:noWrap/>
                            <w:hideMark/>
                          </w:tcPr>
                          <w:p w14:paraId="2392728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8" w:type="pct"/>
                            <w:tcBorders>
                              <w:top w:val="nil"/>
                              <w:left w:val="nil"/>
                              <w:bottom w:val="nil"/>
                              <w:right w:val="nil"/>
                            </w:tcBorders>
                            <w:noWrap/>
                            <w:hideMark/>
                          </w:tcPr>
                          <w:p w14:paraId="443F9D6C"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410" w:type="pct"/>
                            <w:tcBorders>
                              <w:top w:val="nil"/>
                              <w:left w:val="nil"/>
                              <w:bottom w:val="nil"/>
                              <w:right w:val="nil"/>
                            </w:tcBorders>
                            <w:noWrap/>
                            <w:hideMark/>
                          </w:tcPr>
                          <w:p w14:paraId="57871AEA"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r>
                      <w:tr w:rsidR="00166A40" w:rsidRPr="00166A40" w14:paraId="1B09F232" w14:textId="77777777" w:rsidTr="00166A40">
                        <w:trPr>
                          <w:trHeight w:val="196"/>
                        </w:trPr>
                        <w:tc>
                          <w:tcPr>
                            <w:tcW w:w="1338" w:type="pct"/>
                            <w:tcBorders>
                              <w:top w:val="nil"/>
                              <w:left w:val="nil"/>
                              <w:bottom w:val="nil"/>
                              <w:right w:val="nil"/>
                            </w:tcBorders>
                            <w:noWrap/>
                            <w:hideMark/>
                          </w:tcPr>
                          <w:p w14:paraId="76DB93E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Basic EPS</w:t>
                            </w:r>
                          </w:p>
                        </w:tc>
                        <w:tc>
                          <w:tcPr>
                            <w:tcW w:w="534" w:type="pct"/>
                            <w:tcBorders>
                              <w:top w:val="nil"/>
                              <w:left w:val="nil"/>
                              <w:bottom w:val="nil"/>
                              <w:right w:val="nil"/>
                            </w:tcBorders>
                            <w:hideMark/>
                          </w:tcPr>
                          <w:p w14:paraId="60C565F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$5.06 </w:t>
                            </w:r>
                          </w:p>
                        </w:tc>
                        <w:tc>
                          <w:tcPr>
                            <w:tcW w:w="534" w:type="pct"/>
                            <w:tcBorders>
                              <w:top w:val="nil"/>
                              <w:left w:val="nil"/>
                              <w:bottom w:val="nil"/>
                              <w:right w:val="nil"/>
                            </w:tcBorders>
                            <w:hideMark/>
                          </w:tcPr>
                          <w:p w14:paraId="0FE5DAB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$8.02 </w:t>
                            </w:r>
                          </w:p>
                        </w:tc>
                        <w:tc>
                          <w:tcPr>
                            <w:tcW w:w="535" w:type="pct"/>
                            <w:tcBorders>
                              <w:top w:val="nil"/>
                              <w:left w:val="nil"/>
                              <w:bottom w:val="nil"/>
                              <w:right w:val="nil"/>
                            </w:tcBorders>
                            <w:hideMark/>
                          </w:tcPr>
                          <w:p w14:paraId="0003C55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$8.49 </w:t>
                            </w:r>
                          </w:p>
                        </w:tc>
                        <w:tc>
                          <w:tcPr>
                            <w:tcW w:w="536" w:type="pct"/>
                            <w:tcBorders>
                              <w:top w:val="nil"/>
                              <w:left w:val="nil"/>
                              <w:bottom w:val="nil"/>
                              <w:right w:val="nil"/>
                            </w:tcBorders>
                            <w:hideMark/>
                          </w:tcPr>
                          <w:p w14:paraId="2BB5886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$3.63 </w:t>
                            </w:r>
                          </w:p>
                        </w:tc>
                        <w:tc>
                          <w:tcPr>
                            <w:tcW w:w="575" w:type="pct"/>
                            <w:tcBorders>
                              <w:top w:val="nil"/>
                              <w:left w:val="nil"/>
                              <w:bottom w:val="nil"/>
                              <w:right w:val="nil"/>
                            </w:tcBorders>
                            <w:hideMark/>
                          </w:tcPr>
                          <w:p w14:paraId="6E3F627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8" w:type="pct"/>
                            <w:tcBorders>
                              <w:top w:val="nil"/>
                              <w:left w:val="nil"/>
                              <w:bottom w:val="nil"/>
                              <w:right w:val="nil"/>
                            </w:tcBorders>
                            <w:hideMark/>
                          </w:tcPr>
                          <w:p w14:paraId="10B13E9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$4.38 </w:t>
                            </w:r>
                          </w:p>
                        </w:tc>
                        <w:tc>
                          <w:tcPr>
                            <w:tcW w:w="410" w:type="pct"/>
                            <w:tcBorders>
                              <w:top w:val="nil"/>
                              <w:left w:val="nil"/>
                              <w:bottom w:val="nil"/>
                              <w:right w:val="nil"/>
                            </w:tcBorders>
                            <w:hideMark/>
                          </w:tcPr>
                          <w:p w14:paraId="7ABC0B4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$6.9 </w:t>
                            </w:r>
                          </w:p>
                        </w:tc>
                      </w:tr>
                      <w:tr w:rsidR="00166A40" w:rsidRPr="00166A40" w14:paraId="0CE3697B" w14:textId="77777777" w:rsidTr="00166A40">
                        <w:trPr>
                          <w:trHeight w:val="196"/>
                        </w:trPr>
                        <w:tc>
                          <w:tcPr>
                            <w:tcW w:w="1338" w:type="pct"/>
                            <w:tcBorders>
                              <w:top w:val="nil"/>
                              <w:left w:val="nil"/>
                              <w:bottom w:val="nil"/>
                              <w:right w:val="nil"/>
                            </w:tcBorders>
                            <w:noWrap/>
                            <w:hideMark/>
                          </w:tcPr>
                          <w:p w14:paraId="679D399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Basic EPS Excl. Extra Items</w:t>
                            </w:r>
                          </w:p>
                        </w:tc>
                        <w:tc>
                          <w:tcPr>
                            <w:tcW w:w="534" w:type="pct"/>
                            <w:tcBorders>
                              <w:top w:val="nil"/>
                              <w:left w:val="nil"/>
                              <w:bottom w:val="nil"/>
                              <w:right w:val="nil"/>
                            </w:tcBorders>
                            <w:hideMark/>
                          </w:tcPr>
                          <w:p w14:paraId="15B8008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5.06 </w:t>
                            </w:r>
                          </w:p>
                        </w:tc>
                        <w:tc>
                          <w:tcPr>
                            <w:tcW w:w="534" w:type="pct"/>
                            <w:tcBorders>
                              <w:top w:val="nil"/>
                              <w:left w:val="nil"/>
                              <w:bottom w:val="nil"/>
                              <w:right w:val="nil"/>
                            </w:tcBorders>
                            <w:hideMark/>
                          </w:tcPr>
                          <w:p w14:paraId="4EF8C8E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8.02 </w:t>
                            </w:r>
                          </w:p>
                        </w:tc>
                        <w:tc>
                          <w:tcPr>
                            <w:tcW w:w="535" w:type="pct"/>
                            <w:tcBorders>
                              <w:top w:val="nil"/>
                              <w:left w:val="nil"/>
                              <w:bottom w:val="nil"/>
                              <w:right w:val="nil"/>
                            </w:tcBorders>
                            <w:hideMark/>
                          </w:tcPr>
                          <w:p w14:paraId="394036E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8.49 </w:t>
                            </w:r>
                          </w:p>
                        </w:tc>
                        <w:tc>
                          <w:tcPr>
                            <w:tcW w:w="536" w:type="pct"/>
                            <w:tcBorders>
                              <w:top w:val="nil"/>
                              <w:left w:val="nil"/>
                              <w:bottom w:val="nil"/>
                              <w:right w:val="nil"/>
                            </w:tcBorders>
                            <w:hideMark/>
                          </w:tcPr>
                          <w:p w14:paraId="6F875F2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3.63 </w:t>
                            </w:r>
                          </w:p>
                        </w:tc>
                        <w:tc>
                          <w:tcPr>
                            <w:tcW w:w="575" w:type="pct"/>
                            <w:tcBorders>
                              <w:top w:val="nil"/>
                              <w:left w:val="nil"/>
                              <w:bottom w:val="nil"/>
                              <w:right w:val="nil"/>
                            </w:tcBorders>
                            <w:hideMark/>
                          </w:tcPr>
                          <w:p w14:paraId="375B866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8" w:type="pct"/>
                            <w:tcBorders>
                              <w:top w:val="nil"/>
                              <w:left w:val="nil"/>
                              <w:bottom w:val="nil"/>
                              <w:right w:val="nil"/>
                            </w:tcBorders>
                            <w:hideMark/>
                          </w:tcPr>
                          <w:p w14:paraId="4D40393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4.38 </w:t>
                            </w:r>
                          </w:p>
                        </w:tc>
                        <w:tc>
                          <w:tcPr>
                            <w:tcW w:w="410" w:type="pct"/>
                            <w:tcBorders>
                              <w:top w:val="nil"/>
                              <w:left w:val="nil"/>
                              <w:bottom w:val="nil"/>
                              <w:right w:val="nil"/>
                            </w:tcBorders>
                            <w:hideMark/>
                          </w:tcPr>
                          <w:p w14:paraId="33DEFED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6.9 </w:t>
                            </w:r>
                          </w:p>
                        </w:tc>
                      </w:tr>
                      <w:tr w:rsidR="00166A40" w:rsidRPr="00166A40" w14:paraId="6BF362F9" w14:textId="77777777" w:rsidTr="00166A40">
                        <w:trPr>
                          <w:trHeight w:val="196"/>
                        </w:trPr>
                        <w:tc>
                          <w:tcPr>
                            <w:tcW w:w="1338" w:type="pct"/>
                            <w:tcBorders>
                              <w:top w:val="nil"/>
                              <w:left w:val="nil"/>
                              <w:bottom w:val="nil"/>
                              <w:right w:val="nil"/>
                            </w:tcBorders>
                            <w:noWrap/>
                            <w:hideMark/>
                          </w:tcPr>
                          <w:p w14:paraId="0B525254"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Weighted Avg. Basic Shares Out.</w:t>
                            </w:r>
                          </w:p>
                        </w:tc>
                        <w:tc>
                          <w:tcPr>
                            <w:tcW w:w="534" w:type="pct"/>
                            <w:tcBorders>
                              <w:top w:val="nil"/>
                              <w:left w:val="nil"/>
                              <w:bottom w:val="nil"/>
                              <w:right w:val="nil"/>
                            </w:tcBorders>
                            <w:hideMark/>
                          </w:tcPr>
                          <w:p w14:paraId="702D0E4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4" w:type="pct"/>
                            <w:tcBorders>
                              <w:top w:val="nil"/>
                              <w:left w:val="nil"/>
                              <w:bottom w:val="nil"/>
                              <w:right w:val="nil"/>
                            </w:tcBorders>
                            <w:hideMark/>
                          </w:tcPr>
                          <w:p w14:paraId="0B8A52C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5" w:type="pct"/>
                            <w:tcBorders>
                              <w:top w:val="nil"/>
                              <w:left w:val="nil"/>
                              <w:bottom w:val="nil"/>
                              <w:right w:val="nil"/>
                            </w:tcBorders>
                            <w:hideMark/>
                          </w:tcPr>
                          <w:p w14:paraId="549655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6" w:type="pct"/>
                            <w:tcBorders>
                              <w:top w:val="nil"/>
                              <w:left w:val="nil"/>
                              <w:bottom w:val="nil"/>
                              <w:right w:val="nil"/>
                            </w:tcBorders>
                            <w:hideMark/>
                          </w:tcPr>
                          <w:p w14:paraId="2664FFE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75" w:type="pct"/>
                            <w:tcBorders>
                              <w:top w:val="nil"/>
                              <w:left w:val="nil"/>
                              <w:bottom w:val="nil"/>
                              <w:right w:val="nil"/>
                            </w:tcBorders>
                            <w:hideMark/>
                          </w:tcPr>
                          <w:p w14:paraId="0BB9B6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8" w:type="pct"/>
                            <w:tcBorders>
                              <w:top w:val="nil"/>
                              <w:left w:val="nil"/>
                              <w:bottom w:val="nil"/>
                              <w:right w:val="nil"/>
                            </w:tcBorders>
                            <w:hideMark/>
                          </w:tcPr>
                          <w:p w14:paraId="6EA6C2A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410" w:type="pct"/>
                            <w:tcBorders>
                              <w:top w:val="nil"/>
                              <w:left w:val="nil"/>
                              <w:bottom w:val="nil"/>
                              <w:right w:val="nil"/>
                            </w:tcBorders>
                            <w:hideMark/>
                          </w:tcPr>
                          <w:p w14:paraId="0E86FF0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r>
                      <w:tr w:rsidR="00166A40" w:rsidRPr="00166A40" w14:paraId="4D63DB2C" w14:textId="77777777" w:rsidTr="00166A40">
                        <w:trPr>
                          <w:trHeight w:val="196"/>
                        </w:trPr>
                        <w:tc>
                          <w:tcPr>
                            <w:tcW w:w="1338" w:type="pct"/>
                            <w:tcBorders>
                              <w:top w:val="nil"/>
                              <w:left w:val="nil"/>
                              <w:bottom w:val="nil"/>
                              <w:right w:val="nil"/>
                            </w:tcBorders>
                            <w:noWrap/>
                            <w:hideMark/>
                          </w:tcPr>
                          <w:p w14:paraId="7328CEB5"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Diluted EPS</w:t>
                            </w:r>
                          </w:p>
                        </w:tc>
                        <w:tc>
                          <w:tcPr>
                            <w:tcW w:w="534" w:type="pct"/>
                            <w:tcBorders>
                              <w:top w:val="nil"/>
                              <w:left w:val="nil"/>
                              <w:bottom w:val="nil"/>
                              <w:right w:val="nil"/>
                            </w:tcBorders>
                            <w:hideMark/>
                          </w:tcPr>
                          <w:p w14:paraId="7F8EF77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$4.97 </w:t>
                            </w:r>
                          </w:p>
                        </w:tc>
                        <w:tc>
                          <w:tcPr>
                            <w:tcW w:w="534" w:type="pct"/>
                            <w:tcBorders>
                              <w:top w:val="nil"/>
                              <w:left w:val="nil"/>
                              <w:bottom w:val="nil"/>
                              <w:right w:val="nil"/>
                            </w:tcBorders>
                            <w:hideMark/>
                          </w:tcPr>
                          <w:p w14:paraId="2AB8072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 </w:t>
                            </w:r>
                          </w:p>
                        </w:tc>
                        <w:tc>
                          <w:tcPr>
                            <w:tcW w:w="535" w:type="pct"/>
                            <w:tcBorders>
                              <w:top w:val="nil"/>
                              <w:left w:val="nil"/>
                              <w:bottom w:val="nil"/>
                              <w:right w:val="nil"/>
                            </w:tcBorders>
                            <w:hideMark/>
                          </w:tcPr>
                          <w:p w14:paraId="70F7B0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$8.35 </w:t>
                            </w:r>
                          </w:p>
                        </w:tc>
                        <w:tc>
                          <w:tcPr>
                            <w:tcW w:w="536" w:type="pct"/>
                            <w:tcBorders>
                              <w:top w:val="nil"/>
                              <w:left w:val="nil"/>
                              <w:bottom w:val="nil"/>
                              <w:right w:val="nil"/>
                            </w:tcBorders>
                            <w:hideMark/>
                          </w:tcPr>
                          <w:p w14:paraId="694DFF3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$3.59 </w:t>
                            </w:r>
                          </w:p>
                        </w:tc>
                        <w:tc>
                          <w:tcPr>
                            <w:tcW w:w="575" w:type="pct"/>
                            <w:tcBorders>
                              <w:top w:val="nil"/>
                              <w:left w:val="nil"/>
                              <w:bottom w:val="nil"/>
                              <w:right w:val="nil"/>
                            </w:tcBorders>
                            <w:hideMark/>
                          </w:tcPr>
                          <w:p w14:paraId="70443C5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38" w:type="pct"/>
                            <w:tcBorders>
                              <w:top w:val="nil"/>
                              <w:left w:val="nil"/>
                              <w:bottom w:val="nil"/>
                              <w:right w:val="nil"/>
                            </w:tcBorders>
                            <w:hideMark/>
                          </w:tcPr>
                          <w:p w14:paraId="04CBB64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$4.33 </w:t>
                            </w:r>
                          </w:p>
                        </w:tc>
                        <w:tc>
                          <w:tcPr>
                            <w:tcW w:w="410" w:type="pct"/>
                            <w:tcBorders>
                              <w:top w:val="nil"/>
                              <w:left w:val="nil"/>
                              <w:bottom w:val="nil"/>
                              <w:right w:val="nil"/>
                            </w:tcBorders>
                            <w:hideMark/>
                          </w:tcPr>
                          <w:p w14:paraId="161C0E7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$6.75 </w:t>
                            </w:r>
                          </w:p>
                        </w:tc>
                      </w:tr>
                      <w:tr w:rsidR="00166A40" w:rsidRPr="00166A40" w14:paraId="51B32EEA" w14:textId="77777777" w:rsidTr="00166A40">
                        <w:trPr>
                          <w:trHeight w:val="196"/>
                        </w:trPr>
                        <w:tc>
                          <w:tcPr>
                            <w:tcW w:w="1338" w:type="pct"/>
                            <w:tcBorders>
                              <w:top w:val="nil"/>
                              <w:left w:val="nil"/>
                              <w:bottom w:val="nil"/>
                              <w:right w:val="nil"/>
                            </w:tcBorders>
                            <w:noWrap/>
                            <w:hideMark/>
                          </w:tcPr>
                          <w:p w14:paraId="0ADC0F10"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Diluted EPS Excl. Extra Items</w:t>
                            </w:r>
                          </w:p>
                        </w:tc>
                        <w:tc>
                          <w:tcPr>
                            <w:tcW w:w="534" w:type="pct"/>
                            <w:tcBorders>
                              <w:top w:val="nil"/>
                              <w:left w:val="nil"/>
                              <w:bottom w:val="nil"/>
                              <w:right w:val="nil"/>
                            </w:tcBorders>
                            <w:hideMark/>
                          </w:tcPr>
                          <w:p w14:paraId="373A97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4.97 </w:t>
                            </w:r>
                          </w:p>
                        </w:tc>
                        <w:tc>
                          <w:tcPr>
                            <w:tcW w:w="534" w:type="pct"/>
                            <w:tcBorders>
                              <w:top w:val="nil"/>
                              <w:left w:val="nil"/>
                              <w:bottom w:val="nil"/>
                              <w:right w:val="nil"/>
                            </w:tcBorders>
                            <w:hideMark/>
                          </w:tcPr>
                          <w:p w14:paraId="5DDC90C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7.9 </w:t>
                            </w:r>
                          </w:p>
                        </w:tc>
                        <w:tc>
                          <w:tcPr>
                            <w:tcW w:w="535" w:type="pct"/>
                            <w:tcBorders>
                              <w:top w:val="nil"/>
                              <w:left w:val="nil"/>
                              <w:bottom w:val="nil"/>
                              <w:right w:val="nil"/>
                            </w:tcBorders>
                            <w:hideMark/>
                          </w:tcPr>
                          <w:p w14:paraId="71AA9E3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8.35 </w:t>
                            </w:r>
                          </w:p>
                        </w:tc>
                        <w:tc>
                          <w:tcPr>
                            <w:tcW w:w="536" w:type="pct"/>
                            <w:tcBorders>
                              <w:top w:val="nil"/>
                              <w:left w:val="nil"/>
                              <w:bottom w:val="nil"/>
                              <w:right w:val="nil"/>
                            </w:tcBorders>
                            <w:hideMark/>
                          </w:tcPr>
                          <w:p w14:paraId="3985B81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3.59 </w:t>
                            </w:r>
                          </w:p>
                        </w:tc>
                        <w:tc>
                          <w:tcPr>
                            <w:tcW w:w="575" w:type="pct"/>
                            <w:tcBorders>
                              <w:top w:val="nil"/>
                              <w:left w:val="nil"/>
                              <w:bottom w:val="nil"/>
                              <w:right w:val="nil"/>
                            </w:tcBorders>
                            <w:hideMark/>
                          </w:tcPr>
                          <w:p w14:paraId="59F354A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 </w:t>
                            </w:r>
                          </w:p>
                        </w:tc>
                        <w:tc>
                          <w:tcPr>
                            <w:tcW w:w="538" w:type="pct"/>
                            <w:tcBorders>
                              <w:top w:val="nil"/>
                              <w:left w:val="nil"/>
                              <w:bottom w:val="nil"/>
                              <w:right w:val="nil"/>
                            </w:tcBorders>
                            <w:hideMark/>
                          </w:tcPr>
                          <w:p w14:paraId="67030A1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4.33 </w:t>
                            </w:r>
                          </w:p>
                        </w:tc>
                        <w:tc>
                          <w:tcPr>
                            <w:tcW w:w="410" w:type="pct"/>
                            <w:tcBorders>
                              <w:top w:val="nil"/>
                              <w:left w:val="nil"/>
                              <w:bottom w:val="nil"/>
                              <w:right w:val="nil"/>
                            </w:tcBorders>
                            <w:hideMark/>
                          </w:tcPr>
                          <w:p w14:paraId="7AA61C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6.75 </w:t>
                            </w:r>
                          </w:p>
                        </w:tc>
                      </w:tr>
                      <w:tr w:rsidR="00166A40" w:rsidRPr="00166A40" w14:paraId="739E65A9" w14:textId="77777777" w:rsidTr="00166A40">
                        <w:trPr>
                          <w:trHeight w:val="196"/>
                        </w:trPr>
                        <w:tc>
                          <w:tcPr>
                            <w:tcW w:w="1338" w:type="pct"/>
                            <w:tcBorders>
                              <w:top w:val="nil"/>
                              <w:left w:val="nil"/>
                              <w:bottom w:val="nil"/>
                              <w:right w:val="nil"/>
                            </w:tcBorders>
                            <w:noWrap/>
                            <w:hideMark/>
                          </w:tcPr>
                          <w:p w14:paraId="621B9D8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Weighted Avg. Diluted Shares Out.</w:t>
                            </w:r>
                          </w:p>
                        </w:tc>
                        <w:tc>
                          <w:tcPr>
                            <w:tcW w:w="534" w:type="pct"/>
                            <w:tcBorders>
                              <w:top w:val="nil"/>
                              <w:left w:val="nil"/>
                              <w:bottom w:val="nil"/>
                              <w:right w:val="nil"/>
                            </w:tcBorders>
                            <w:hideMark/>
                          </w:tcPr>
                          <w:p w14:paraId="5877FC3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4" w:type="pct"/>
                            <w:tcBorders>
                              <w:top w:val="nil"/>
                              <w:left w:val="nil"/>
                              <w:bottom w:val="nil"/>
                              <w:right w:val="nil"/>
                            </w:tcBorders>
                            <w:hideMark/>
                          </w:tcPr>
                          <w:p w14:paraId="0E12D91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5" w:type="pct"/>
                            <w:tcBorders>
                              <w:top w:val="nil"/>
                              <w:left w:val="nil"/>
                              <w:bottom w:val="nil"/>
                              <w:right w:val="nil"/>
                            </w:tcBorders>
                            <w:hideMark/>
                          </w:tcPr>
                          <w:p w14:paraId="041E1EE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36" w:type="pct"/>
                            <w:tcBorders>
                              <w:top w:val="nil"/>
                              <w:left w:val="nil"/>
                              <w:bottom w:val="nil"/>
                              <w:right w:val="nil"/>
                            </w:tcBorders>
                            <w:hideMark/>
                          </w:tcPr>
                          <w:p w14:paraId="1294EAA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 </w:t>
                            </w:r>
                          </w:p>
                        </w:tc>
                        <w:tc>
                          <w:tcPr>
                            <w:tcW w:w="575" w:type="pct"/>
                            <w:tcBorders>
                              <w:top w:val="nil"/>
                              <w:left w:val="nil"/>
                              <w:bottom w:val="nil"/>
                              <w:right w:val="nil"/>
                            </w:tcBorders>
                            <w:hideMark/>
                          </w:tcPr>
                          <w:p w14:paraId="75F9BA0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 </w:t>
                            </w:r>
                          </w:p>
                        </w:tc>
                        <w:tc>
                          <w:tcPr>
                            <w:tcW w:w="538" w:type="pct"/>
                            <w:tcBorders>
                              <w:top w:val="nil"/>
                              <w:left w:val="nil"/>
                              <w:bottom w:val="nil"/>
                              <w:right w:val="nil"/>
                            </w:tcBorders>
                            <w:hideMark/>
                          </w:tcPr>
                          <w:p w14:paraId="086206A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 </w:t>
                            </w:r>
                          </w:p>
                        </w:tc>
                        <w:tc>
                          <w:tcPr>
                            <w:tcW w:w="410" w:type="pct"/>
                            <w:tcBorders>
                              <w:top w:val="nil"/>
                              <w:left w:val="nil"/>
                              <w:bottom w:val="nil"/>
                              <w:right w:val="nil"/>
                            </w:tcBorders>
                            <w:hideMark/>
                          </w:tcPr>
                          <w:p w14:paraId="33A59DA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 </w:t>
                            </w:r>
                          </w:p>
                        </w:tc>
                      </w:tr>
                      <w:tr w:rsidR="00166A40" w:rsidRPr="00166A40" w14:paraId="65B2B5D4" w14:textId="77777777" w:rsidTr="00166A40">
                        <w:trPr>
                          <w:trHeight w:val="196"/>
                        </w:trPr>
                        <w:tc>
                          <w:tcPr>
                            <w:tcW w:w="1338" w:type="pct"/>
                            <w:tcBorders>
                              <w:top w:val="nil"/>
                              <w:left w:val="nil"/>
                              <w:bottom w:val="nil"/>
                              <w:right w:val="nil"/>
                            </w:tcBorders>
                            <w:noWrap/>
                            <w:hideMark/>
                          </w:tcPr>
                          <w:p w14:paraId="1EAEFB9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Normalized Basic EPS</w:t>
                            </w:r>
                          </w:p>
                        </w:tc>
                        <w:tc>
                          <w:tcPr>
                            <w:tcW w:w="534" w:type="pct"/>
                            <w:tcBorders>
                              <w:top w:val="nil"/>
                              <w:left w:val="nil"/>
                              <w:bottom w:val="nil"/>
                              <w:right w:val="nil"/>
                            </w:tcBorders>
                            <w:hideMark/>
                          </w:tcPr>
                          <w:p w14:paraId="39F742D9"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$4.1 </w:t>
                            </w:r>
                          </w:p>
                        </w:tc>
                        <w:tc>
                          <w:tcPr>
                            <w:tcW w:w="534" w:type="pct"/>
                            <w:tcBorders>
                              <w:top w:val="nil"/>
                              <w:left w:val="nil"/>
                              <w:bottom w:val="nil"/>
                              <w:right w:val="nil"/>
                            </w:tcBorders>
                            <w:hideMark/>
                          </w:tcPr>
                          <w:p w14:paraId="5DCC5AF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$6.03 </w:t>
                            </w:r>
                          </w:p>
                        </w:tc>
                        <w:tc>
                          <w:tcPr>
                            <w:tcW w:w="535" w:type="pct"/>
                            <w:tcBorders>
                              <w:top w:val="nil"/>
                              <w:left w:val="nil"/>
                              <w:bottom w:val="nil"/>
                              <w:right w:val="nil"/>
                            </w:tcBorders>
                            <w:hideMark/>
                          </w:tcPr>
                          <w:p w14:paraId="03CBAC2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$7.21 </w:t>
                            </w:r>
                          </w:p>
                        </w:tc>
                        <w:tc>
                          <w:tcPr>
                            <w:tcW w:w="536" w:type="pct"/>
                            <w:tcBorders>
                              <w:top w:val="nil"/>
                              <w:left w:val="nil"/>
                              <w:bottom w:val="nil"/>
                              <w:right w:val="nil"/>
                            </w:tcBorders>
                            <w:hideMark/>
                          </w:tcPr>
                          <w:p w14:paraId="3797FA8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$5.15 </w:t>
                            </w:r>
                          </w:p>
                        </w:tc>
                        <w:tc>
                          <w:tcPr>
                            <w:tcW w:w="575" w:type="pct"/>
                            <w:tcBorders>
                              <w:top w:val="nil"/>
                              <w:left w:val="nil"/>
                              <w:bottom w:val="nil"/>
                              <w:right w:val="nil"/>
                            </w:tcBorders>
                            <w:hideMark/>
                          </w:tcPr>
                          <w:p w14:paraId="5C730D3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$3.83 </w:t>
                            </w:r>
                          </w:p>
                        </w:tc>
                        <w:tc>
                          <w:tcPr>
                            <w:tcW w:w="538" w:type="pct"/>
                            <w:tcBorders>
                              <w:top w:val="nil"/>
                              <w:left w:val="nil"/>
                              <w:bottom w:val="nil"/>
                              <w:right w:val="nil"/>
                            </w:tcBorders>
                            <w:hideMark/>
                          </w:tcPr>
                          <w:p w14:paraId="44CFFB8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$4.91 </w:t>
                            </w:r>
                          </w:p>
                        </w:tc>
                        <w:tc>
                          <w:tcPr>
                            <w:tcW w:w="410" w:type="pct"/>
                            <w:tcBorders>
                              <w:top w:val="nil"/>
                              <w:left w:val="nil"/>
                              <w:bottom w:val="nil"/>
                              <w:right w:val="nil"/>
                            </w:tcBorders>
                            <w:hideMark/>
                          </w:tcPr>
                          <w:p w14:paraId="79F2765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$6.65 </w:t>
                            </w:r>
                          </w:p>
                        </w:tc>
                      </w:tr>
                      <w:tr w:rsidR="00166A40" w:rsidRPr="00166A40" w14:paraId="52F9EE8F" w14:textId="77777777" w:rsidTr="00166A40">
                        <w:trPr>
                          <w:trHeight w:val="196"/>
                        </w:trPr>
                        <w:tc>
                          <w:tcPr>
                            <w:tcW w:w="1338" w:type="pct"/>
                            <w:tcBorders>
                              <w:top w:val="nil"/>
                              <w:left w:val="nil"/>
                              <w:bottom w:val="nil"/>
                              <w:right w:val="nil"/>
                            </w:tcBorders>
                            <w:noWrap/>
                            <w:hideMark/>
                          </w:tcPr>
                          <w:p w14:paraId="13F6782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Normalized Diluted EPS</w:t>
                            </w:r>
                          </w:p>
                        </w:tc>
                        <w:tc>
                          <w:tcPr>
                            <w:tcW w:w="534" w:type="pct"/>
                            <w:tcBorders>
                              <w:top w:val="nil"/>
                              <w:left w:val="nil"/>
                              <w:bottom w:val="nil"/>
                              <w:right w:val="nil"/>
                            </w:tcBorders>
                            <w:hideMark/>
                          </w:tcPr>
                          <w:p w14:paraId="716B7C5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4.03 </w:t>
                            </w:r>
                          </w:p>
                        </w:tc>
                        <w:tc>
                          <w:tcPr>
                            <w:tcW w:w="534" w:type="pct"/>
                            <w:tcBorders>
                              <w:top w:val="nil"/>
                              <w:left w:val="nil"/>
                              <w:bottom w:val="nil"/>
                              <w:right w:val="nil"/>
                            </w:tcBorders>
                            <w:hideMark/>
                          </w:tcPr>
                          <w:p w14:paraId="438D836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5.94 </w:t>
                            </w:r>
                          </w:p>
                        </w:tc>
                        <w:tc>
                          <w:tcPr>
                            <w:tcW w:w="535" w:type="pct"/>
                            <w:tcBorders>
                              <w:top w:val="nil"/>
                              <w:left w:val="nil"/>
                              <w:bottom w:val="nil"/>
                              <w:right w:val="nil"/>
                            </w:tcBorders>
                            <w:hideMark/>
                          </w:tcPr>
                          <w:p w14:paraId="26F6B4A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7.09 </w:t>
                            </w:r>
                          </w:p>
                        </w:tc>
                        <w:tc>
                          <w:tcPr>
                            <w:tcW w:w="536" w:type="pct"/>
                            <w:tcBorders>
                              <w:top w:val="nil"/>
                              <w:left w:val="nil"/>
                              <w:bottom w:val="nil"/>
                              <w:right w:val="nil"/>
                            </w:tcBorders>
                            <w:hideMark/>
                          </w:tcPr>
                          <w:p w14:paraId="617D20E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5.09 </w:t>
                            </w:r>
                          </w:p>
                        </w:tc>
                        <w:tc>
                          <w:tcPr>
                            <w:tcW w:w="575" w:type="pct"/>
                            <w:tcBorders>
                              <w:top w:val="nil"/>
                              <w:left w:val="nil"/>
                              <w:bottom w:val="nil"/>
                              <w:right w:val="nil"/>
                            </w:tcBorders>
                            <w:hideMark/>
                          </w:tcPr>
                          <w:p w14:paraId="18649E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3.81 </w:t>
                            </w:r>
                          </w:p>
                        </w:tc>
                        <w:tc>
                          <w:tcPr>
                            <w:tcW w:w="538" w:type="pct"/>
                            <w:tcBorders>
                              <w:top w:val="nil"/>
                              <w:left w:val="nil"/>
                              <w:bottom w:val="nil"/>
                              <w:right w:val="nil"/>
                            </w:tcBorders>
                            <w:hideMark/>
                          </w:tcPr>
                          <w:p w14:paraId="671AD6E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4.87 </w:t>
                            </w:r>
                          </w:p>
                        </w:tc>
                        <w:tc>
                          <w:tcPr>
                            <w:tcW w:w="410" w:type="pct"/>
                            <w:tcBorders>
                              <w:top w:val="nil"/>
                              <w:left w:val="nil"/>
                              <w:bottom w:val="nil"/>
                              <w:right w:val="nil"/>
                            </w:tcBorders>
                            <w:hideMark/>
                          </w:tcPr>
                          <w:p w14:paraId="0BB251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6.51 </w:t>
                            </w:r>
                          </w:p>
                        </w:tc>
                      </w:tr>
                      <w:tr w:rsidR="00166A40" w:rsidRPr="00166A40" w14:paraId="0E33D8BA" w14:textId="77777777" w:rsidTr="00166A40">
                        <w:trPr>
                          <w:trHeight w:val="196"/>
                        </w:trPr>
                        <w:tc>
                          <w:tcPr>
                            <w:tcW w:w="1338" w:type="pct"/>
                            <w:tcBorders>
                              <w:top w:val="nil"/>
                              <w:left w:val="nil"/>
                              <w:bottom w:val="nil"/>
                              <w:right w:val="nil"/>
                            </w:tcBorders>
                            <w:noWrap/>
                            <w:hideMark/>
                          </w:tcPr>
                          <w:p w14:paraId="5941B4C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Dividends per Share</w:t>
                            </w:r>
                          </w:p>
                        </w:tc>
                        <w:tc>
                          <w:tcPr>
                            <w:tcW w:w="534" w:type="pct"/>
                            <w:tcBorders>
                              <w:top w:val="nil"/>
                              <w:left w:val="nil"/>
                              <w:bottom w:val="nil"/>
                              <w:right w:val="nil"/>
                            </w:tcBorders>
                            <w:hideMark/>
                          </w:tcPr>
                          <w:p w14:paraId="48C1CF9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4" w:type="pct"/>
                            <w:tcBorders>
                              <w:top w:val="nil"/>
                              <w:left w:val="nil"/>
                              <w:bottom w:val="nil"/>
                              <w:right w:val="nil"/>
                            </w:tcBorders>
                            <w:hideMark/>
                          </w:tcPr>
                          <w:p w14:paraId="4E450F9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5" w:type="pct"/>
                            <w:tcBorders>
                              <w:top w:val="nil"/>
                              <w:left w:val="nil"/>
                              <w:bottom w:val="nil"/>
                              <w:right w:val="nil"/>
                            </w:tcBorders>
                            <w:hideMark/>
                          </w:tcPr>
                          <w:p w14:paraId="4A74283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6" w:type="pct"/>
                            <w:tcBorders>
                              <w:top w:val="nil"/>
                              <w:left w:val="nil"/>
                              <w:bottom w:val="nil"/>
                              <w:right w:val="nil"/>
                            </w:tcBorders>
                            <w:hideMark/>
                          </w:tcPr>
                          <w:p w14:paraId="653792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75" w:type="pct"/>
                            <w:tcBorders>
                              <w:top w:val="nil"/>
                              <w:left w:val="nil"/>
                              <w:bottom w:val="nil"/>
                              <w:right w:val="nil"/>
                            </w:tcBorders>
                            <w:hideMark/>
                          </w:tcPr>
                          <w:p w14:paraId="1FF5A43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c>
                          <w:tcPr>
                            <w:tcW w:w="538" w:type="pct"/>
                            <w:tcBorders>
                              <w:top w:val="nil"/>
                              <w:left w:val="nil"/>
                              <w:bottom w:val="nil"/>
                              <w:right w:val="nil"/>
                            </w:tcBorders>
                            <w:hideMark/>
                          </w:tcPr>
                          <w:p w14:paraId="2DAA9E7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c>
                          <w:tcPr>
                            <w:tcW w:w="410" w:type="pct"/>
                            <w:tcBorders>
                              <w:top w:val="nil"/>
                              <w:left w:val="nil"/>
                              <w:bottom w:val="nil"/>
                              <w:right w:val="nil"/>
                            </w:tcBorders>
                            <w:hideMark/>
                          </w:tcPr>
                          <w:p w14:paraId="058D063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 -  </w:t>
                            </w:r>
                          </w:p>
                        </w:tc>
                      </w:tr>
                      <w:tr w:rsidR="00166A40" w:rsidRPr="00166A40" w14:paraId="4F98E82C" w14:textId="77777777" w:rsidTr="00166A40">
                        <w:trPr>
                          <w:trHeight w:val="196"/>
                        </w:trPr>
                        <w:tc>
                          <w:tcPr>
                            <w:tcW w:w="1338" w:type="pct"/>
                            <w:tcBorders>
                              <w:top w:val="nil"/>
                              <w:left w:val="nil"/>
                              <w:bottom w:val="nil"/>
                              <w:right w:val="nil"/>
                            </w:tcBorders>
                            <w:noWrap/>
                            <w:hideMark/>
                          </w:tcPr>
                          <w:p w14:paraId="760E174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Payout Ratio %</w:t>
                            </w:r>
                          </w:p>
                        </w:tc>
                        <w:tc>
                          <w:tcPr>
                            <w:tcW w:w="534" w:type="pct"/>
                            <w:tcBorders>
                              <w:top w:val="nil"/>
                              <w:left w:val="nil"/>
                              <w:bottom w:val="nil"/>
                              <w:right w:val="nil"/>
                            </w:tcBorders>
                            <w:hideMark/>
                          </w:tcPr>
                          <w:p w14:paraId="159F27F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4" w:type="pct"/>
                            <w:tcBorders>
                              <w:top w:val="nil"/>
                              <w:left w:val="nil"/>
                              <w:bottom w:val="nil"/>
                              <w:right w:val="nil"/>
                            </w:tcBorders>
                            <w:hideMark/>
                          </w:tcPr>
                          <w:p w14:paraId="15CC818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5" w:type="pct"/>
                            <w:tcBorders>
                              <w:top w:val="nil"/>
                              <w:left w:val="nil"/>
                              <w:bottom w:val="nil"/>
                              <w:right w:val="nil"/>
                            </w:tcBorders>
                            <w:hideMark/>
                          </w:tcPr>
                          <w:p w14:paraId="6192C3C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6" w:type="pct"/>
                            <w:tcBorders>
                              <w:top w:val="nil"/>
                              <w:left w:val="nil"/>
                              <w:bottom w:val="nil"/>
                              <w:right w:val="nil"/>
                            </w:tcBorders>
                            <w:hideMark/>
                          </w:tcPr>
                          <w:p w14:paraId="566CB28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75" w:type="pct"/>
                            <w:tcBorders>
                              <w:top w:val="nil"/>
                              <w:left w:val="nil"/>
                              <w:bottom w:val="nil"/>
                              <w:right w:val="nil"/>
                            </w:tcBorders>
                            <w:hideMark/>
                          </w:tcPr>
                          <w:p w14:paraId="2309E91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c>
                          <w:tcPr>
                            <w:tcW w:w="538" w:type="pct"/>
                            <w:tcBorders>
                              <w:top w:val="nil"/>
                              <w:left w:val="nil"/>
                              <w:bottom w:val="nil"/>
                              <w:right w:val="nil"/>
                            </w:tcBorders>
                            <w:hideMark/>
                          </w:tcPr>
                          <w:p w14:paraId="4E3F0CF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c>
                          <w:tcPr>
                            <w:tcW w:w="410" w:type="pct"/>
                            <w:tcBorders>
                              <w:top w:val="nil"/>
                              <w:left w:val="nil"/>
                              <w:bottom w:val="nil"/>
                              <w:right w:val="nil"/>
                            </w:tcBorders>
                            <w:hideMark/>
                          </w:tcPr>
                          <w:p w14:paraId="63E126C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38.9% </w:t>
                            </w:r>
                          </w:p>
                        </w:tc>
                      </w:tr>
                      <w:tr w:rsidR="00166A40" w:rsidRPr="00166A40" w14:paraId="3334CAA4" w14:textId="77777777" w:rsidTr="00166A40">
                        <w:trPr>
                          <w:trHeight w:val="196"/>
                        </w:trPr>
                        <w:tc>
                          <w:tcPr>
                            <w:tcW w:w="1338" w:type="pct"/>
                            <w:tcBorders>
                              <w:top w:val="nil"/>
                              <w:left w:val="nil"/>
                              <w:bottom w:val="nil"/>
                              <w:right w:val="nil"/>
                            </w:tcBorders>
                            <w:noWrap/>
                            <w:hideMark/>
                          </w:tcPr>
                          <w:p w14:paraId="380FB7F3"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Shares per Depository Receipt</w:t>
                            </w:r>
                          </w:p>
                        </w:tc>
                        <w:tc>
                          <w:tcPr>
                            <w:tcW w:w="534" w:type="pct"/>
                            <w:tcBorders>
                              <w:top w:val="nil"/>
                              <w:left w:val="nil"/>
                              <w:bottom w:val="nil"/>
                              <w:right w:val="nil"/>
                            </w:tcBorders>
                            <w:hideMark/>
                          </w:tcPr>
                          <w:p w14:paraId="4E10C88F"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4" w:type="pct"/>
                            <w:tcBorders>
                              <w:top w:val="nil"/>
                              <w:left w:val="nil"/>
                              <w:bottom w:val="nil"/>
                              <w:right w:val="nil"/>
                            </w:tcBorders>
                            <w:hideMark/>
                          </w:tcPr>
                          <w:p w14:paraId="74EAE34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5" w:type="pct"/>
                            <w:tcBorders>
                              <w:top w:val="nil"/>
                              <w:left w:val="nil"/>
                              <w:bottom w:val="nil"/>
                              <w:right w:val="nil"/>
                            </w:tcBorders>
                            <w:hideMark/>
                          </w:tcPr>
                          <w:p w14:paraId="721DDFA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6" w:type="pct"/>
                            <w:tcBorders>
                              <w:top w:val="nil"/>
                              <w:left w:val="nil"/>
                              <w:bottom w:val="nil"/>
                              <w:right w:val="nil"/>
                            </w:tcBorders>
                            <w:hideMark/>
                          </w:tcPr>
                          <w:p w14:paraId="7F19E0CE"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75" w:type="pct"/>
                            <w:tcBorders>
                              <w:top w:val="nil"/>
                              <w:left w:val="nil"/>
                              <w:bottom w:val="nil"/>
                              <w:right w:val="nil"/>
                            </w:tcBorders>
                            <w:hideMark/>
                          </w:tcPr>
                          <w:p w14:paraId="1ED248A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538" w:type="pct"/>
                            <w:tcBorders>
                              <w:top w:val="nil"/>
                              <w:left w:val="nil"/>
                              <w:bottom w:val="nil"/>
                              <w:right w:val="nil"/>
                            </w:tcBorders>
                            <w:hideMark/>
                          </w:tcPr>
                          <w:p w14:paraId="043923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c>
                          <w:tcPr>
                            <w:tcW w:w="410" w:type="pct"/>
                            <w:tcBorders>
                              <w:top w:val="nil"/>
                              <w:left w:val="nil"/>
                              <w:bottom w:val="nil"/>
                              <w:right w:val="nil"/>
                            </w:tcBorders>
                            <w:hideMark/>
                          </w:tcPr>
                          <w:p w14:paraId="1F203F9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8.0 </w:t>
                            </w:r>
                          </w:p>
                        </w:tc>
                      </w:tr>
                      <w:tr w:rsidR="00166A40" w:rsidRPr="00166A40" w14:paraId="5EDB1FD6" w14:textId="77777777" w:rsidTr="00166A40">
                        <w:trPr>
                          <w:trHeight w:val="196"/>
                        </w:trPr>
                        <w:tc>
                          <w:tcPr>
                            <w:tcW w:w="1338" w:type="pct"/>
                            <w:tcBorders>
                              <w:top w:val="nil"/>
                              <w:left w:val="nil"/>
                              <w:bottom w:val="nil"/>
                              <w:right w:val="nil"/>
                            </w:tcBorders>
                            <w:noWrap/>
                            <w:hideMark/>
                          </w:tcPr>
                          <w:p w14:paraId="0B4ECB4D"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r w:rsidRPr="00166A40">
                              <w:rPr>
                                <w:rFonts w:ascii="Cambria" w:eastAsia="Times New Roman" w:hAnsi="Cambria" w:cs="Arial"/>
                                <w:b/>
                                <w:bCs/>
                                <w:color w:val="000000"/>
                                <w:kern w:val="0"/>
                                <w:sz w:val="14"/>
                                <w:szCs w:val="14"/>
                                <w:lang w:eastAsia="en-IN"/>
                                <w14:ligatures w14:val="none"/>
                              </w:rPr>
                              <w:t>Supplemental Items</w:t>
                            </w:r>
                          </w:p>
                        </w:tc>
                        <w:tc>
                          <w:tcPr>
                            <w:tcW w:w="534" w:type="pct"/>
                            <w:tcBorders>
                              <w:top w:val="nil"/>
                              <w:left w:val="nil"/>
                              <w:bottom w:val="nil"/>
                              <w:right w:val="nil"/>
                            </w:tcBorders>
                            <w:noWrap/>
                            <w:hideMark/>
                          </w:tcPr>
                          <w:p w14:paraId="68D9F4A7" w14:textId="77777777" w:rsidR="00166A40" w:rsidRPr="00166A40" w:rsidRDefault="00166A40" w:rsidP="00166A40">
                            <w:pPr>
                              <w:spacing w:after="0" w:line="240" w:lineRule="auto"/>
                              <w:rPr>
                                <w:rFonts w:ascii="Cambria" w:eastAsia="Times New Roman" w:hAnsi="Cambria" w:cs="Arial"/>
                                <w:b/>
                                <w:bCs/>
                                <w:color w:val="000000"/>
                                <w:kern w:val="0"/>
                                <w:sz w:val="14"/>
                                <w:szCs w:val="14"/>
                                <w:lang w:eastAsia="en-IN"/>
                                <w14:ligatures w14:val="none"/>
                              </w:rPr>
                            </w:pPr>
                          </w:p>
                        </w:tc>
                        <w:tc>
                          <w:tcPr>
                            <w:tcW w:w="534" w:type="pct"/>
                            <w:tcBorders>
                              <w:top w:val="nil"/>
                              <w:left w:val="nil"/>
                              <w:bottom w:val="nil"/>
                              <w:right w:val="nil"/>
                            </w:tcBorders>
                            <w:noWrap/>
                            <w:hideMark/>
                          </w:tcPr>
                          <w:p w14:paraId="0C8BA6E7"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5" w:type="pct"/>
                            <w:tcBorders>
                              <w:top w:val="nil"/>
                              <w:left w:val="nil"/>
                              <w:bottom w:val="nil"/>
                              <w:right w:val="nil"/>
                            </w:tcBorders>
                            <w:noWrap/>
                            <w:hideMark/>
                          </w:tcPr>
                          <w:p w14:paraId="648EA58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6" w:type="pct"/>
                            <w:tcBorders>
                              <w:top w:val="nil"/>
                              <w:left w:val="nil"/>
                              <w:bottom w:val="nil"/>
                              <w:right w:val="nil"/>
                            </w:tcBorders>
                            <w:noWrap/>
                            <w:hideMark/>
                          </w:tcPr>
                          <w:p w14:paraId="4F716CC2"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75" w:type="pct"/>
                            <w:tcBorders>
                              <w:top w:val="nil"/>
                              <w:left w:val="nil"/>
                              <w:bottom w:val="nil"/>
                              <w:right w:val="nil"/>
                            </w:tcBorders>
                            <w:noWrap/>
                            <w:hideMark/>
                          </w:tcPr>
                          <w:p w14:paraId="4D662F35"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538" w:type="pct"/>
                            <w:tcBorders>
                              <w:top w:val="nil"/>
                              <w:left w:val="nil"/>
                              <w:bottom w:val="nil"/>
                              <w:right w:val="nil"/>
                            </w:tcBorders>
                            <w:noWrap/>
                            <w:hideMark/>
                          </w:tcPr>
                          <w:p w14:paraId="642DF133"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c>
                          <w:tcPr>
                            <w:tcW w:w="410" w:type="pct"/>
                            <w:tcBorders>
                              <w:top w:val="nil"/>
                              <w:left w:val="nil"/>
                              <w:bottom w:val="nil"/>
                              <w:right w:val="nil"/>
                            </w:tcBorders>
                            <w:noWrap/>
                            <w:hideMark/>
                          </w:tcPr>
                          <w:p w14:paraId="518B0F69" w14:textId="77777777" w:rsidR="00166A40" w:rsidRPr="00166A40" w:rsidRDefault="00166A40" w:rsidP="00166A40">
                            <w:pPr>
                              <w:spacing w:after="0" w:line="240" w:lineRule="auto"/>
                              <w:rPr>
                                <w:rFonts w:ascii="Cambria" w:eastAsia="Times New Roman" w:hAnsi="Cambria" w:cs="Times New Roman"/>
                                <w:kern w:val="0"/>
                                <w:sz w:val="14"/>
                                <w:szCs w:val="14"/>
                                <w:lang w:eastAsia="en-IN"/>
                                <w14:ligatures w14:val="none"/>
                              </w:rPr>
                            </w:pPr>
                          </w:p>
                        </w:tc>
                      </w:tr>
                      <w:tr w:rsidR="00166A40" w:rsidRPr="00166A40" w14:paraId="0119F4BA" w14:textId="77777777" w:rsidTr="00166A40">
                        <w:trPr>
                          <w:trHeight w:val="196"/>
                        </w:trPr>
                        <w:tc>
                          <w:tcPr>
                            <w:tcW w:w="1338" w:type="pct"/>
                            <w:tcBorders>
                              <w:top w:val="nil"/>
                              <w:left w:val="nil"/>
                              <w:bottom w:val="nil"/>
                              <w:right w:val="nil"/>
                            </w:tcBorders>
                            <w:noWrap/>
                            <w:hideMark/>
                          </w:tcPr>
                          <w:p w14:paraId="176135C7"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EBITDA</w:t>
                            </w:r>
                          </w:p>
                        </w:tc>
                        <w:tc>
                          <w:tcPr>
                            <w:tcW w:w="534" w:type="pct"/>
                            <w:tcBorders>
                              <w:top w:val="nil"/>
                              <w:left w:val="nil"/>
                              <w:bottom w:val="nil"/>
                              <w:right w:val="nil"/>
                            </w:tcBorders>
                            <w:hideMark/>
                          </w:tcPr>
                          <w:p w14:paraId="0758CF6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14.7 </w:t>
                            </w:r>
                          </w:p>
                        </w:tc>
                        <w:tc>
                          <w:tcPr>
                            <w:tcW w:w="534" w:type="pct"/>
                            <w:tcBorders>
                              <w:top w:val="nil"/>
                              <w:left w:val="nil"/>
                              <w:bottom w:val="nil"/>
                              <w:right w:val="nil"/>
                            </w:tcBorders>
                            <w:hideMark/>
                          </w:tcPr>
                          <w:p w14:paraId="7518D65D"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19.5 </w:t>
                            </w:r>
                          </w:p>
                        </w:tc>
                        <w:tc>
                          <w:tcPr>
                            <w:tcW w:w="535" w:type="pct"/>
                            <w:tcBorders>
                              <w:top w:val="nil"/>
                              <w:left w:val="nil"/>
                              <w:bottom w:val="nil"/>
                              <w:right w:val="nil"/>
                            </w:tcBorders>
                            <w:hideMark/>
                          </w:tcPr>
                          <w:p w14:paraId="54E49FF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24.0 </w:t>
                            </w:r>
                          </w:p>
                        </w:tc>
                        <w:tc>
                          <w:tcPr>
                            <w:tcW w:w="536" w:type="pct"/>
                            <w:tcBorders>
                              <w:top w:val="nil"/>
                              <w:left w:val="nil"/>
                              <w:bottom w:val="nil"/>
                              <w:right w:val="nil"/>
                            </w:tcBorders>
                            <w:hideMark/>
                          </w:tcPr>
                          <w:p w14:paraId="61DA0CC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22.8 </w:t>
                            </w:r>
                          </w:p>
                        </w:tc>
                        <w:tc>
                          <w:tcPr>
                            <w:tcW w:w="575" w:type="pct"/>
                            <w:tcBorders>
                              <w:top w:val="nil"/>
                              <w:left w:val="nil"/>
                              <w:bottom w:val="nil"/>
                              <w:right w:val="nil"/>
                            </w:tcBorders>
                            <w:hideMark/>
                          </w:tcPr>
                          <w:p w14:paraId="052897F8"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c>
                          <w:tcPr>
                            <w:tcW w:w="538" w:type="pct"/>
                            <w:tcBorders>
                              <w:top w:val="nil"/>
                              <w:left w:val="nil"/>
                              <w:bottom w:val="nil"/>
                              <w:right w:val="nil"/>
                            </w:tcBorders>
                            <w:hideMark/>
                          </w:tcPr>
                          <w:p w14:paraId="015AB3A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25.4 </w:t>
                            </w:r>
                          </w:p>
                        </w:tc>
                        <w:tc>
                          <w:tcPr>
                            <w:tcW w:w="410" w:type="pct"/>
                            <w:tcBorders>
                              <w:top w:val="nil"/>
                              <w:left w:val="nil"/>
                              <w:bottom w:val="nil"/>
                              <w:right w:val="nil"/>
                            </w:tcBorders>
                            <w:hideMark/>
                          </w:tcPr>
                          <w:p w14:paraId="0FA9D34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26.1 </w:t>
                            </w:r>
                          </w:p>
                        </w:tc>
                      </w:tr>
                      <w:tr w:rsidR="00166A40" w:rsidRPr="00166A40" w14:paraId="3ACAC130" w14:textId="77777777" w:rsidTr="00166A40">
                        <w:trPr>
                          <w:trHeight w:val="196"/>
                        </w:trPr>
                        <w:tc>
                          <w:tcPr>
                            <w:tcW w:w="1338" w:type="pct"/>
                            <w:tcBorders>
                              <w:top w:val="nil"/>
                              <w:left w:val="nil"/>
                              <w:bottom w:val="nil"/>
                              <w:right w:val="nil"/>
                            </w:tcBorders>
                            <w:noWrap/>
                            <w:hideMark/>
                          </w:tcPr>
                          <w:p w14:paraId="5BCE4492"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EBITA</w:t>
                            </w:r>
                          </w:p>
                        </w:tc>
                        <w:tc>
                          <w:tcPr>
                            <w:tcW w:w="534" w:type="pct"/>
                            <w:tcBorders>
                              <w:top w:val="nil"/>
                              <w:left w:val="nil"/>
                              <w:bottom w:val="nil"/>
                              <w:right w:val="nil"/>
                            </w:tcBorders>
                            <w:hideMark/>
                          </w:tcPr>
                          <w:p w14:paraId="132971B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12.5 </w:t>
                            </w:r>
                          </w:p>
                        </w:tc>
                        <w:tc>
                          <w:tcPr>
                            <w:tcW w:w="534" w:type="pct"/>
                            <w:tcBorders>
                              <w:top w:val="nil"/>
                              <w:left w:val="nil"/>
                              <w:bottom w:val="nil"/>
                              <w:right w:val="nil"/>
                            </w:tcBorders>
                            <w:hideMark/>
                          </w:tcPr>
                          <w:p w14:paraId="37FB561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16.6 </w:t>
                            </w:r>
                          </w:p>
                        </w:tc>
                        <w:tc>
                          <w:tcPr>
                            <w:tcW w:w="535" w:type="pct"/>
                            <w:tcBorders>
                              <w:top w:val="nil"/>
                              <w:left w:val="nil"/>
                              <w:bottom w:val="nil"/>
                              <w:right w:val="nil"/>
                            </w:tcBorders>
                            <w:hideMark/>
                          </w:tcPr>
                          <w:p w14:paraId="4021779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20.0 </w:t>
                            </w:r>
                          </w:p>
                        </w:tc>
                        <w:tc>
                          <w:tcPr>
                            <w:tcW w:w="536" w:type="pct"/>
                            <w:tcBorders>
                              <w:top w:val="nil"/>
                              <w:left w:val="nil"/>
                              <w:bottom w:val="nil"/>
                              <w:right w:val="nil"/>
                            </w:tcBorders>
                            <w:hideMark/>
                          </w:tcPr>
                          <w:p w14:paraId="5EF56BD0"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18.4 </w:t>
                            </w:r>
                          </w:p>
                        </w:tc>
                        <w:tc>
                          <w:tcPr>
                            <w:tcW w:w="575" w:type="pct"/>
                            <w:tcBorders>
                              <w:top w:val="nil"/>
                              <w:left w:val="nil"/>
                              <w:bottom w:val="nil"/>
                              <w:right w:val="nil"/>
                            </w:tcBorders>
                            <w:hideMark/>
                          </w:tcPr>
                          <w:p w14:paraId="0835FEDB"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18.4 </w:t>
                            </w:r>
                          </w:p>
                        </w:tc>
                        <w:tc>
                          <w:tcPr>
                            <w:tcW w:w="538" w:type="pct"/>
                            <w:tcBorders>
                              <w:top w:val="nil"/>
                              <w:left w:val="nil"/>
                              <w:bottom w:val="nil"/>
                              <w:right w:val="nil"/>
                            </w:tcBorders>
                            <w:hideMark/>
                          </w:tcPr>
                          <w:p w14:paraId="1A7EC77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21.7 </w:t>
                            </w:r>
                          </w:p>
                        </w:tc>
                        <w:tc>
                          <w:tcPr>
                            <w:tcW w:w="410" w:type="pct"/>
                            <w:tcBorders>
                              <w:top w:val="nil"/>
                              <w:left w:val="nil"/>
                              <w:bottom w:val="nil"/>
                              <w:right w:val="nil"/>
                            </w:tcBorders>
                            <w:hideMark/>
                          </w:tcPr>
                          <w:p w14:paraId="0CB5F02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22.4 </w:t>
                            </w:r>
                          </w:p>
                        </w:tc>
                      </w:tr>
                      <w:tr w:rsidR="00166A40" w:rsidRPr="00166A40" w14:paraId="28E6076D" w14:textId="77777777" w:rsidTr="00166A40">
                        <w:trPr>
                          <w:trHeight w:val="196"/>
                        </w:trPr>
                        <w:tc>
                          <w:tcPr>
                            <w:tcW w:w="1338" w:type="pct"/>
                            <w:tcBorders>
                              <w:top w:val="nil"/>
                              <w:left w:val="nil"/>
                              <w:bottom w:val="nil"/>
                              <w:right w:val="nil"/>
                            </w:tcBorders>
                            <w:noWrap/>
                            <w:hideMark/>
                          </w:tcPr>
                          <w:p w14:paraId="0F62310C"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w:t>
                            </w:r>
                          </w:p>
                        </w:tc>
                        <w:tc>
                          <w:tcPr>
                            <w:tcW w:w="534" w:type="pct"/>
                            <w:tcBorders>
                              <w:top w:val="nil"/>
                              <w:left w:val="nil"/>
                              <w:bottom w:val="nil"/>
                              <w:right w:val="nil"/>
                            </w:tcBorders>
                            <w:hideMark/>
                          </w:tcPr>
                          <w:p w14:paraId="45004E55"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9.2 </w:t>
                            </w:r>
                          </w:p>
                        </w:tc>
                        <w:tc>
                          <w:tcPr>
                            <w:tcW w:w="534" w:type="pct"/>
                            <w:tcBorders>
                              <w:top w:val="nil"/>
                              <w:left w:val="nil"/>
                              <w:bottom w:val="nil"/>
                              <w:right w:val="nil"/>
                            </w:tcBorders>
                            <w:hideMark/>
                          </w:tcPr>
                          <w:p w14:paraId="37C9FCD4"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13.5 </w:t>
                            </w:r>
                          </w:p>
                        </w:tc>
                        <w:tc>
                          <w:tcPr>
                            <w:tcW w:w="535" w:type="pct"/>
                            <w:tcBorders>
                              <w:top w:val="nil"/>
                              <w:left w:val="nil"/>
                              <w:bottom w:val="nil"/>
                              <w:right w:val="nil"/>
                            </w:tcBorders>
                            <w:hideMark/>
                          </w:tcPr>
                          <w:p w14:paraId="5AF524B6"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16.7 </w:t>
                            </w:r>
                          </w:p>
                        </w:tc>
                        <w:tc>
                          <w:tcPr>
                            <w:tcW w:w="536" w:type="pct"/>
                            <w:tcBorders>
                              <w:top w:val="nil"/>
                              <w:left w:val="nil"/>
                              <w:bottom w:val="nil"/>
                              <w:right w:val="nil"/>
                            </w:tcBorders>
                            <w:hideMark/>
                          </w:tcPr>
                          <w:p w14:paraId="098E2FD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15.2 </w:t>
                            </w:r>
                          </w:p>
                        </w:tc>
                        <w:tc>
                          <w:tcPr>
                            <w:tcW w:w="575" w:type="pct"/>
                            <w:tcBorders>
                              <w:top w:val="nil"/>
                              <w:left w:val="nil"/>
                              <w:bottom w:val="nil"/>
                              <w:right w:val="nil"/>
                            </w:tcBorders>
                            <w:hideMark/>
                          </w:tcPr>
                          <w:p w14:paraId="2ECDF6CA"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15.6 </w:t>
                            </w:r>
                          </w:p>
                        </w:tc>
                        <w:tc>
                          <w:tcPr>
                            <w:tcW w:w="538" w:type="pct"/>
                            <w:tcBorders>
                              <w:top w:val="nil"/>
                              <w:left w:val="nil"/>
                              <w:bottom w:val="nil"/>
                              <w:right w:val="nil"/>
                            </w:tcBorders>
                            <w:hideMark/>
                          </w:tcPr>
                          <w:p w14:paraId="2E81794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19.2 </w:t>
                            </w:r>
                          </w:p>
                        </w:tc>
                        <w:tc>
                          <w:tcPr>
                            <w:tcW w:w="410" w:type="pct"/>
                            <w:tcBorders>
                              <w:top w:val="nil"/>
                              <w:left w:val="nil"/>
                              <w:bottom w:val="nil"/>
                              <w:right w:val="nil"/>
                            </w:tcBorders>
                            <w:hideMark/>
                          </w:tcPr>
                          <w:p w14:paraId="38156C3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20.3 </w:t>
                            </w:r>
                          </w:p>
                        </w:tc>
                      </w:tr>
                      <w:tr w:rsidR="00166A40" w:rsidRPr="00166A40" w14:paraId="12D2C4AF" w14:textId="77777777" w:rsidTr="00166A40">
                        <w:trPr>
                          <w:trHeight w:val="196"/>
                        </w:trPr>
                        <w:tc>
                          <w:tcPr>
                            <w:tcW w:w="1338" w:type="pct"/>
                            <w:tcBorders>
                              <w:top w:val="nil"/>
                              <w:left w:val="nil"/>
                              <w:bottom w:val="nil"/>
                              <w:right w:val="nil"/>
                            </w:tcBorders>
                            <w:noWrap/>
                            <w:hideMark/>
                          </w:tcPr>
                          <w:p w14:paraId="1BB79AF8" w14:textId="77777777" w:rsidR="00166A40" w:rsidRPr="00166A40" w:rsidRDefault="00166A40" w:rsidP="00166A40">
                            <w:pPr>
                              <w:spacing w:after="0" w:line="240" w:lineRule="auto"/>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EBITDAR</w:t>
                            </w:r>
                          </w:p>
                        </w:tc>
                        <w:tc>
                          <w:tcPr>
                            <w:tcW w:w="534" w:type="pct"/>
                            <w:tcBorders>
                              <w:top w:val="nil"/>
                              <w:left w:val="nil"/>
                              <w:bottom w:val="nil"/>
                              <w:right w:val="nil"/>
                            </w:tcBorders>
                            <w:hideMark/>
                          </w:tcPr>
                          <w:p w14:paraId="6DC0E2A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15.4 </w:t>
                            </w:r>
                          </w:p>
                        </w:tc>
                        <w:tc>
                          <w:tcPr>
                            <w:tcW w:w="534" w:type="pct"/>
                            <w:tcBorders>
                              <w:top w:val="nil"/>
                              <w:left w:val="nil"/>
                              <w:bottom w:val="nil"/>
                              <w:right w:val="nil"/>
                            </w:tcBorders>
                            <w:hideMark/>
                          </w:tcPr>
                          <w:p w14:paraId="1BC4E4BC"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20.2 </w:t>
                            </w:r>
                          </w:p>
                        </w:tc>
                        <w:tc>
                          <w:tcPr>
                            <w:tcW w:w="535" w:type="pct"/>
                            <w:tcBorders>
                              <w:top w:val="nil"/>
                              <w:left w:val="nil"/>
                              <w:bottom w:val="nil"/>
                              <w:right w:val="nil"/>
                            </w:tcBorders>
                            <w:hideMark/>
                          </w:tcPr>
                          <w:p w14:paraId="6B87CAB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25.1 </w:t>
                            </w:r>
                          </w:p>
                        </w:tc>
                        <w:tc>
                          <w:tcPr>
                            <w:tcW w:w="536" w:type="pct"/>
                            <w:tcBorders>
                              <w:top w:val="nil"/>
                              <w:left w:val="nil"/>
                              <w:bottom w:val="nil"/>
                              <w:right w:val="nil"/>
                            </w:tcBorders>
                            <w:hideMark/>
                          </w:tcPr>
                          <w:p w14:paraId="53781D07"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24.7 </w:t>
                            </w:r>
                          </w:p>
                        </w:tc>
                        <w:tc>
                          <w:tcPr>
                            <w:tcW w:w="575" w:type="pct"/>
                            <w:tcBorders>
                              <w:top w:val="nil"/>
                              <w:left w:val="nil"/>
                              <w:bottom w:val="nil"/>
                              <w:right w:val="nil"/>
                            </w:tcBorders>
                            <w:hideMark/>
                          </w:tcPr>
                          <w:p w14:paraId="41FE73E1"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24.1 </w:t>
                            </w:r>
                          </w:p>
                        </w:tc>
                        <w:tc>
                          <w:tcPr>
                            <w:tcW w:w="538" w:type="pct"/>
                            <w:tcBorders>
                              <w:top w:val="nil"/>
                              <w:left w:val="nil"/>
                              <w:bottom w:val="nil"/>
                              <w:right w:val="nil"/>
                            </w:tcBorders>
                            <w:hideMark/>
                          </w:tcPr>
                          <w:p w14:paraId="59B04C83"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 xml:space="preserve">                        27.0 </w:t>
                            </w:r>
                          </w:p>
                        </w:tc>
                        <w:tc>
                          <w:tcPr>
                            <w:tcW w:w="410" w:type="pct"/>
                            <w:tcBorders>
                              <w:top w:val="nil"/>
                              <w:left w:val="nil"/>
                              <w:bottom w:val="nil"/>
                              <w:right w:val="nil"/>
                            </w:tcBorders>
                            <w:hideMark/>
                          </w:tcPr>
                          <w:p w14:paraId="5B742C42" w14:textId="77777777" w:rsidR="00166A40" w:rsidRPr="00166A40" w:rsidRDefault="00166A40" w:rsidP="00166A40">
                            <w:pPr>
                              <w:spacing w:after="0" w:line="240" w:lineRule="auto"/>
                              <w:jc w:val="right"/>
                              <w:rPr>
                                <w:rFonts w:ascii="Cambria" w:eastAsia="Times New Roman" w:hAnsi="Cambria" w:cs="Arial"/>
                                <w:color w:val="000000"/>
                                <w:kern w:val="0"/>
                                <w:sz w:val="14"/>
                                <w:szCs w:val="14"/>
                                <w:lang w:eastAsia="en-IN"/>
                                <w14:ligatures w14:val="none"/>
                              </w:rPr>
                            </w:pPr>
                            <w:r w:rsidRPr="00166A40">
                              <w:rPr>
                                <w:rFonts w:ascii="Cambria" w:eastAsia="Times New Roman" w:hAnsi="Cambria" w:cs="Arial"/>
                                <w:color w:val="000000"/>
                                <w:kern w:val="0"/>
                                <w:sz w:val="14"/>
                                <w:szCs w:val="14"/>
                                <w:lang w:eastAsia="en-IN"/>
                                <w14:ligatures w14:val="none"/>
                              </w:rPr>
                              <w:t>NA</w:t>
                            </w:r>
                          </w:p>
                        </w:tc>
                      </w:tr>
                    </w:tbl>
                    <w:p w14:paraId="14246DDC" w14:textId="0E81D554" w:rsidR="00166A40" w:rsidRDefault="00166A40"/>
                  </w:txbxContent>
                </v:textbox>
                <w10:wrap type="square" anchorx="margin"/>
              </v:shape>
            </w:pict>
          </mc:Fallback>
        </mc:AlternateContent>
      </w:r>
      <w:r w:rsidR="00166A40" w:rsidRPr="00456405">
        <w:rPr>
          <w:rFonts w:ascii="Cambria" w:hAnsi="Cambria"/>
          <w:b/>
          <w:bCs/>
          <w:sz w:val="24"/>
          <w:szCs w:val="24"/>
        </w:rPr>
        <w:br/>
      </w:r>
      <w:r w:rsidR="00D952E2" w:rsidRPr="00456405">
        <w:rPr>
          <w:rFonts w:ascii="Cambria" w:hAnsi="Cambria"/>
          <w:b/>
          <w:bCs/>
          <w:noProof/>
          <w:sz w:val="24"/>
          <w:szCs w:val="24"/>
        </w:rPr>
        <w:lastRenderedPageBreak/>
        <mc:AlternateContent>
          <mc:Choice Requires="wps">
            <w:drawing>
              <wp:anchor distT="45720" distB="45720" distL="114300" distR="114300" simplePos="0" relativeHeight="251724800" behindDoc="0" locked="0" layoutInCell="1" allowOverlap="1" wp14:anchorId="67CD365A" wp14:editId="2FB50DAD">
                <wp:simplePos x="0" y="0"/>
                <wp:positionH relativeFrom="margin">
                  <wp:align>right</wp:align>
                </wp:positionH>
                <wp:positionV relativeFrom="paragraph">
                  <wp:posOffset>0</wp:posOffset>
                </wp:positionV>
                <wp:extent cx="6164580" cy="9006840"/>
                <wp:effectExtent l="0" t="0" r="7620" b="3810"/>
                <wp:wrapSquare wrapText="bothSides"/>
                <wp:docPr id="1781305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900684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075"/>
                              <w:gridCol w:w="1048"/>
                              <w:gridCol w:w="1048"/>
                              <w:gridCol w:w="1048"/>
                              <w:gridCol w:w="1049"/>
                              <w:gridCol w:w="1049"/>
                              <w:gridCol w:w="1055"/>
                              <w:gridCol w:w="1049"/>
                            </w:tblGrid>
                            <w:tr w:rsidR="00B43A9E" w:rsidRPr="00B43A9E" w14:paraId="6C2D21CF" w14:textId="77777777" w:rsidTr="00B43A9E">
                              <w:trPr>
                                <w:trHeight w:val="324"/>
                              </w:trPr>
                              <w:tc>
                                <w:tcPr>
                                  <w:tcW w:w="4424" w:type="pct"/>
                                  <w:gridSpan w:val="7"/>
                                  <w:tcBorders>
                                    <w:top w:val="nil"/>
                                    <w:left w:val="nil"/>
                                    <w:bottom w:val="nil"/>
                                    <w:right w:val="nil"/>
                                  </w:tcBorders>
                                  <w:noWrap/>
                                  <w:vAlign w:val="bottom"/>
                                  <w:hideMark/>
                                </w:tcPr>
                                <w:p w14:paraId="39A7440B" w14:textId="77777777" w:rsidR="00B43A9E" w:rsidRPr="00F04992"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Alibaba Group Holding Limited (</w:t>
                                  </w:r>
                                  <w:r w:rsidRPr="00B43A9E">
                                    <w:rPr>
                                      <w:rFonts w:ascii="Cambria" w:eastAsia="Times New Roman" w:hAnsi="Cambria" w:cs="Arial"/>
                                      <w:b/>
                                      <w:bCs/>
                                      <w:color w:val="000000"/>
                                      <w:kern w:val="0"/>
                                      <w:sz w:val="12"/>
                                      <w:szCs w:val="12"/>
                                      <w:lang w:eastAsia="en-IN"/>
                                      <w14:ligatures w14:val="none"/>
                                    </w:rPr>
                                    <w:t>NYSE:BABA) &gt; Financials &gt; Balance Sheet</w:t>
                                  </w:r>
                                </w:p>
                                <w:p w14:paraId="4FFDDD1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vAlign w:val="bottom"/>
                                  <w:hideMark/>
                                </w:tcPr>
                                <w:p w14:paraId="59174133"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r>
                            <w:tr w:rsidR="00B43A9E" w:rsidRPr="00F04992" w14:paraId="640B9C59" w14:textId="77777777" w:rsidTr="00B43A9E">
                              <w:trPr>
                                <w:trHeight w:val="204"/>
                              </w:trPr>
                              <w:tc>
                                <w:tcPr>
                                  <w:tcW w:w="965" w:type="pct"/>
                                  <w:tcBorders>
                                    <w:top w:val="nil"/>
                                    <w:left w:val="nil"/>
                                    <w:bottom w:val="nil"/>
                                    <w:right w:val="nil"/>
                                  </w:tcBorders>
                                  <w:shd w:val="clear" w:color="000000" w:fill="003366"/>
                                  <w:noWrap/>
                                  <w:vAlign w:val="bottom"/>
                                  <w:hideMark/>
                                </w:tcPr>
                                <w:p w14:paraId="1A76EBB3"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Balance Sheet</w:t>
                                  </w:r>
                                </w:p>
                              </w:tc>
                              <w:tc>
                                <w:tcPr>
                                  <w:tcW w:w="576" w:type="pct"/>
                                  <w:tcBorders>
                                    <w:top w:val="nil"/>
                                    <w:left w:val="nil"/>
                                    <w:bottom w:val="nil"/>
                                    <w:right w:val="nil"/>
                                  </w:tcBorders>
                                  <w:shd w:val="clear" w:color="000000" w:fill="003366"/>
                                  <w:noWrap/>
                                  <w:vAlign w:val="bottom"/>
                                  <w:hideMark/>
                                </w:tcPr>
                                <w:p w14:paraId="5F3D0246"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428D25E0"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3BF2D22D"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6D75CCFB"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5B45A1B5"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19598595"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1A665D07"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r>
                            <w:tr w:rsidR="00B43A9E" w:rsidRPr="00F04992" w14:paraId="489646C6" w14:textId="77777777" w:rsidTr="00B43A9E">
                              <w:trPr>
                                <w:trHeight w:val="408"/>
                              </w:trPr>
                              <w:tc>
                                <w:tcPr>
                                  <w:tcW w:w="965" w:type="pct"/>
                                  <w:tcBorders>
                                    <w:top w:val="nil"/>
                                    <w:left w:val="nil"/>
                                    <w:bottom w:val="nil"/>
                                    <w:right w:val="nil"/>
                                  </w:tcBorders>
                                  <w:shd w:val="clear" w:color="000000" w:fill="F0F0DC"/>
                                  <w:vAlign w:val="bottom"/>
                                  <w:hideMark/>
                                </w:tcPr>
                                <w:p w14:paraId="2C79F520"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Balance Sheet as of:</w:t>
                                  </w:r>
                                </w:p>
                              </w:tc>
                              <w:tc>
                                <w:tcPr>
                                  <w:tcW w:w="576" w:type="pct"/>
                                  <w:tcBorders>
                                    <w:top w:val="nil"/>
                                    <w:left w:val="nil"/>
                                    <w:bottom w:val="nil"/>
                                    <w:right w:val="nil"/>
                                  </w:tcBorders>
                                  <w:shd w:val="clear" w:color="000000" w:fill="F0F0DC"/>
                                  <w:vAlign w:val="bottom"/>
                                  <w:hideMark/>
                                </w:tcPr>
                                <w:p w14:paraId="5DBD8A9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Mar-31-2019</w:t>
                                  </w:r>
                                </w:p>
                              </w:tc>
                              <w:tc>
                                <w:tcPr>
                                  <w:tcW w:w="576" w:type="pct"/>
                                  <w:tcBorders>
                                    <w:top w:val="nil"/>
                                    <w:left w:val="nil"/>
                                    <w:bottom w:val="nil"/>
                                    <w:right w:val="nil"/>
                                  </w:tcBorders>
                                  <w:shd w:val="clear" w:color="000000" w:fill="F0F0DC"/>
                                  <w:vAlign w:val="bottom"/>
                                  <w:hideMark/>
                                </w:tcPr>
                                <w:p w14:paraId="4B7AA50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Mar-31-2020</w:t>
                                  </w:r>
                                </w:p>
                              </w:tc>
                              <w:tc>
                                <w:tcPr>
                                  <w:tcW w:w="576" w:type="pct"/>
                                  <w:tcBorders>
                                    <w:top w:val="nil"/>
                                    <w:left w:val="nil"/>
                                    <w:bottom w:val="nil"/>
                                    <w:right w:val="nil"/>
                                  </w:tcBorders>
                                  <w:shd w:val="clear" w:color="000000" w:fill="F0F0DC"/>
                                  <w:vAlign w:val="bottom"/>
                                  <w:hideMark/>
                                </w:tcPr>
                                <w:p w14:paraId="3B193B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Mar-31-2021</w:t>
                                  </w:r>
                                </w:p>
                              </w:tc>
                              <w:tc>
                                <w:tcPr>
                                  <w:tcW w:w="576" w:type="pct"/>
                                  <w:tcBorders>
                                    <w:top w:val="nil"/>
                                    <w:left w:val="nil"/>
                                    <w:bottom w:val="nil"/>
                                    <w:right w:val="nil"/>
                                  </w:tcBorders>
                                  <w:shd w:val="clear" w:color="000000" w:fill="F0F0DC"/>
                                  <w:vAlign w:val="bottom"/>
                                  <w:hideMark/>
                                </w:tcPr>
                                <w:p w14:paraId="521EE87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Mar-31-2022</w:t>
                                  </w:r>
                                </w:p>
                              </w:tc>
                              <w:tc>
                                <w:tcPr>
                                  <w:tcW w:w="576" w:type="pct"/>
                                  <w:tcBorders>
                                    <w:top w:val="nil"/>
                                    <w:left w:val="nil"/>
                                    <w:bottom w:val="nil"/>
                                    <w:right w:val="nil"/>
                                  </w:tcBorders>
                                  <w:shd w:val="clear" w:color="000000" w:fill="F0F0DC"/>
                                  <w:vAlign w:val="bottom"/>
                                  <w:hideMark/>
                                </w:tcPr>
                                <w:p w14:paraId="06CA219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Mar-31-2023</w:t>
                                  </w:r>
                                </w:p>
                              </w:tc>
                              <w:tc>
                                <w:tcPr>
                                  <w:tcW w:w="576" w:type="pct"/>
                                  <w:tcBorders>
                                    <w:top w:val="nil"/>
                                    <w:left w:val="nil"/>
                                    <w:bottom w:val="nil"/>
                                    <w:right w:val="nil"/>
                                  </w:tcBorders>
                                  <w:shd w:val="clear" w:color="000000" w:fill="F0F0DC"/>
                                  <w:vAlign w:val="bottom"/>
                                  <w:hideMark/>
                                </w:tcPr>
                                <w:p w14:paraId="13773B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Mar-31-2024</w:t>
                                  </w:r>
                                </w:p>
                              </w:tc>
                              <w:tc>
                                <w:tcPr>
                                  <w:tcW w:w="576" w:type="pct"/>
                                  <w:tcBorders>
                                    <w:top w:val="nil"/>
                                    <w:left w:val="nil"/>
                                    <w:bottom w:val="nil"/>
                                    <w:right w:val="nil"/>
                                  </w:tcBorders>
                                  <w:shd w:val="clear" w:color="000000" w:fill="F0F0DC"/>
                                  <w:vAlign w:val="bottom"/>
                                  <w:hideMark/>
                                </w:tcPr>
                                <w:p w14:paraId="6044C06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Dec-31-2024</w:t>
                                  </w:r>
                                </w:p>
                              </w:tc>
                            </w:tr>
                            <w:tr w:rsidR="00B43A9E" w:rsidRPr="00F04992" w14:paraId="74C97902" w14:textId="77777777" w:rsidTr="00B43A9E">
                              <w:trPr>
                                <w:trHeight w:val="204"/>
                              </w:trPr>
                              <w:tc>
                                <w:tcPr>
                                  <w:tcW w:w="965" w:type="pct"/>
                                  <w:tcBorders>
                                    <w:top w:val="nil"/>
                                    <w:left w:val="nil"/>
                                    <w:bottom w:val="nil"/>
                                    <w:right w:val="nil"/>
                                  </w:tcBorders>
                                  <w:shd w:val="clear" w:color="000000" w:fill="F0F0DC"/>
                                  <w:vAlign w:val="bottom"/>
                                  <w:hideMark/>
                                </w:tcPr>
                                <w:p w14:paraId="4825F079" w14:textId="77777777" w:rsidR="00B43A9E" w:rsidRPr="00B43A9E" w:rsidRDefault="00B43A9E" w:rsidP="00B43A9E">
                                  <w:pPr>
                                    <w:spacing w:after="0" w:line="240" w:lineRule="auto"/>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Currency</w:t>
                                  </w:r>
                                </w:p>
                              </w:tc>
                              <w:tc>
                                <w:tcPr>
                                  <w:tcW w:w="576" w:type="pct"/>
                                  <w:tcBorders>
                                    <w:top w:val="nil"/>
                                    <w:left w:val="nil"/>
                                    <w:bottom w:val="nil"/>
                                    <w:right w:val="nil"/>
                                  </w:tcBorders>
                                  <w:shd w:val="clear" w:color="000000" w:fill="F0F0DC"/>
                                  <w:vAlign w:val="bottom"/>
                                  <w:hideMark/>
                                </w:tcPr>
                                <w:p w14:paraId="728723ED"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457A305C"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7B9E1D99"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7BE27129"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391C3864"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0AAC2FF8"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0AB8F631"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r>
                            <w:tr w:rsidR="00B43A9E" w:rsidRPr="00B43A9E" w14:paraId="7AAB4034" w14:textId="77777777" w:rsidTr="00B43A9E">
                              <w:trPr>
                                <w:trHeight w:val="204"/>
                              </w:trPr>
                              <w:tc>
                                <w:tcPr>
                                  <w:tcW w:w="965" w:type="pct"/>
                                  <w:tcBorders>
                                    <w:top w:val="nil"/>
                                    <w:left w:val="nil"/>
                                    <w:bottom w:val="nil"/>
                                    <w:right w:val="nil"/>
                                  </w:tcBorders>
                                  <w:noWrap/>
                                  <w:hideMark/>
                                </w:tcPr>
                                <w:p w14:paraId="70343F4E"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ASSETS</w:t>
                                  </w:r>
                                </w:p>
                              </w:tc>
                              <w:tc>
                                <w:tcPr>
                                  <w:tcW w:w="576" w:type="pct"/>
                                  <w:tcBorders>
                                    <w:top w:val="nil"/>
                                    <w:left w:val="nil"/>
                                    <w:bottom w:val="nil"/>
                                    <w:right w:val="nil"/>
                                  </w:tcBorders>
                                  <w:noWrap/>
                                  <w:hideMark/>
                                </w:tcPr>
                                <w:p w14:paraId="1F6D7DA9"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hideMark/>
                                </w:tcPr>
                                <w:p w14:paraId="467A8CA5"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66725E05"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C8DDBFA"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793CF0D1"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31EF6A74"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8D3A69A"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r>
                            <w:tr w:rsidR="00B43A9E" w:rsidRPr="00B43A9E" w14:paraId="7DF58228" w14:textId="77777777" w:rsidTr="00B43A9E">
                              <w:trPr>
                                <w:trHeight w:val="204"/>
                              </w:trPr>
                              <w:tc>
                                <w:tcPr>
                                  <w:tcW w:w="965" w:type="pct"/>
                                  <w:tcBorders>
                                    <w:top w:val="nil"/>
                                    <w:left w:val="nil"/>
                                    <w:bottom w:val="nil"/>
                                    <w:right w:val="nil"/>
                                  </w:tcBorders>
                                  <w:noWrap/>
                                  <w:hideMark/>
                                </w:tcPr>
                                <w:p w14:paraId="16CAF810"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Cash And Equivalents</w:t>
                                  </w:r>
                                </w:p>
                              </w:tc>
                              <w:tc>
                                <w:tcPr>
                                  <w:tcW w:w="576" w:type="pct"/>
                                  <w:tcBorders>
                                    <w:top w:val="nil"/>
                                    <w:left w:val="nil"/>
                                    <w:bottom w:val="nil"/>
                                    <w:right w:val="nil"/>
                                  </w:tcBorders>
                                  <w:hideMark/>
                                </w:tcPr>
                                <w:p w14:paraId="039B4A5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28.3 </w:t>
                                  </w:r>
                                </w:p>
                              </w:tc>
                              <w:tc>
                                <w:tcPr>
                                  <w:tcW w:w="576" w:type="pct"/>
                                  <w:tcBorders>
                                    <w:top w:val="nil"/>
                                    <w:left w:val="nil"/>
                                    <w:bottom w:val="nil"/>
                                    <w:right w:val="nil"/>
                                  </w:tcBorders>
                                  <w:hideMark/>
                                </w:tcPr>
                                <w:p w14:paraId="777ECA5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46.7 </w:t>
                                  </w:r>
                                </w:p>
                              </w:tc>
                              <w:tc>
                                <w:tcPr>
                                  <w:tcW w:w="576" w:type="pct"/>
                                  <w:tcBorders>
                                    <w:top w:val="nil"/>
                                    <w:left w:val="nil"/>
                                    <w:bottom w:val="nil"/>
                                    <w:right w:val="nil"/>
                                  </w:tcBorders>
                                  <w:hideMark/>
                                </w:tcPr>
                                <w:p w14:paraId="5626097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49.0 </w:t>
                                  </w:r>
                                </w:p>
                              </w:tc>
                              <w:tc>
                                <w:tcPr>
                                  <w:tcW w:w="576" w:type="pct"/>
                                  <w:tcBorders>
                                    <w:top w:val="nil"/>
                                    <w:left w:val="nil"/>
                                    <w:bottom w:val="nil"/>
                                    <w:right w:val="nil"/>
                                  </w:tcBorders>
                                  <w:hideMark/>
                                </w:tcPr>
                                <w:p w14:paraId="0C45A5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30.0 </w:t>
                                  </w:r>
                                </w:p>
                              </w:tc>
                              <w:tc>
                                <w:tcPr>
                                  <w:tcW w:w="576" w:type="pct"/>
                                  <w:tcBorders>
                                    <w:top w:val="nil"/>
                                    <w:left w:val="nil"/>
                                    <w:bottom w:val="nil"/>
                                    <w:right w:val="nil"/>
                                  </w:tcBorders>
                                  <w:hideMark/>
                                </w:tcPr>
                                <w:p w14:paraId="66F82F3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28.1 </w:t>
                                  </w:r>
                                </w:p>
                              </w:tc>
                              <w:tc>
                                <w:tcPr>
                                  <w:tcW w:w="576" w:type="pct"/>
                                  <w:tcBorders>
                                    <w:top w:val="nil"/>
                                    <w:left w:val="nil"/>
                                    <w:bottom w:val="nil"/>
                                    <w:right w:val="nil"/>
                                  </w:tcBorders>
                                  <w:hideMark/>
                                </w:tcPr>
                                <w:p w14:paraId="5A38A32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34.4 </w:t>
                                  </w:r>
                                </w:p>
                              </w:tc>
                              <w:tc>
                                <w:tcPr>
                                  <w:tcW w:w="576" w:type="pct"/>
                                  <w:tcBorders>
                                    <w:top w:val="nil"/>
                                    <w:left w:val="nil"/>
                                    <w:bottom w:val="nil"/>
                                    <w:right w:val="nil"/>
                                  </w:tcBorders>
                                  <w:hideMark/>
                                </w:tcPr>
                                <w:p w14:paraId="49D7FC4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22.3 </w:t>
                                  </w:r>
                                </w:p>
                              </w:tc>
                            </w:tr>
                            <w:tr w:rsidR="00B43A9E" w:rsidRPr="00B43A9E" w14:paraId="503A7715" w14:textId="77777777" w:rsidTr="00B43A9E">
                              <w:trPr>
                                <w:trHeight w:val="204"/>
                              </w:trPr>
                              <w:tc>
                                <w:tcPr>
                                  <w:tcW w:w="965" w:type="pct"/>
                                  <w:tcBorders>
                                    <w:top w:val="nil"/>
                                    <w:left w:val="nil"/>
                                    <w:bottom w:val="nil"/>
                                    <w:right w:val="nil"/>
                                  </w:tcBorders>
                                  <w:noWrap/>
                                  <w:hideMark/>
                                </w:tcPr>
                                <w:p w14:paraId="4E8F4758"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Short Term Investments</w:t>
                                  </w:r>
                                </w:p>
                              </w:tc>
                              <w:tc>
                                <w:tcPr>
                                  <w:tcW w:w="576" w:type="pct"/>
                                  <w:tcBorders>
                                    <w:top w:val="nil"/>
                                    <w:left w:val="nil"/>
                                    <w:bottom w:val="nil"/>
                                    <w:right w:val="nil"/>
                                  </w:tcBorders>
                                  <w:hideMark/>
                                </w:tcPr>
                                <w:p w14:paraId="69B0DCE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 </w:t>
                                  </w:r>
                                </w:p>
                              </w:tc>
                              <w:tc>
                                <w:tcPr>
                                  <w:tcW w:w="576" w:type="pct"/>
                                  <w:tcBorders>
                                    <w:top w:val="nil"/>
                                    <w:left w:val="nil"/>
                                    <w:bottom w:val="nil"/>
                                    <w:right w:val="nil"/>
                                  </w:tcBorders>
                                  <w:hideMark/>
                                </w:tcPr>
                                <w:p w14:paraId="41174CE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35EE229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24.8 </w:t>
                                  </w:r>
                                </w:p>
                              </w:tc>
                              <w:tc>
                                <w:tcPr>
                                  <w:tcW w:w="576" w:type="pct"/>
                                  <w:tcBorders>
                                    <w:top w:val="nil"/>
                                    <w:left w:val="nil"/>
                                    <w:bottom w:val="nil"/>
                                    <w:right w:val="nil"/>
                                  </w:tcBorders>
                                  <w:hideMark/>
                                </w:tcPr>
                                <w:p w14:paraId="0BB1F18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41.8 </w:t>
                                  </w:r>
                                </w:p>
                              </w:tc>
                              <w:tc>
                                <w:tcPr>
                                  <w:tcW w:w="576" w:type="pct"/>
                                  <w:tcBorders>
                                    <w:top w:val="nil"/>
                                    <w:left w:val="nil"/>
                                    <w:bottom w:val="nil"/>
                                    <w:right w:val="nil"/>
                                  </w:tcBorders>
                                  <w:hideMark/>
                                </w:tcPr>
                                <w:p w14:paraId="448C308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48.2 </w:t>
                                  </w:r>
                                </w:p>
                              </w:tc>
                              <w:tc>
                                <w:tcPr>
                                  <w:tcW w:w="576" w:type="pct"/>
                                  <w:tcBorders>
                                    <w:top w:val="nil"/>
                                    <w:left w:val="nil"/>
                                    <w:bottom w:val="nil"/>
                                    <w:right w:val="nil"/>
                                  </w:tcBorders>
                                  <w:hideMark/>
                                </w:tcPr>
                                <w:p w14:paraId="512F368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1B4C112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39.8 </w:t>
                                  </w:r>
                                </w:p>
                              </w:tc>
                            </w:tr>
                            <w:tr w:rsidR="00B43A9E" w:rsidRPr="00B43A9E" w14:paraId="56BCD03F" w14:textId="77777777" w:rsidTr="00B43A9E">
                              <w:trPr>
                                <w:trHeight w:val="204"/>
                              </w:trPr>
                              <w:tc>
                                <w:tcPr>
                                  <w:tcW w:w="965" w:type="pct"/>
                                  <w:tcBorders>
                                    <w:top w:val="nil"/>
                                    <w:left w:val="nil"/>
                                    <w:bottom w:val="nil"/>
                                    <w:right w:val="nil"/>
                                  </w:tcBorders>
                                  <w:noWrap/>
                                  <w:hideMark/>
                                </w:tcPr>
                                <w:p w14:paraId="6DF734C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Cash &amp; ST Investments</w:t>
                                  </w:r>
                                </w:p>
                              </w:tc>
                              <w:tc>
                                <w:tcPr>
                                  <w:tcW w:w="576" w:type="pct"/>
                                  <w:tcBorders>
                                    <w:top w:val="single" w:sz="4" w:space="0" w:color="000000"/>
                                    <w:left w:val="nil"/>
                                    <w:bottom w:val="nil"/>
                                    <w:right w:val="nil"/>
                                  </w:tcBorders>
                                  <w:hideMark/>
                                </w:tcPr>
                                <w:p w14:paraId="3FB0691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30.3 </w:t>
                                  </w:r>
                                </w:p>
                              </w:tc>
                              <w:tc>
                                <w:tcPr>
                                  <w:tcW w:w="576" w:type="pct"/>
                                  <w:tcBorders>
                                    <w:top w:val="single" w:sz="4" w:space="0" w:color="000000"/>
                                    <w:left w:val="nil"/>
                                    <w:bottom w:val="nil"/>
                                    <w:right w:val="nil"/>
                                  </w:tcBorders>
                                  <w:hideMark/>
                                </w:tcPr>
                                <w:p w14:paraId="6DBC9D8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51.3 </w:t>
                                  </w:r>
                                </w:p>
                              </w:tc>
                              <w:tc>
                                <w:tcPr>
                                  <w:tcW w:w="576" w:type="pct"/>
                                  <w:tcBorders>
                                    <w:top w:val="single" w:sz="4" w:space="0" w:color="000000"/>
                                    <w:left w:val="nil"/>
                                    <w:bottom w:val="nil"/>
                                    <w:right w:val="nil"/>
                                  </w:tcBorders>
                                  <w:hideMark/>
                                </w:tcPr>
                                <w:p w14:paraId="77F5104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73.8 </w:t>
                                  </w:r>
                                </w:p>
                              </w:tc>
                              <w:tc>
                                <w:tcPr>
                                  <w:tcW w:w="576" w:type="pct"/>
                                  <w:tcBorders>
                                    <w:top w:val="single" w:sz="4" w:space="0" w:color="000000"/>
                                    <w:left w:val="nil"/>
                                    <w:bottom w:val="nil"/>
                                    <w:right w:val="nil"/>
                                  </w:tcBorders>
                                  <w:hideMark/>
                                </w:tcPr>
                                <w:p w14:paraId="0F7E368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71.8 </w:t>
                                  </w:r>
                                </w:p>
                              </w:tc>
                              <w:tc>
                                <w:tcPr>
                                  <w:tcW w:w="576" w:type="pct"/>
                                  <w:tcBorders>
                                    <w:top w:val="single" w:sz="4" w:space="0" w:color="000000"/>
                                    <w:left w:val="nil"/>
                                    <w:bottom w:val="nil"/>
                                    <w:right w:val="nil"/>
                                  </w:tcBorders>
                                  <w:hideMark/>
                                </w:tcPr>
                                <w:p w14:paraId="77FFB96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76.4 </w:t>
                                  </w:r>
                                </w:p>
                              </w:tc>
                              <w:tc>
                                <w:tcPr>
                                  <w:tcW w:w="576" w:type="pct"/>
                                  <w:tcBorders>
                                    <w:top w:val="single" w:sz="4" w:space="0" w:color="000000"/>
                                    <w:left w:val="nil"/>
                                    <w:bottom w:val="nil"/>
                                    <w:right w:val="nil"/>
                                  </w:tcBorders>
                                  <w:hideMark/>
                                </w:tcPr>
                                <w:p w14:paraId="2879949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79.1 </w:t>
                                  </w:r>
                                </w:p>
                              </w:tc>
                              <w:tc>
                                <w:tcPr>
                                  <w:tcW w:w="576" w:type="pct"/>
                                  <w:tcBorders>
                                    <w:top w:val="single" w:sz="4" w:space="0" w:color="000000"/>
                                    <w:left w:val="nil"/>
                                    <w:bottom w:val="nil"/>
                                    <w:right w:val="nil"/>
                                  </w:tcBorders>
                                  <w:hideMark/>
                                </w:tcPr>
                                <w:p w14:paraId="5B473B5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62.1 </w:t>
                                  </w:r>
                                </w:p>
                              </w:tc>
                            </w:tr>
                            <w:tr w:rsidR="00B43A9E" w:rsidRPr="00B43A9E" w14:paraId="12649B77" w14:textId="77777777" w:rsidTr="00B43A9E">
                              <w:trPr>
                                <w:trHeight w:val="204"/>
                              </w:trPr>
                              <w:tc>
                                <w:tcPr>
                                  <w:tcW w:w="965" w:type="pct"/>
                                  <w:tcBorders>
                                    <w:top w:val="nil"/>
                                    <w:left w:val="nil"/>
                                    <w:bottom w:val="nil"/>
                                    <w:right w:val="nil"/>
                                  </w:tcBorders>
                                  <w:noWrap/>
                                  <w:hideMark/>
                                </w:tcPr>
                                <w:p w14:paraId="248DF7F3"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Accounts Receivable</w:t>
                                  </w:r>
                                </w:p>
                              </w:tc>
                              <w:tc>
                                <w:tcPr>
                                  <w:tcW w:w="576" w:type="pct"/>
                                  <w:tcBorders>
                                    <w:top w:val="nil"/>
                                    <w:left w:val="nil"/>
                                    <w:bottom w:val="nil"/>
                                    <w:right w:val="nil"/>
                                  </w:tcBorders>
                                  <w:hideMark/>
                                </w:tcPr>
                                <w:p w14:paraId="756DF0C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3.2 </w:t>
                                  </w:r>
                                </w:p>
                              </w:tc>
                              <w:tc>
                                <w:tcPr>
                                  <w:tcW w:w="576" w:type="pct"/>
                                  <w:tcBorders>
                                    <w:top w:val="nil"/>
                                    <w:left w:val="nil"/>
                                    <w:bottom w:val="nil"/>
                                    <w:right w:val="nil"/>
                                  </w:tcBorders>
                                  <w:hideMark/>
                                </w:tcPr>
                                <w:p w14:paraId="15BBEC4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 </w:t>
                                  </w:r>
                                </w:p>
                              </w:tc>
                              <w:tc>
                                <w:tcPr>
                                  <w:tcW w:w="576" w:type="pct"/>
                                  <w:tcBorders>
                                    <w:top w:val="nil"/>
                                    <w:left w:val="nil"/>
                                    <w:bottom w:val="nil"/>
                                    <w:right w:val="nil"/>
                                  </w:tcBorders>
                                  <w:hideMark/>
                                </w:tcPr>
                                <w:p w14:paraId="6564006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5.7 </w:t>
                                  </w:r>
                                </w:p>
                              </w:tc>
                              <w:tc>
                                <w:tcPr>
                                  <w:tcW w:w="576" w:type="pct"/>
                                  <w:tcBorders>
                                    <w:top w:val="nil"/>
                                    <w:left w:val="nil"/>
                                    <w:bottom w:val="nil"/>
                                    <w:right w:val="nil"/>
                                  </w:tcBorders>
                                  <w:hideMark/>
                                </w:tcPr>
                                <w:p w14:paraId="486FB0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7.1 </w:t>
                                  </w:r>
                                </w:p>
                              </w:tc>
                              <w:tc>
                                <w:tcPr>
                                  <w:tcW w:w="576" w:type="pct"/>
                                  <w:tcBorders>
                                    <w:top w:val="nil"/>
                                    <w:left w:val="nil"/>
                                    <w:bottom w:val="nil"/>
                                    <w:right w:val="nil"/>
                                  </w:tcBorders>
                                  <w:hideMark/>
                                </w:tcPr>
                                <w:p w14:paraId="7FCC62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 </w:t>
                                  </w:r>
                                </w:p>
                              </w:tc>
                              <w:tc>
                                <w:tcPr>
                                  <w:tcW w:w="576" w:type="pct"/>
                                  <w:tcBorders>
                                    <w:top w:val="nil"/>
                                    <w:left w:val="nil"/>
                                    <w:bottom w:val="nil"/>
                                    <w:right w:val="nil"/>
                                  </w:tcBorders>
                                  <w:hideMark/>
                                </w:tcPr>
                                <w:p w14:paraId="5EEF90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 </w:t>
                                  </w:r>
                                </w:p>
                              </w:tc>
                              <w:tc>
                                <w:tcPr>
                                  <w:tcW w:w="576" w:type="pct"/>
                                  <w:tcBorders>
                                    <w:top w:val="nil"/>
                                    <w:left w:val="nil"/>
                                    <w:bottom w:val="nil"/>
                                    <w:right w:val="nil"/>
                                  </w:tcBorders>
                                  <w:hideMark/>
                                </w:tcPr>
                                <w:p w14:paraId="2794CC0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6E78CDFE" w14:textId="77777777" w:rsidTr="00B43A9E">
                              <w:trPr>
                                <w:trHeight w:val="204"/>
                              </w:trPr>
                              <w:tc>
                                <w:tcPr>
                                  <w:tcW w:w="965" w:type="pct"/>
                                  <w:tcBorders>
                                    <w:top w:val="nil"/>
                                    <w:left w:val="nil"/>
                                    <w:bottom w:val="nil"/>
                                    <w:right w:val="nil"/>
                                  </w:tcBorders>
                                  <w:noWrap/>
                                  <w:hideMark/>
                                </w:tcPr>
                                <w:p w14:paraId="38ACD310"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Receivables</w:t>
                                  </w:r>
                                </w:p>
                              </w:tc>
                              <w:tc>
                                <w:tcPr>
                                  <w:tcW w:w="576" w:type="pct"/>
                                  <w:tcBorders>
                                    <w:top w:val="nil"/>
                                    <w:left w:val="nil"/>
                                    <w:bottom w:val="nil"/>
                                    <w:right w:val="nil"/>
                                  </w:tcBorders>
                                  <w:hideMark/>
                                </w:tcPr>
                                <w:p w14:paraId="5929D4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1.2 </w:t>
                                  </w:r>
                                </w:p>
                              </w:tc>
                              <w:tc>
                                <w:tcPr>
                                  <w:tcW w:w="576" w:type="pct"/>
                                  <w:tcBorders>
                                    <w:top w:val="nil"/>
                                    <w:left w:val="nil"/>
                                    <w:bottom w:val="nil"/>
                                    <w:right w:val="nil"/>
                                  </w:tcBorders>
                                  <w:hideMark/>
                                </w:tcPr>
                                <w:p w14:paraId="34C7E5C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73C66D9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c>
                                <w:tcPr>
                                  <w:tcW w:w="576" w:type="pct"/>
                                  <w:tcBorders>
                                    <w:top w:val="nil"/>
                                    <w:left w:val="nil"/>
                                    <w:bottom w:val="nil"/>
                                    <w:right w:val="nil"/>
                                  </w:tcBorders>
                                  <w:hideMark/>
                                </w:tcPr>
                                <w:p w14:paraId="1E66139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 </w:t>
                                  </w:r>
                                </w:p>
                              </w:tc>
                              <w:tc>
                                <w:tcPr>
                                  <w:tcW w:w="576" w:type="pct"/>
                                  <w:tcBorders>
                                    <w:top w:val="nil"/>
                                    <w:left w:val="nil"/>
                                    <w:bottom w:val="nil"/>
                                    <w:right w:val="nil"/>
                                  </w:tcBorders>
                                  <w:hideMark/>
                                </w:tcPr>
                                <w:p w14:paraId="4D0A5F7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21FC7F3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 </w:t>
                                  </w:r>
                                </w:p>
                              </w:tc>
                              <w:tc>
                                <w:tcPr>
                                  <w:tcW w:w="576" w:type="pct"/>
                                  <w:tcBorders>
                                    <w:top w:val="nil"/>
                                    <w:left w:val="nil"/>
                                    <w:bottom w:val="nil"/>
                                    <w:right w:val="nil"/>
                                  </w:tcBorders>
                                  <w:hideMark/>
                                </w:tcPr>
                                <w:p w14:paraId="6EA942E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03D14BF8" w14:textId="77777777" w:rsidTr="00B43A9E">
                              <w:trPr>
                                <w:trHeight w:val="204"/>
                              </w:trPr>
                              <w:tc>
                                <w:tcPr>
                                  <w:tcW w:w="965" w:type="pct"/>
                                  <w:tcBorders>
                                    <w:top w:val="nil"/>
                                    <w:left w:val="nil"/>
                                    <w:bottom w:val="nil"/>
                                    <w:right w:val="nil"/>
                                  </w:tcBorders>
                                  <w:noWrap/>
                                  <w:hideMark/>
                                </w:tcPr>
                                <w:p w14:paraId="2B83721A"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Receivables</w:t>
                                  </w:r>
                                </w:p>
                              </w:tc>
                              <w:tc>
                                <w:tcPr>
                                  <w:tcW w:w="576" w:type="pct"/>
                                  <w:tcBorders>
                                    <w:top w:val="single" w:sz="4" w:space="0" w:color="000000"/>
                                    <w:left w:val="nil"/>
                                    <w:bottom w:val="nil"/>
                                    <w:right w:val="nil"/>
                                  </w:tcBorders>
                                  <w:hideMark/>
                                </w:tcPr>
                                <w:p w14:paraId="6CBD076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4.4 </w:t>
                                  </w:r>
                                </w:p>
                              </w:tc>
                              <w:tc>
                                <w:tcPr>
                                  <w:tcW w:w="576" w:type="pct"/>
                                  <w:tcBorders>
                                    <w:top w:val="single" w:sz="4" w:space="0" w:color="000000"/>
                                    <w:left w:val="nil"/>
                                    <w:bottom w:val="nil"/>
                                    <w:right w:val="nil"/>
                                  </w:tcBorders>
                                  <w:hideMark/>
                                </w:tcPr>
                                <w:p w14:paraId="2AD261A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 </w:t>
                                  </w:r>
                                </w:p>
                              </w:tc>
                              <w:tc>
                                <w:tcPr>
                                  <w:tcW w:w="576" w:type="pct"/>
                                  <w:tcBorders>
                                    <w:top w:val="single" w:sz="4" w:space="0" w:color="000000"/>
                                    <w:left w:val="nil"/>
                                    <w:bottom w:val="nil"/>
                                    <w:right w:val="nil"/>
                                  </w:tcBorders>
                                  <w:hideMark/>
                                </w:tcPr>
                                <w:p w14:paraId="63F8E5C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8.7 </w:t>
                                  </w:r>
                                </w:p>
                              </w:tc>
                              <w:tc>
                                <w:tcPr>
                                  <w:tcW w:w="576" w:type="pct"/>
                                  <w:tcBorders>
                                    <w:top w:val="single" w:sz="4" w:space="0" w:color="000000"/>
                                    <w:left w:val="nil"/>
                                    <w:bottom w:val="nil"/>
                                    <w:right w:val="nil"/>
                                  </w:tcBorders>
                                  <w:hideMark/>
                                </w:tcPr>
                                <w:p w14:paraId="5E93361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11.2 </w:t>
                                  </w:r>
                                </w:p>
                              </w:tc>
                              <w:tc>
                                <w:tcPr>
                                  <w:tcW w:w="576" w:type="pct"/>
                                  <w:tcBorders>
                                    <w:top w:val="single" w:sz="4" w:space="0" w:color="000000"/>
                                    <w:left w:val="nil"/>
                                    <w:bottom w:val="nil"/>
                                    <w:right w:val="nil"/>
                                  </w:tcBorders>
                                  <w:hideMark/>
                                </w:tcPr>
                                <w:p w14:paraId="508FF34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9.3 </w:t>
                                  </w:r>
                                </w:p>
                              </w:tc>
                              <w:tc>
                                <w:tcPr>
                                  <w:tcW w:w="576" w:type="pct"/>
                                  <w:tcBorders>
                                    <w:top w:val="single" w:sz="4" w:space="0" w:color="000000"/>
                                    <w:left w:val="nil"/>
                                    <w:bottom w:val="nil"/>
                                    <w:right w:val="nil"/>
                                  </w:tcBorders>
                                  <w:hideMark/>
                                </w:tcPr>
                                <w:p w14:paraId="3D75484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9.5 </w:t>
                                  </w:r>
                                </w:p>
                              </w:tc>
                              <w:tc>
                                <w:tcPr>
                                  <w:tcW w:w="576" w:type="pct"/>
                                  <w:tcBorders>
                                    <w:top w:val="single" w:sz="4" w:space="0" w:color="000000"/>
                                    <w:left w:val="nil"/>
                                    <w:bottom w:val="nil"/>
                                    <w:right w:val="nil"/>
                                  </w:tcBorders>
                                  <w:hideMark/>
                                </w:tcPr>
                                <w:p w14:paraId="5762C94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w:t>
                                  </w:r>
                                </w:p>
                              </w:tc>
                            </w:tr>
                            <w:tr w:rsidR="00B43A9E" w:rsidRPr="00B43A9E" w14:paraId="60FB7F34" w14:textId="77777777" w:rsidTr="00B43A9E">
                              <w:trPr>
                                <w:trHeight w:val="204"/>
                              </w:trPr>
                              <w:tc>
                                <w:tcPr>
                                  <w:tcW w:w="965" w:type="pct"/>
                                  <w:tcBorders>
                                    <w:top w:val="nil"/>
                                    <w:left w:val="nil"/>
                                    <w:bottom w:val="nil"/>
                                    <w:right w:val="nil"/>
                                  </w:tcBorders>
                                  <w:noWrap/>
                                  <w:hideMark/>
                                </w:tcPr>
                                <w:p w14:paraId="0F5C170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Inventory</w:t>
                                  </w:r>
                                </w:p>
                              </w:tc>
                              <w:tc>
                                <w:tcPr>
                                  <w:tcW w:w="576" w:type="pct"/>
                                  <w:tcBorders>
                                    <w:top w:val="nil"/>
                                    <w:left w:val="nil"/>
                                    <w:bottom w:val="nil"/>
                                    <w:right w:val="nil"/>
                                  </w:tcBorders>
                                  <w:hideMark/>
                                </w:tcPr>
                                <w:p w14:paraId="5AEC284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1.3 </w:t>
                                  </w:r>
                                </w:p>
                              </w:tc>
                              <w:tc>
                                <w:tcPr>
                                  <w:tcW w:w="576" w:type="pct"/>
                                  <w:tcBorders>
                                    <w:top w:val="nil"/>
                                    <w:left w:val="nil"/>
                                    <w:bottom w:val="nil"/>
                                    <w:right w:val="nil"/>
                                  </w:tcBorders>
                                  <w:hideMark/>
                                </w:tcPr>
                                <w:p w14:paraId="30D229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 </w:t>
                                  </w:r>
                                </w:p>
                              </w:tc>
                              <w:tc>
                                <w:tcPr>
                                  <w:tcW w:w="576" w:type="pct"/>
                                  <w:tcBorders>
                                    <w:top w:val="nil"/>
                                    <w:left w:val="nil"/>
                                    <w:bottom w:val="nil"/>
                                    <w:right w:val="nil"/>
                                  </w:tcBorders>
                                  <w:hideMark/>
                                </w:tcPr>
                                <w:p w14:paraId="0992AB7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4.3 </w:t>
                                  </w:r>
                                </w:p>
                              </w:tc>
                              <w:tc>
                                <w:tcPr>
                                  <w:tcW w:w="576" w:type="pct"/>
                                  <w:tcBorders>
                                    <w:top w:val="nil"/>
                                    <w:left w:val="nil"/>
                                    <w:bottom w:val="nil"/>
                                    <w:right w:val="nil"/>
                                  </w:tcBorders>
                                  <w:hideMark/>
                                </w:tcPr>
                                <w:p w14:paraId="5AC81E9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4.7 </w:t>
                                  </w:r>
                                </w:p>
                              </w:tc>
                              <w:tc>
                                <w:tcPr>
                                  <w:tcW w:w="576" w:type="pct"/>
                                  <w:tcBorders>
                                    <w:top w:val="nil"/>
                                    <w:left w:val="nil"/>
                                    <w:bottom w:val="nil"/>
                                    <w:right w:val="nil"/>
                                  </w:tcBorders>
                                  <w:hideMark/>
                                </w:tcPr>
                                <w:p w14:paraId="4A4A491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1EE2E71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3.5 </w:t>
                                  </w:r>
                                </w:p>
                              </w:tc>
                              <w:tc>
                                <w:tcPr>
                                  <w:tcW w:w="576" w:type="pct"/>
                                  <w:tcBorders>
                                    <w:top w:val="nil"/>
                                    <w:left w:val="nil"/>
                                    <w:bottom w:val="nil"/>
                                    <w:right w:val="nil"/>
                                  </w:tcBorders>
                                  <w:hideMark/>
                                </w:tcPr>
                                <w:p w14:paraId="01C7971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2A444CAD" w14:textId="77777777" w:rsidTr="00B43A9E">
                              <w:trPr>
                                <w:trHeight w:val="204"/>
                              </w:trPr>
                              <w:tc>
                                <w:tcPr>
                                  <w:tcW w:w="965" w:type="pct"/>
                                  <w:tcBorders>
                                    <w:top w:val="nil"/>
                                    <w:left w:val="nil"/>
                                    <w:bottom w:val="nil"/>
                                    <w:right w:val="nil"/>
                                  </w:tcBorders>
                                  <w:noWrap/>
                                  <w:hideMark/>
                                </w:tcPr>
                                <w:p w14:paraId="2B4BDCCA"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Prepaid Exp.</w:t>
                                  </w:r>
                                </w:p>
                              </w:tc>
                              <w:tc>
                                <w:tcPr>
                                  <w:tcW w:w="576" w:type="pct"/>
                                  <w:tcBorders>
                                    <w:top w:val="nil"/>
                                    <w:left w:val="nil"/>
                                    <w:bottom w:val="nil"/>
                                    <w:right w:val="nil"/>
                                  </w:tcBorders>
                                  <w:hideMark/>
                                </w:tcPr>
                                <w:p w14:paraId="1861F5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010B21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23083F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0E7F304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406CF39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 </w:t>
                                  </w:r>
                                </w:p>
                              </w:tc>
                              <w:tc>
                                <w:tcPr>
                                  <w:tcW w:w="576" w:type="pct"/>
                                  <w:tcBorders>
                                    <w:top w:val="nil"/>
                                    <w:left w:val="nil"/>
                                    <w:bottom w:val="nil"/>
                                    <w:right w:val="nil"/>
                                  </w:tcBorders>
                                  <w:hideMark/>
                                </w:tcPr>
                                <w:p w14:paraId="2ECADD5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 </w:t>
                                  </w:r>
                                </w:p>
                              </w:tc>
                              <w:tc>
                                <w:tcPr>
                                  <w:tcW w:w="576" w:type="pct"/>
                                  <w:tcBorders>
                                    <w:top w:val="nil"/>
                                    <w:left w:val="nil"/>
                                    <w:bottom w:val="nil"/>
                                    <w:right w:val="nil"/>
                                  </w:tcBorders>
                                  <w:hideMark/>
                                </w:tcPr>
                                <w:p w14:paraId="379A01D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439EE71A" w14:textId="77777777" w:rsidTr="00B43A9E">
                              <w:trPr>
                                <w:trHeight w:val="204"/>
                              </w:trPr>
                              <w:tc>
                                <w:tcPr>
                                  <w:tcW w:w="965" w:type="pct"/>
                                  <w:tcBorders>
                                    <w:top w:val="nil"/>
                                    <w:left w:val="nil"/>
                                    <w:bottom w:val="nil"/>
                                    <w:right w:val="nil"/>
                                  </w:tcBorders>
                                  <w:noWrap/>
                                  <w:hideMark/>
                                </w:tcPr>
                                <w:p w14:paraId="193E409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Current Assets</w:t>
                                  </w:r>
                                </w:p>
                              </w:tc>
                              <w:tc>
                                <w:tcPr>
                                  <w:tcW w:w="576" w:type="pct"/>
                                  <w:tcBorders>
                                    <w:top w:val="nil"/>
                                    <w:left w:val="nil"/>
                                    <w:bottom w:val="nil"/>
                                    <w:right w:val="nil"/>
                                  </w:tcBorders>
                                  <w:hideMark/>
                                </w:tcPr>
                                <w:p w14:paraId="0440E67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48D5C4C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 </w:t>
                                  </w:r>
                                </w:p>
                              </w:tc>
                              <w:tc>
                                <w:tcPr>
                                  <w:tcW w:w="576" w:type="pct"/>
                                  <w:tcBorders>
                                    <w:top w:val="nil"/>
                                    <w:left w:val="nil"/>
                                    <w:bottom w:val="nil"/>
                                    <w:right w:val="nil"/>
                                  </w:tcBorders>
                                  <w:hideMark/>
                                </w:tcPr>
                                <w:p w14:paraId="4BEC1CC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8.6 </w:t>
                                  </w:r>
                                </w:p>
                              </w:tc>
                              <w:tc>
                                <w:tcPr>
                                  <w:tcW w:w="576" w:type="pct"/>
                                  <w:tcBorders>
                                    <w:top w:val="nil"/>
                                    <w:left w:val="nil"/>
                                    <w:bottom w:val="nil"/>
                                    <w:right w:val="nil"/>
                                  </w:tcBorders>
                                  <w:hideMark/>
                                </w:tcPr>
                                <w:p w14:paraId="3C18E77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10.1 </w:t>
                                  </w:r>
                                </w:p>
                              </w:tc>
                              <w:tc>
                                <w:tcPr>
                                  <w:tcW w:w="576" w:type="pct"/>
                                  <w:tcBorders>
                                    <w:top w:val="nil"/>
                                    <w:left w:val="nil"/>
                                    <w:bottom w:val="nil"/>
                                    <w:right w:val="nil"/>
                                  </w:tcBorders>
                                  <w:hideMark/>
                                </w:tcPr>
                                <w:p w14:paraId="2275A78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9.3 </w:t>
                                  </w:r>
                                </w:p>
                              </w:tc>
                              <w:tc>
                                <w:tcPr>
                                  <w:tcW w:w="576" w:type="pct"/>
                                  <w:tcBorders>
                                    <w:top w:val="nil"/>
                                    <w:left w:val="nil"/>
                                    <w:bottom w:val="nil"/>
                                    <w:right w:val="nil"/>
                                  </w:tcBorders>
                                  <w:hideMark/>
                                </w:tcPr>
                                <w:p w14:paraId="16A8252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9.7 </w:t>
                                  </w:r>
                                </w:p>
                              </w:tc>
                              <w:tc>
                                <w:tcPr>
                                  <w:tcW w:w="576" w:type="pct"/>
                                  <w:tcBorders>
                                    <w:top w:val="nil"/>
                                    <w:left w:val="nil"/>
                                    <w:bottom w:val="nil"/>
                                    <w:right w:val="nil"/>
                                  </w:tcBorders>
                                  <w:hideMark/>
                                </w:tcPr>
                                <w:p w14:paraId="4BA63DD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30.8 </w:t>
                                  </w:r>
                                </w:p>
                              </w:tc>
                            </w:tr>
                            <w:tr w:rsidR="00B43A9E" w:rsidRPr="00B43A9E" w14:paraId="1193BEF4" w14:textId="77777777" w:rsidTr="00B43A9E">
                              <w:trPr>
                                <w:trHeight w:val="204"/>
                              </w:trPr>
                              <w:tc>
                                <w:tcPr>
                                  <w:tcW w:w="965" w:type="pct"/>
                                  <w:tcBorders>
                                    <w:top w:val="nil"/>
                                    <w:left w:val="nil"/>
                                    <w:bottom w:val="nil"/>
                                    <w:right w:val="nil"/>
                                  </w:tcBorders>
                                  <w:noWrap/>
                                  <w:hideMark/>
                                </w:tcPr>
                                <w:p w14:paraId="4214984D"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Current Assets</w:t>
                                  </w:r>
                                </w:p>
                              </w:tc>
                              <w:tc>
                                <w:tcPr>
                                  <w:tcW w:w="576" w:type="pct"/>
                                  <w:tcBorders>
                                    <w:top w:val="single" w:sz="4" w:space="0" w:color="000000"/>
                                    <w:left w:val="nil"/>
                                    <w:bottom w:val="nil"/>
                                    <w:right w:val="nil"/>
                                  </w:tcBorders>
                                  <w:hideMark/>
                                </w:tcPr>
                                <w:p w14:paraId="2B23A33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40.3 </w:t>
                                  </w:r>
                                </w:p>
                              </w:tc>
                              <w:tc>
                                <w:tcPr>
                                  <w:tcW w:w="576" w:type="pct"/>
                                  <w:tcBorders>
                                    <w:top w:val="single" w:sz="4" w:space="0" w:color="000000"/>
                                    <w:left w:val="nil"/>
                                    <w:bottom w:val="nil"/>
                                    <w:right w:val="nil"/>
                                  </w:tcBorders>
                                  <w:hideMark/>
                                </w:tcPr>
                                <w:p w14:paraId="1139DF6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65.4 </w:t>
                                  </w:r>
                                </w:p>
                              </w:tc>
                              <w:tc>
                                <w:tcPr>
                                  <w:tcW w:w="576" w:type="pct"/>
                                  <w:tcBorders>
                                    <w:top w:val="single" w:sz="4" w:space="0" w:color="000000"/>
                                    <w:left w:val="nil"/>
                                    <w:bottom w:val="nil"/>
                                    <w:right w:val="nil"/>
                                  </w:tcBorders>
                                  <w:hideMark/>
                                </w:tcPr>
                                <w:p w14:paraId="743D665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98.2 </w:t>
                                  </w:r>
                                </w:p>
                              </w:tc>
                              <w:tc>
                                <w:tcPr>
                                  <w:tcW w:w="576" w:type="pct"/>
                                  <w:tcBorders>
                                    <w:top w:val="single" w:sz="4" w:space="0" w:color="000000"/>
                                    <w:left w:val="nil"/>
                                    <w:bottom w:val="nil"/>
                                    <w:right w:val="nil"/>
                                  </w:tcBorders>
                                  <w:hideMark/>
                                </w:tcPr>
                                <w:p w14:paraId="728CCAB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100.7 </w:t>
                                  </w:r>
                                </w:p>
                              </w:tc>
                              <w:tc>
                                <w:tcPr>
                                  <w:tcW w:w="576" w:type="pct"/>
                                  <w:tcBorders>
                                    <w:top w:val="single" w:sz="4" w:space="0" w:color="000000"/>
                                    <w:left w:val="nil"/>
                                    <w:bottom w:val="nil"/>
                                    <w:right w:val="nil"/>
                                  </w:tcBorders>
                                  <w:hideMark/>
                                </w:tcPr>
                                <w:p w14:paraId="1E4A7D1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101.6 </w:t>
                                  </w:r>
                                </w:p>
                              </w:tc>
                              <w:tc>
                                <w:tcPr>
                                  <w:tcW w:w="576" w:type="pct"/>
                                  <w:tcBorders>
                                    <w:top w:val="single" w:sz="4" w:space="0" w:color="000000"/>
                                    <w:left w:val="nil"/>
                                    <w:bottom w:val="nil"/>
                                    <w:right w:val="nil"/>
                                  </w:tcBorders>
                                  <w:hideMark/>
                                </w:tcPr>
                                <w:p w14:paraId="2AAEB44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104.3 </w:t>
                                  </w:r>
                                </w:p>
                              </w:tc>
                              <w:tc>
                                <w:tcPr>
                                  <w:tcW w:w="576" w:type="pct"/>
                                  <w:tcBorders>
                                    <w:top w:val="single" w:sz="4" w:space="0" w:color="000000"/>
                                    <w:left w:val="nil"/>
                                    <w:bottom w:val="nil"/>
                                    <w:right w:val="nil"/>
                                  </w:tcBorders>
                                  <w:hideMark/>
                                </w:tcPr>
                                <w:p w14:paraId="0B45D89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92.9 </w:t>
                                  </w:r>
                                </w:p>
                              </w:tc>
                            </w:tr>
                            <w:tr w:rsidR="00B43A9E" w:rsidRPr="00B43A9E" w14:paraId="38BDB7FD" w14:textId="77777777" w:rsidTr="00B43A9E">
                              <w:trPr>
                                <w:trHeight w:val="204"/>
                              </w:trPr>
                              <w:tc>
                                <w:tcPr>
                                  <w:tcW w:w="965" w:type="pct"/>
                                  <w:tcBorders>
                                    <w:top w:val="nil"/>
                                    <w:left w:val="nil"/>
                                    <w:bottom w:val="nil"/>
                                    <w:right w:val="nil"/>
                                  </w:tcBorders>
                                  <w:noWrap/>
                                  <w:hideMark/>
                                </w:tcPr>
                                <w:p w14:paraId="6C1147CB"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Gross Property, Plant &amp; Equipment</w:t>
                                  </w:r>
                                </w:p>
                              </w:tc>
                              <w:tc>
                                <w:tcPr>
                                  <w:tcW w:w="576" w:type="pct"/>
                                  <w:tcBorders>
                                    <w:top w:val="nil"/>
                                    <w:left w:val="nil"/>
                                    <w:bottom w:val="nil"/>
                                    <w:right w:val="nil"/>
                                  </w:tcBorders>
                                  <w:hideMark/>
                                </w:tcPr>
                                <w:p w14:paraId="6DFC16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18.8 </w:t>
                                  </w:r>
                                </w:p>
                              </w:tc>
                              <w:tc>
                                <w:tcPr>
                                  <w:tcW w:w="576" w:type="pct"/>
                                  <w:tcBorders>
                                    <w:top w:val="nil"/>
                                    <w:left w:val="nil"/>
                                    <w:bottom w:val="nil"/>
                                    <w:right w:val="nil"/>
                                  </w:tcBorders>
                                  <w:hideMark/>
                                </w:tcPr>
                                <w:p w14:paraId="7AFB11E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26.8 </w:t>
                                  </w:r>
                                </w:p>
                              </w:tc>
                              <w:tc>
                                <w:tcPr>
                                  <w:tcW w:w="576" w:type="pct"/>
                                  <w:tcBorders>
                                    <w:top w:val="nil"/>
                                    <w:left w:val="nil"/>
                                    <w:bottom w:val="nil"/>
                                    <w:right w:val="nil"/>
                                  </w:tcBorders>
                                  <w:hideMark/>
                                </w:tcPr>
                                <w:p w14:paraId="0CEA47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12D3189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54.2 </w:t>
                                  </w:r>
                                </w:p>
                              </w:tc>
                              <w:tc>
                                <w:tcPr>
                                  <w:tcW w:w="576" w:type="pct"/>
                                  <w:tcBorders>
                                    <w:top w:val="nil"/>
                                    <w:left w:val="nil"/>
                                    <w:bottom w:val="nil"/>
                                    <w:right w:val="nil"/>
                                  </w:tcBorders>
                                  <w:hideMark/>
                                </w:tcPr>
                                <w:p w14:paraId="47631AA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53.6 </w:t>
                                  </w:r>
                                </w:p>
                              </w:tc>
                              <w:tc>
                                <w:tcPr>
                                  <w:tcW w:w="576" w:type="pct"/>
                                  <w:tcBorders>
                                    <w:top w:val="nil"/>
                                    <w:left w:val="nil"/>
                                    <w:bottom w:val="nil"/>
                                    <w:right w:val="nil"/>
                                  </w:tcBorders>
                                  <w:hideMark/>
                                </w:tcPr>
                                <w:p w14:paraId="4001F1D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54.4 </w:t>
                                  </w:r>
                                </w:p>
                              </w:tc>
                              <w:tc>
                                <w:tcPr>
                                  <w:tcW w:w="576" w:type="pct"/>
                                  <w:tcBorders>
                                    <w:top w:val="nil"/>
                                    <w:left w:val="nil"/>
                                    <w:bottom w:val="nil"/>
                                    <w:right w:val="nil"/>
                                  </w:tcBorders>
                                  <w:hideMark/>
                                </w:tcPr>
                                <w:p w14:paraId="25A7FDB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7CAE02EF" w14:textId="77777777" w:rsidTr="00B43A9E">
                              <w:trPr>
                                <w:trHeight w:val="204"/>
                              </w:trPr>
                              <w:tc>
                                <w:tcPr>
                                  <w:tcW w:w="965" w:type="pct"/>
                                  <w:tcBorders>
                                    <w:top w:val="nil"/>
                                    <w:left w:val="nil"/>
                                    <w:bottom w:val="nil"/>
                                    <w:right w:val="nil"/>
                                  </w:tcBorders>
                                  <w:noWrap/>
                                  <w:hideMark/>
                                </w:tcPr>
                                <w:p w14:paraId="6148429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Accumulated Depreciation</w:t>
                                  </w:r>
                                </w:p>
                              </w:tc>
                              <w:tc>
                                <w:tcPr>
                                  <w:tcW w:w="576" w:type="pct"/>
                                  <w:tcBorders>
                                    <w:top w:val="nil"/>
                                    <w:left w:val="nil"/>
                                    <w:bottom w:val="nil"/>
                                    <w:right w:val="nil"/>
                                  </w:tcBorders>
                                  <w:hideMark/>
                                </w:tcPr>
                                <w:p w14:paraId="2C2EB6D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(5.1)  </w:t>
                                  </w:r>
                                </w:p>
                              </w:tc>
                              <w:tc>
                                <w:tcPr>
                                  <w:tcW w:w="576" w:type="pct"/>
                                  <w:tcBorders>
                                    <w:top w:val="nil"/>
                                    <w:left w:val="nil"/>
                                    <w:bottom w:val="nil"/>
                                    <w:right w:val="nil"/>
                                  </w:tcBorders>
                                  <w:hideMark/>
                                </w:tcPr>
                                <w:p w14:paraId="1728AA0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(7.3)  </w:t>
                                  </w:r>
                                </w:p>
                              </w:tc>
                              <w:tc>
                                <w:tcPr>
                                  <w:tcW w:w="576" w:type="pct"/>
                                  <w:tcBorders>
                                    <w:top w:val="nil"/>
                                    <w:left w:val="nil"/>
                                    <w:bottom w:val="nil"/>
                                    <w:right w:val="nil"/>
                                  </w:tcBorders>
                                  <w:hideMark/>
                                </w:tcPr>
                                <w:p w14:paraId="0E106FB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(11.2)  </w:t>
                                  </w:r>
                                </w:p>
                              </w:tc>
                              <w:tc>
                                <w:tcPr>
                                  <w:tcW w:w="576" w:type="pct"/>
                                  <w:tcBorders>
                                    <w:top w:val="nil"/>
                                    <w:left w:val="nil"/>
                                    <w:bottom w:val="nil"/>
                                    <w:right w:val="nil"/>
                                  </w:tcBorders>
                                  <w:hideMark/>
                                </w:tcPr>
                                <w:p w14:paraId="2799B1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(14.8)  </w:t>
                                  </w:r>
                                </w:p>
                              </w:tc>
                              <w:tc>
                                <w:tcPr>
                                  <w:tcW w:w="576" w:type="pct"/>
                                  <w:tcBorders>
                                    <w:top w:val="nil"/>
                                    <w:left w:val="nil"/>
                                    <w:bottom w:val="nil"/>
                                    <w:right w:val="nil"/>
                                  </w:tcBorders>
                                  <w:hideMark/>
                                </w:tcPr>
                                <w:p w14:paraId="4E3260F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(16.7)  </w:t>
                                  </w:r>
                                </w:p>
                              </w:tc>
                              <w:tc>
                                <w:tcPr>
                                  <w:tcW w:w="576" w:type="pct"/>
                                  <w:tcBorders>
                                    <w:top w:val="nil"/>
                                    <w:left w:val="nil"/>
                                    <w:bottom w:val="nil"/>
                                    <w:right w:val="nil"/>
                                  </w:tcBorders>
                                  <w:hideMark/>
                                </w:tcPr>
                                <w:p w14:paraId="7DBF70D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(18.1)  </w:t>
                                  </w:r>
                                </w:p>
                              </w:tc>
                              <w:tc>
                                <w:tcPr>
                                  <w:tcW w:w="576" w:type="pct"/>
                                  <w:tcBorders>
                                    <w:top w:val="nil"/>
                                    <w:left w:val="nil"/>
                                    <w:bottom w:val="nil"/>
                                    <w:right w:val="nil"/>
                                  </w:tcBorders>
                                  <w:hideMark/>
                                </w:tcPr>
                                <w:p w14:paraId="345A063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30E77600" w14:textId="77777777" w:rsidTr="00B43A9E">
                              <w:trPr>
                                <w:trHeight w:val="204"/>
                              </w:trPr>
                              <w:tc>
                                <w:tcPr>
                                  <w:tcW w:w="965" w:type="pct"/>
                                  <w:tcBorders>
                                    <w:top w:val="nil"/>
                                    <w:left w:val="nil"/>
                                    <w:bottom w:val="nil"/>
                                    <w:right w:val="nil"/>
                                  </w:tcBorders>
                                  <w:noWrap/>
                                  <w:hideMark/>
                                </w:tcPr>
                                <w:p w14:paraId="3AB3948B"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Net Property, Plant &amp; Equipment</w:t>
                                  </w:r>
                                </w:p>
                              </w:tc>
                              <w:tc>
                                <w:tcPr>
                                  <w:tcW w:w="576" w:type="pct"/>
                                  <w:tcBorders>
                                    <w:top w:val="single" w:sz="4" w:space="0" w:color="000000"/>
                                    <w:left w:val="nil"/>
                                    <w:bottom w:val="nil"/>
                                    <w:right w:val="nil"/>
                                  </w:tcBorders>
                                  <w:hideMark/>
                                </w:tcPr>
                                <w:p w14:paraId="16566CF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13.7 </w:t>
                                  </w:r>
                                </w:p>
                              </w:tc>
                              <w:tc>
                                <w:tcPr>
                                  <w:tcW w:w="576" w:type="pct"/>
                                  <w:tcBorders>
                                    <w:top w:val="single" w:sz="4" w:space="0" w:color="000000"/>
                                    <w:left w:val="nil"/>
                                    <w:bottom w:val="nil"/>
                                    <w:right w:val="nil"/>
                                  </w:tcBorders>
                                  <w:hideMark/>
                                </w:tcPr>
                                <w:p w14:paraId="0C9E283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19.5 </w:t>
                                  </w:r>
                                </w:p>
                              </w:tc>
                              <w:tc>
                                <w:tcPr>
                                  <w:tcW w:w="576" w:type="pct"/>
                                  <w:tcBorders>
                                    <w:top w:val="single" w:sz="4" w:space="0" w:color="000000"/>
                                    <w:left w:val="nil"/>
                                    <w:bottom w:val="nil"/>
                                    <w:right w:val="nil"/>
                                  </w:tcBorders>
                                  <w:hideMark/>
                                </w:tcPr>
                                <w:p w14:paraId="2A7A084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33.5 </w:t>
                                  </w:r>
                                </w:p>
                              </w:tc>
                              <w:tc>
                                <w:tcPr>
                                  <w:tcW w:w="576" w:type="pct"/>
                                  <w:tcBorders>
                                    <w:top w:val="single" w:sz="4" w:space="0" w:color="000000"/>
                                    <w:left w:val="nil"/>
                                    <w:bottom w:val="nil"/>
                                    <w:right w:val="nil"/>
                                  </w:tcBorders>
                                  <w:hideMark/>
                                </w:tcPr>
                                <w:p w14:paraId="269C18A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39.4 </w:t>
                                  </w:r>
                                </w:p>
                              </w:tc>
                              <w:tc>
                                <w:tcPr>
                                  <w:tcW w:w="576" w:type="pct"/>
                                  <w:tcBorders>
                                    <w:top w:val="single" w:sz="4" w:space="0" w:color="000000"/>
                                    <w:left w:val="nil"/>
                                    <w:bottom w:val="nil"/>
                                    <w:right w:val="nil"/>
                                  </w:tcBorders>
                                  <w:hideMark/>
                                </w:tcPr>
                                <w:p w14:paraId="4D6BAE5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36.9 </w:t>
                                  </w:r>
                                </w:p>
                              </w:tc>
                              <w:tc>
                                <w:tcPr>
                                  <w:tcW w:w="576" w:type="pct"/>
                                  <w:tcBorders>
                                    <w:top w:val="single" w:sz="4" w:space="0" w:color="000000"/>
                                    <w:left w:val="nil"/>
                                    <w:bottom w:val="nil"/>
                                    <w:right w:val="nil"/>
                                  </w:tcBorders>
                                  <w:hideMark/>
                                </w:tcPr>
                                <w:p w14:paraId="370C255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36.3 </w:t>
                                  </w:r>
                                </w:p>
                              </w:tc>
                              <w:tc>
                                <w:tcPr>
                                  <w:tcW w:w="576" w:type="pct"/>
                                  <w:tcBorders>
                                    <w:top w:val="single" w:sz="4" w:space="0" w:color="000000"/>
                                    <w:left w:val="nil"/>
                                    <w:bottom w:val="nil"/>
                                    <w:right w:val="nil"/>
                                  </w:tcBorders>
                                  <w:hideMark/>
                                </w:tcPr>
                                <w:p w14:paraId="6802078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31.1 </w:t>
                                  </w:r>
                                </w:p>
                              </w:tc>
                            </w:tr>
                            <w:tr w:rsidR="00B43A9E" w:rsidRPr="00B43A9E" w14:paraId="63681845" w14:textId="77777777" w:rsidTr="00B43A9E">
                              <w:trPr>
                                <w:trHeight w:val="204"/>
                              </w:trPr>
                              <w:tc>
                                <w:tcPr>
                                  <w:tcW w:w="965" w:type="pct"/>
                                  <w:tcBorders>
                                    <w:top w:val="nil"/>
                                    <w:left w:val="nil"/>
                                    <w:bottom w:val="nil"/>
                                    <w:right w:val="nil"/>
                                  </w:tcBorders>
                                  <w:noWrap/>
                                  <w:hideMark/>
                                </w:tcPr>
                                <w:p w14:paraId="3AA69B11"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Investments</w:t>
                                  </w:r>
                                </w:p>
                              </w:tc>
                              <w:tc>
                                <w:tcPr>
                                  <w:tcW w:w="576" w:type="pct"/>
                                  <w:tcBorders>
                                    <w:top w:val="nil"/>
                                    <w:left w:val="nil"/>
                                    <w:bottom w:val="nil"/>
                                    <w:right w:val="nil"/>
                                  </w:tcBorders>
                                  <w:hideMark/>
                                </w:tcPr>
                                <w:p w14:paraId="2497B6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36.0 </w:t>
                                  </w:r>
                                </w:p>
                              </w:tc>
                              <w:tc>
                                <w:tcPr>
                                  <w:tcW w:w="576" w:type="pct"/>
                                  <w:tcBorders>
                                    <w:top w:val="nil"/>
                                    <w:left w:val="nil"/>
                                    <w:bottom w:val="nil"/>
                                    <w:right w:val="nil"/>
                                  </w:tcBorders>
                                  <w:hideMark/>
                                </w:tcPr>
                                <w:p w14:paraId="6B3EC9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49.6 </w:t>
                                  </w:r>
                                </w:p>
                              </w:tc>
                              <w:tc>
                                <w:tcPr>
                                  <w:tcW w:w="576" w:type="pct"/>
                                  <w:tcBorders>
                                    <w:top w:val="nil"/>
                                    <w:left w:val="nil"/>
                                    <w:bottom w:val="nil"/>
                                    <w:right w:val="nil"/>
                                  </w:tcBorders>
                                  <w:hideMark/>
                                </w:tcPr>
                                <w:p w14:paraId="62CB7CE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66.8 </w:t>
                                  </w:r>
                                </w:p>
                              </w:tc>
                              <w:tc>
                                <w:tcPr>
                                  <w:tcW w:w="576" w:type="pct"/>
                                  <w:tcBorders>
                                    <w:top w:val="nil"/>
                                    <w:left w:val="nil"/>
                                    <w:bottom w:val="nil"/>
                                    <w:right w:val="nil"/>
                                  </w:tcBorders>
                                  <w:hideMark/>
                                </w:tcPr>
                                <w:p w14:paraId="3384D88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69.9 </w:t>
                                  </w:r>
                                </w:p>
                              </w:tc>
                              <w:tc>
                                <w:tcPr>
                                  <w:tcW w:w="576" w:type="pct"/>
                                  <w:tcBorders>
                                    <w:top w:val="nil"/>
                                    <w:left w:val="nil"/>
                                    <w:bottom w:val="nil"/>
                                    <w:right w:val="nil"/>
                                  </w:tcBorders>
                                  <w:hideMark/>
                                </w:tcPr>
                                <w:p w14:paraId="0A73AEF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66.0 </w:t>
                                  </w:r>
                                </w:p>
                              </w:tc>
                              <w:tc>
                                <w:tcPr>
                                  <w:tcW w:w="576" w:type="pct"/>
                                  <w:tcBorders>
                                    <w:top w:val="nil"/>
                                    <w:left w:val="nil"/>
                                    <w:bottom w:val="nil"/>
                                    <w:right w:val="nil"/>
                                  </w:tcBorders>
                                  <w:hideMark/>
                                </w:tcPr>
                                <w:p w14:paraId="130C70E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58.7 </w:t>
                                  </w:r>
                                </w:p>
                              </w:tc>
                              <w:tc>
                                <w:tcPr>
                                  <w:tcW w:w="576" w:type="pct"/>
                                  <w:tcBorders>
                                    <w:top w:val="nil"/>
                                    <w:left w:val="nil"/>
                                    <w:bottom w:val="nil"/>
                                    <w:right w:val="nil"/>
                                  </w:tcBorders>
                                  <w:hideMark/>
                                </w:tcPr>
                                <w:p w14:paraId="5F5538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76.3 </w:t>
                                  </w:r>
                                </w:p>
                              </w:tc>
                            </w:tr>
                            <w:tr w:rsidR="00B43A9E" w:rsidRPr="00B43A9E" w14:paraId="2A61A6C5" w14:textId="77777777" w:rsidTr="00B43A9E">
                              <w:trPr>
                                <w:trHeight w:val="204"/>
                              </w:trPr>
                              <w:tc>
                                <w:tcPr>
                                  <w:tcW w:w="965" w:type="pct"/>
                                  <w:tcBorders>
                                    <w:top w:val="nil"/>
                                    <w:left w:val="nil"/>
                                    <w:bottom w:val="nil"/>
                                    <w:right w:val="nil"/>
                                  </w:tcBorders>
                                  <w:noWrap/>
                                  <w:hideMark/>
                                </w:tcPr>
                                <w:p w14:paraId="2B780A1A"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Goodwill</w:t>
                                  </w:r>
                                </w:p>
                              </w:tc>
                              <w:tc>
                                <w:tcPr>
                                  <w:tcW w:w="576" w:type="pct"/>
                                  <w:tcBorders>
                                    <w:top w:val="nil"/>
                                    <w:left w:val="nil"/>
                                    <w:bottom w:val="nil"/>
                                    <w:right w:val="nil"/>
                                  </w:tcBorders>
                                  <w:hideMark/>
                                </w:tcPr>
                                <w:p w14:paraId="372844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39.5 </w:t>
                                  </w:r>
                                </w:p>
                              </w:tc>
                              <w:tc>
                                <w:tcPr>
                                  <w:tcW w:w="576" w:type="pct"/>
                                  <w:tcBorders>
                                    <w:top w:val="nil"/>
                                    <w:left w:val="nil"/>
                                    <w:bottom w:val="nil"/>
                                    <w:right w:val="nil"/>
                                  </w:tcBorders>
                                  <w:hideMark/>
                                </w:tcPr>
                                <w:p w14:paraId="1EDEF0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39.1 </w:t>
                                  </w:r>
                                </w:p>
                              </w:tc>
                              <w:tc>
                                <w:tcPr>
                                  <w:tcW w:w="576" w:type="pct"/>
                                  <w:tcBorders>
                                    <w:top w:val="nil"/>
                                    <w:left w:val="nil"/>
                                    <w:bottom w:val="nil"/>
                                    <w:right w:val="nil"/>
                                  </w:tcBorders>
                                  <w:hideMark/>
                                </w:tcPr>
                                <w:p w14:paraId="69C0D1F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25437C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42.5 </w:t>
                                  </w:r>
                                </w:p>
                              </w:tc>
                              <w:tc>
                                <w:tcPr>
                                  <w:tcW w:w="576" w:type="pct"/>
                                  <w:tcBorders>
                                    <w:top w:val="nil"/>
                                    <w:left w:val="nil"/>
                                    <w:bottom w:val="nil"/>
                                    <w:right w:val="nil"/>
                                  </w:tcBorders>
                                  <w:hideMark/>
                                </w:tcPr>
                                <w:p w14:paraId="290EBB5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39.0 </w:t>
                                  </w:r>
                                </w:p>
                              </w:tc>
                              <w:tc>
                                <w:tcPr>
                                  <w:tcW w:w="576" w:type="pct"/>
                                  <w:tcBorders>
                                    <w:top w:val="nil"/>
                                    <w:left w:val="nil"/>
                                    <w:bottom w:val="nil"/>
                                    <w:right w:val="nil"/>
                                  </w:tcBorders>
                                  <w:hideMark/>
                                </w:tcPr>
                                <w:p w14:paraId="3535CB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36.0 </w:t>
                                  </w:r>
                                </w:p>
                              </w:tc>
                              <w:tc>
                                <w:tcPr>
                                  <w:tcW w:w="576" w:type="pct"/>
                                  <w:tcBorders>
                                    <w:top w:val="nil"/>
                                    <w:left w:val="nil"/>
                                    <w:bottom w:val="nil"/>
                                    <w:right w:val="nil"/>
                                  </w:tcBorders>
                                  <w:hideMark/>
                                </w:tcPr>
                                <w:p w14:paraId="6BC61D5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34.9 </w:t>
                                  </w:r>
                                </w:p>
                              </w:tc>
                            </w:tr>
                            <w:tr w:rsidR="00B43A9E" w:rsidRPr="00B43A9E" w14:paraId="0A0E3580" w14:textId="77777777" w:rsidTr="00B43A9E">
                              <w:trPr>
                                <w:trHeight w:val="204"/>
                              </w:trPr>
                              <w:tc>
                                <w:tcPr>
                                  <w:tcW w:w="965" w:type="pct"/>
                                  <w:tcBorders>
                                    <w:top w:val="nil"/>
                                    <w:left w:val="nil"/>
                                    <w:bottom w:val="nil"/>
                                    <w:right w:val="nil"/>
                                  </w:tcBorders>
                                  <w:noWrap/>
                                  <w:hideMark/>
                                </w:tcPr>
                                <w:p w14:paraId="7F47A4B6"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Intangibles</w:t>
                                  </w:r>
                                </w:p>
                              </w:tc>
                              <w:tc>
                                <w:tcPr>
                                  <w:tcW w:w="576" w:type="pct"/>
                                  <w:tcBorders>
                                    <w:top w:val="nil"/>
                                    <w:left w:val="nil"/>
                                    <w:bottom w:val="nil"/>
                                    <w:right w:val="nil"/>
                                  </w:tcBorders>
                                  <w:hideMark/>
                                </w:tcPr>
                                <w:p w14:paraId="7A86CF7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11.1 </w:t>
                                  </w:r>
                                </w:p>
                              </w:tc>
                              <w:tc>
                                <w:tcPr>
                                  <w:tcW w:w="576" w:type="pct"/>
                                  <w:tcBorders>
                                    <w:top w:val="nil"/>
                                    <w:left w:val="nil"/>
                                    <w:bottom w:val="nil"/>
                                    <w:right w:val="nil"/>
                                  </w:tcBorders>
                                  <w:hideMark/>
                                </w:tcPr>
                                <w:p w14:paraId="20D1805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8.6 </w:t>
                                  </w:r>
                                </w:p>
                              </w:tc>
                              <w:tc>
                                <w:tcPr>
                                  <w:tcW w:w="576" w:type="pct"/>
                                  <w:tcBorders>
                                    <w:top w:val="nil"/>
                                    <w:left w:val="nil"/>
                                    <w:bottom w:val="nil"/>
                                    <w:right w:val="nil"/>
                                  </w:tcBorders>
                                  <w:hideMark/>
                                </w:tcPr>
                                <w:p w14:paraId="203646E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10.8 </w:t>
                                  </w:r>
                                </w:p>
                              </w:tc>
                              <w:tc>
                                <w:tcPr>
                                  <w:tcW w:w="576" w:type="pct"/>
                                  <w:tcBorders>
                                    <w:top w:val="nil"/>
                                    <w:left w:val="nil"/>
                                    <w:bottom w:val="nil"/>
                                    <w:right w:val="nil"/>
                                  </w:tcBorders>
                                  <w:hideMark/>
                                </w:tcPr>
                                <w:p w14:paraId="5D4BD57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9.3 </w:t>
                                  </w:r>
                                </w:p>
                              </w:tc>
                              <w:tc>
                                <w:tcPr>
                                  <w:tcW w:w="576" w:type="pct"/>
                                  <w:tcBorders>
                                    <w:top w:val="nil"/>
                                    <w:left w:val="nil"/>
                                    <w:bottom w:val="nil"/>
                                    <w:right w:val="nil"/>
                                  </w:tcBorders>
                                  <w:hideMark/>
                                </w:tcPr>
                                <w:p w14:paraId="4148976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6.8 </w:t>
                                  </w:r>
                                </w:p>
                              </w:tc>
                              <w:tc>
                                <w:tcPr>
                                  <w:tcW w:w="576" w:type="pct"/>
                                  <w:tcBorders>
                                    <w:top w:val="nil"/>
                                    <w:left w:val="nil"/>
                                    <w:bottom w:val="nil"/>
                                    <w:right w:val="nil"/>
                                  </w:tcBorders>
                                  <w:hideMark/>
                                </w:tcPr>
                                <w:p w14:paraId="18E6646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3.7 </w:t>
                                  </w:r>
                                </w:p>
                              </w:tc>
                              <w:tc>
                                <w:tcPr>
                                  <w:tcW w:w="576" w:type="pct"/>
                                  <w:tcBorders>
                                    <w:top w:val="nil"/>
                                    <w:left w:val="nil"/>
                                    <w:bottom w:val="nil"/>
                                    <w:right w:val="nil"/>
                                  </w:tcBorders>
                                  <w:hideMark/>
                                </w:tcPr>
                                <w:p w14:paraId="59A781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r>
                            <w:tr w:rsidR="00B43A9E" w:rsidRPr="00B43A9E" w14:paraId="58306394" w14:textId="77777777" w:rsidTr="00B43A9E">
                              <w:trPr>
                                <w:trHeight w:val="204"/>
                              </w:trPr>
                              <w:tc>
                                <w:tcPr>
                                  <w:tcW w:w="965" w:type="pct"/>
                                  <w:tcBorders>
                                    <w:top w:val="nil"/>
                                    <w:left w:val="nil"/>
                                    <w:bottom w:val="nil"/>
                                    <w:right w:val="nil"/>
                                  </w:tcBorders>
                                  <w:noWrap/>
                                  <w:hideMark/>
                                </w:tcPr>
                                <w:p w14:paraId="5E27334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Deferred Tax Assets, LT</w:t>
                                  </w:r>
                                </w:p>
                              </w:tc>
                              <w:tc>
                                <w:tcPr>
                                  <w:tcW w:w="576" w:type="pct"/>
                                  <w:tcBorders>
                                    <w:top w:val="nil"/>
                                    <w:left w:val="nil"/>
                                    <w:bottom w:val="nil"/>
                                    <w:right w:val="nil"/>
                                  </w:tcBorders>
                                  <w:hideMark/>
                                </w:tcPr>
                                <w:p w14:paraId="20E8464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9DDC15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1B4E86B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 </w:t>
                                  </w:r>
                                </w:p>
                              </w:tc>
                              <w:tc>
                                <w:tcPr>
                                  <w:tcW w:w="576" w:type="pct"/>
                                  <w:tcBorders>
                                    <w:top w:val="nil"/>
                                    <w:left w:val="nil"/>
                                    <w:bottom w:val="nil"/>
                                    <w:right w:val="nil"/>
                                  </w:tcBorders>
                                  <w:hideMark/>
                                </w:tcPr>
                                <w:p w14:paraId="2E91D93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2C47E80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5D9E34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 </w:t>
                                  </w:r>
                                </w:p>
                              </w:tc>
                              <w:tc>
                                <w:tcPr>
                                  <w:tcW w:w="576" w:type="pct"/>
                                  <w:tcBorders>
                                    <w:top w:val="nil"/>
                                    <w:left w:val="nil"/>
                                    <w:bottom w:val="nil"/>
                                    <w:right w:val="nil"/>
                                  </w:tcBorders>
                                  <w:hideMark/>
                                </w:tcPr>
                                <w:p w14:paraId="194A732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5BBFFA42" w14:textId="77777777" w:rsidTr="00B43A9E">
                              <w:trPr>
                                <w:trHeight w:val="204"/>
                              </w:trPr>
                              <w:tc>
                                <w:tcPr>
                                  <w:tcW w:w="965" w:type="pct"/>
                                  <w:tcBorders>
                                    <w:top w:val="nil"/>
                                    <w:left w:val="nil"/>
                                    <w:bottom w:val="nil"/>
                                    <w:right w:val="nil"/>
                                  </w:tcBorders>
                                  <w:noWrap/>
                                  <w:hideMark/>
                                </w:tcPr>
                                <w:p w14:paraId="5368F86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Deferred Charges, LT</w:t>
                                  </w:r>
                                </w:p>
                              </w:tc>
                              <w:tc>
                                <w:tcPr>
                                  <w:tcW w:w="576" w:type="pct"/>
                                  <w:tcBorders>
                                    <w:top w:val="nil"/>
                                    <w:left w:val="nil"/>
                                    <w:bottom w:val="nil"/>
                                    <w:right w:val="nil"/>
                                  </w:tcBorders>
                                  <w:hideMark/>
                                </w:tcPr>
                                <w:p w14:paraId="7D0DBCB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30D8EA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0A264BF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7A3C745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7C48A10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0957290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FCE632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7CA3052C" w14:textId="77777777" w:rsidTr="00B43A9E">
                              <w:trPr>
                                <w:trHeight w:val="204"/>
                              </w:trPr>
                              <w:tc>
                                <w:tcPr>
                                  <w:tcW w:w="965" w:type="pct"/>
                                  <w:tcBorders>
                                    <w:top w:val="nil"/>
                                    <w:left w:val="nil"/>
                                    <w:bottom w:val="nil"/>
                                    <w:right w:val="nil"/>
                                  </w:tcBorders>
                                  <w:noWrap/>
                                  <w:hideMark/>
                                </w:tcPr>
                                <w:p w14:paraId="6EF09D4D"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Long-Term Assets</w:t>
                                  </w:r>
                                </w:p>
                              </w:tc>
                              <w:tc>
                                <w:tcPr>
                                  <w:tcW w:w="576" w:type="pct"/>
                                  <w:tcBorders>
                                    <w:top w:val="nil"/>
                                    <w:left w:val="nil"/>
                                    <w:bottom w:val="nil"/>
                                    <w:right w:val="nil"/>
                                  </w:tcBorders>
                                  <w:hideMark/>
                                </w:tcPr>
                                <w:p w14:paraId="1FCF7F5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7654397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 </w:t>
                                  </w:r>
                                </w:p>
                              </w:tc>
                              <w:tc>
                                <w:tcPr>
                                  <w:tcW w:w="576" w:type="pct"/>
                                  <w:tcBorders>
                                    <w:top w:val="nil"/>
                                    <w:left w:val="nil"/>
                                    <w:bottom w:val="nil"/>
                                    <w:right w:val="nil"/>
                                  </w:tcBorders>
                                  <w:hideMark/>
                                </w:tcPr>
                                <w:p w14:paraId="182C76E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7CDB11A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7B4200C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 </w:t>
                                  </w:r>
                                </w:p>
                              </w:tc>
                              <w:tc>
                                <w:tcPr>
                                  <w:tcW w:w="576" w:type="pct"/>
                                  <w:tcBorders>
                                    <w:top w:val="nil"/>
                                    <w:left w:val="nil"/>
                                    <w:bottom w:val="nil"/>
                                    <w:right w:val="nil"/>
                                  </w:tcBorders>
                                  <w:hideMark/>
                                </w:tcPr>
                                <w:p w14:paraId="2E25822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 </w:t>
                                  </w:r>
                                </w:p>
                              </w:tc>
                              <w:tc>
                                <w:tcPr>
                                  <w:tcW w:w="576" w:type="pct"/>
                                  <w:tcBorders>
                                    <w:top w:val="nil"/>
                                    <w:left w:val="nil"/>
                                    <w:bottom w:val="nil"/>
                                    <w:right w:val="nil"/>
                                  </w:tcBorders>
                                  <w:hideMark/>
                                </w:tcPr>
                                <w:p w14:paraId="6FFDF4B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16.0 </w:t>
                                  </w:r>
                                </w:p>
                              </w:tc>
                            </w:tr>
                            <w:tr w:rsidR="00B43A9E" w:rsidRPr="00B43A9E" w14:paraId="7F4A1DFB" w14:textId="77777777" w:rsidTr="00B43A9E">
                              <w:trPr>
                                <w:trHeight w:val="204"/>
                              </w:trPr>
                              <w:tc>
                                <w:tcPr>
                                  <w:tcW w:w="965" w:type="pct"/>
                                  <w:tcBorders>
                                    <w:top w:val="nil"/>
                                    <w:left w:val="nil"/>
                                    <w:bottom w:val="nil"/>
                                    <w:right w:val="nil"/>
                                  </w:tcBorders>
                                  <w:noWrap/>
                                  <w:hideMark/>
                                </w:tcPr>
                                <w:p w14:paraId="150A5569"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Assets</w:t>
                                  </w:r>
                                </w:p>
                              </w:tc>
                              <w:tc>
                                <w:tcPr>
                                  <w:tcW w:w="576" w:type="pct"/>
                                  <w:tcBorders>
                                    <w:top w:val="single" w:sz="4" w:space="0" w:color="000000"/>
                                    <w:left w:val="nil"/>
                                    <w:bottom w:val="nil"/>
                                    <w:right w:val="nil"/>
                                  </w:tcBorders>
                                  <w:hideMark/>
                                </w:tcPr>
                                <w:p w14:paraId="487B4A5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143.8 </w:t>
                                  </w:r>
                                </w:p>
                              </w:tc>
                              <w:tc>
                                <w:tcPr>
                                  <w:tcW w:w="576" w:type="pct"/>
                                  <w:tcBorders>
                                    <w:top w:val="single" w:sz="4" w:space="0" w:color="000000"/>
                                    <w:left w:val="nil"/>
                                    <w:bottom w:val="nil"/>
                                    <w:right w:val="nil"/>
                                  </w:tcBorders>
                                  <w:hideMark/>
                                </w:tcPr>
                                <w:p w14:paraId="3CDF404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185.4 </w:t>
                                  </w:r>
                                </w:p>
                              </w:tc>
                              <w:tc>
                                <w:tcPr>
                                  <w:tcW w:w="576" w:type="pct"/>
                                  <w:tcBorders>
                                    <w:top w:val="single" w:sz="4" w:space="0" w:color="000000"/>
                                    <w:left w:val="nil"/>
                                    <w:bottom w:val="nil"/>
                                    <w:right w:val="nil"/>
                                  </w:tcBorders>
                                  <w:hideMark/>
                                </w:tcPr>
                                <w:p w14:paraId="5BB27DE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257.9 </w:t>
                                  </w:r>
                                </w:p>
                              </w:tc>
                              <w:tc>
                                <w:tcPr>
                                  <w:tcW w:w="576" w:type="pct"/>
                                  <w:tcBorders>
                                    <w:top w:val="single" w:sz="4" w:space="0" w:color="000000"/>
                                    <w:left w:val="nil"/>
                                    <w:bottom w:val="nil"/>
                                    <w:right w:val="nil"/>
                                  </w:tcBorders>
                                  <w:hideMark/>
                                </w:tcPr>
                                <w:p w14:paraId="6994B5A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267.4 </w:t>
                                  </w:r>
                                </w:p>
                              </w:tc>
                              <w:tc>
                                <w:tcPr>
                                  <w:tcW w:w="576" w:type="pct"/>
                                  <w:tcBorders>
                                    <w:top w:val="single" w:sz="4" w:space="0" w:color="000000"/>
                                    <w:left w:val="nil"/>
                                    <w:bottom w:val="nil"/>
                                    <w:right w:val="nil"/>
                                  </w:tcBorders>
                                  <w:hideMark/>
                                </w:tcPr>
                                <w:p w14:paraId="090A6E8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255.2 </w:t>
                                  </w:r>
                                </w:p>
                              </w:tc>
                              <w:tc>
                                <w:tcPr>
                                  <w:tcW w:w="576" w:type="pct"/>
                                  <w:tcBorders>
                                    <w:top w:val="single" w:sz="4" w:space="0" w:color="000000"/>
                                    <w:left w:val="nil"/>
                                    <w:bottom w:val="nil"/>
                                    <w:right w:val="nil"/>
                                  </w:tcBorders>
                                  <w:hideMark/>
                                </w:tcPr>
                                <w:p w14:paraId="703E680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244.4 </w:t>
                                  </w:r>
                                </w:p>
                              </w:tc>
                              <w:tc>
                                <w:tcPr>
                                  <w:tcW w:w="576" w:type="pct"/>
                                  <w:tcBorders>
                                    <w:top w:val="single" w:sz="4" w:space="0" w:color="000000"/>
                                    <w:left w:val="nil"/>
                                    <w:bottom w:val="nil"/>
                                    <w:right w:val="nil"/>
                                  </w:tcBorders>
                                  <w:hideMark/>
                                </w:tcPr>
                                <w:p w14:paraId="252B0AC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254.1 </w:t>
                                  </w:r>
                                </w:p>
                              </w:tc>
                            </w:tr>
                            <w:tr w:rsidR="00B43A9E" w:rsidRPr="00B43A9E" w14:paraId="71FD5A10" w14:textId="77777777" w:rsidTr="00B43A9E">
                              <w:trPr>
                                <w:trHeight w:val="204"/>
                              </w:trPr>
                              <w:tc>
                                <w:tcPr>
                                  <w:tcW w:w="965" w:type="pct"/>
                                  <w:tcBorders>
                                    <w:top w:val="nil"/>
                                    <w:left w:val="nil"/>
                                    <w:bottom w:val="nil"/>
                                    <w:right w:val="nil"/>
                                  </w:tcBorders>
                                  <w:noWrap/>
                                  <w:hideMark/>
                                </w:tcPr>
                                <w:p w14:paraId="596D1946"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LIABILITIES</w:t>
                                  </w:r>
                                </w:p>
                              </w:tc>
                              <w:tc>
                                <w:tcPr>
                                  <w:tcW w:w="576" w:type="pct"/>
                                  <w:tcBorders>
                                    <w:top w:val="nil"/>
                                    <w:left w:val="nil"/>
                                    <w:bottom w:val="nil"/>
                                    <w:right w:val="nil"/>
                                  </w:tcBorders>
                                  <w:noWrap/>
                                  <w:hideMark/>
                                </w:tcPr>
                                <w:p w14:paraId="496F6C4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hideMark/>
                                </w:tcPr>
                                <w:p w14:paraId="529964BD"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61BA800C"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ACF40F3"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0BFB7609"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8EBDCE2"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1B85AAFD"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r>
                            <w:tr w:rsidR="00B43A9E" w:rsidRPr="00B43A9E" w14:paraId="4F13B2A6" w14:textId="77777777" w:rsidTr="00B43A9E">
                              <w:trPr>
                                <w:trHeight w:val="204"/>
                              </w:trPr>
                              <w:tc>
                                <w:tcPr>
                                  <w:tcW w:w="965" w:type="pct"/>
                                  <w:tcBorders>
                                    <w:top w:val="nil"/>
                                    <w:left w:val="nil"/>
                                    <w:bottom w:val="nil"/>
                                    <w:right w:val="nil"/>
                                  </w:tcBorders>
                                  <w:noWrap/>
                                  <w:hideMark/>
                                </w:tcPr>
                                <w:p w14:paraId="1F7513D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Accounts Payable</w:t>
                                  </w:r>
                                </w:p>
                              </w:tc>
                              <w:tc>
                                <w:tcPr>
                                  <w:tcW w:w="576" w:type="pct"/>
                                  <w:tcBorders>
                                    <w:top w:val="nil"/>
                                    <w:left w:val="nil"/>
                                    <w:bottom w:val="nil"/>
                                    <w:right w:val="nil"/>
                                  </w:tcBorders>
                                  <w:hideMark/>
                                </w:tcPr>
                                <w:p w14:paraId="69862A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7.7 </w:t>
                                  </w:r>
                                </w:p>
                              </w:tc>
                              <w:tc>
                                <w:tcPr>
                                  <w:tcW w:w="576" w:type="pct"/>
                                  <w:tcBorders>
                                    <w:top w:val="nil"/>
                                    <w:left w:val="nil"/>
                                    <w:bottom w:val="nil"/>
                                    <w:right w:val="nil"/>
                                  </w:tcBorders>
                                  <w:hideMark/>
                                </w:tcPr>
                                <w:p w14:paraId="5B17120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9.5 </w:t>
                                  </w:r>
                                </w:p>
                              </w:tc>
                              <w:tc>
                                <w:tcPr>
                                  <w:tcW w:w="576" w:type="pct"/>
                                  <w:tcBorders>
                                    <w:top w:val="nil"/>
                                    <w:left w:val="nil"/>
                                    <w:bottom w:val="nil"/>
                                    <w:right w:val="nil"/>
                                  </w:tcBorders>
                                  <w:hideMark/>
                                </w:tcPr>
                                <w:p w14:paraId="1F1AB23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14.4 </w:t>
                                  </w:r>
                                </w:p>
                              </w:tc>
                              <w:tc>
                                <w:tcPr>
                                  <w:tcW w:w="576" w:type="pct"/>
                                  <w:tcBorders>
                                    <w:top w:val="nil"/>
                                    <w:left w:val="nil"/>
                                    <w:bottom w:val="nil"/>
                                    <w:right w:val="nil"/>
                                  </w:tcBorders>
                                  <w:hideMark/>
                                </w:tcPr>
                                <w:p w14:paraId="5E33B98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16.9 </w:t>
                                  </w:r>
                                </w:p>
                              </w:tc>
                              <w:tc>
                                <w:tcPr>
                                  <w:tcW w:w="576" w:type="pct"/>
                                  <w:tcBorders>
                                    <w:top w:val="nil"/>
                                    <w:left w:val="nil"/>
                                    <w:bottom w:val="nil"/>
                                    <w:right w:val="nil"/>
                                  </w:tcBorders>
                                  <w:hideMark/>
                                </w:tcPr>
                                <w:p w14:paraId="0160555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16.6 </w:t>
                                  </w:r>
                                </w:p>
                              </w:tc>
                              <w:tc>
                                <w:tcPr>
                                  <w:tcW w:w="576" w:type="pct"/>
                                  <w:tcBorders>
                                    <w:top w:val="nil"/>
                                    <w:left w:val="nil"/>
                                    <w:bottom w:val="nil"/>
                                    <w:right w:val="nil"/>
                                  </w:tcBorders>
                                  <w:hideMark/>
                                </w:tcPr>
                                <w:p w14:paraId="67B5DAE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17.7 </w:t>
                                  </w:r>
                                </w:p>
                              </w:tc>
                              <w:tc>
                                <w:tcPr>
                                  <w:tcW w:w="576" w:type="pct"/>
                                  <w:tcBorders>
                                    <w:top w:val="nil"/>
                                    <w:left w:val="nil"/>
                                    <w:bottom w:val="nil"/>
                                    <w:right w:val="nil"/>
                                  </w:tcBorders>
                                  <w:hideMark/>
                                </w:tcPr>
                                <w:p w14:paraId="469B4E3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0E4DFB4E" w14:textId="77777777" w:rsidTr="00B43A9E">
                              <w:trPr>
                                <w:trHeight w:val="204"/>
                              </w:trPr>
                              <w:tc>
                                <w:tcPr>
                                  <w:tcW w:w="965" w:type="pct"/>
                                  <w:tcBorders>
                                    <w:top w:val="nil"/>
                                    <w:left w:val="nil"/>
                                    <w:bottom w:val="nil"/>
                                    <w:right w:val="nil"/>
                                  </w:tcBorders>
                                  <w:noWrap/>
                                  <w:hideMark/>
                                </w:tcPr>
                                <w:p w14:paraId="41B9660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Accrued Exp.</w:t>
                                  </w:r>
                                </w:p>
                              </w:tc>
                              <w:tc>
                                <w:tcPr>
                                  <w:tcW w:w="576" w:type="pct"/>
                                  <w:tcBorders>
                                    <w:top w:val="nil"/>
                                    <w:left w:val="nil"/>
                                    <w:bottom w:val="nil"/>
                                    <w:right w:val="nil"/>
                                  </w:tcBorders>
                                  <w:hideMark/>
                                </w:tcPr>
                                <w:p w14:paraId="008B8DE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3.1 </w:t>
                                  </w:r>
                                </w:p>
                              </w:tc>
                              <w:tc>
                                <w:tcPr>
                                  <w:tcW w:w="576" w:type="pct"/>
                                  <w:tcBorders>
                                    <w:top w:val="nil"/>
                                    <w:left w:val="nil"/>
                                    <w:bottom w:val="nil"/>
                                    <w:right w:val="nil"/>
                                  </w:tcBorders>
                                  <w:hideMark/>
                                </w:tcPr>
                                <w:p w14:paraId="04CED63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3.2 </w:t>
                                  </w:r>
                                </w:p>
                              </w:tc>
                              <w:tc>
                                <w:tcPr>
                                  <w:tcW w:w="576" w:type="pct"/>
                                  <w:tcBorders>
                                    <w:top w:val="nil"/>
                                    <w:left w:val="nil"/>
                                    <w:bottom w:val="nil"/>
                                    <w:right w:val="nil"/>
                                  </w:tcBorders>
                                  <w:hideMark/>
                                </w:tcPr>
                                <w:p w14:paraId="0DFBED6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5.0 </w:t>
                                  </w:r>
                                </w:p>
                              </w:tc>
                              <w:tc>
                                <w:tcPr>
                                  <w:tcW w:w="576" w:type="pct"/>
                                  <w:tcBorders>
                                    <w:top w:val="nil"/>
                                    <w:left w:val="nil"/>
                                    <w:bottom w:val="nil"/>
                                    <w:right w:val="nil"/>
                                  </w:tcBorders>
                                  <w:hideMark/>
                                </w:tcPr>
                                <w:p w14:paraId="14CF07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5.9 </w:t>
                                  </w:r>
                                </w:p>
                              </w:tc>
                              <w:tc>
                                <w:tcPr>
                                  <w:tcW w:w="576" w:type="pct"/>
                                  <w:tcBorders>
                                    <w:top w:val="nil"/>
                                    <w:left w:val="nil"/>
                                    <w:bottom w:val="nil"/>
                                    <w:right w:val="nil"/>
                                  </w:tcBorders>
                                  <w:hideMark/>
                                </w:tcPr>
                                <w:p w14:paraId="65646E1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58DFE94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21066B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46.6 </w:t>
                                  </w:r>
                                </w:p>
                              </w:tc>
                            </w:tr>
                            <w:tr w:rsidR="00B43A9E" w:rsidRPr="00B43A9E" w14:paraId="43893238" w14:textId="77777777" w:rsidTr="00B43A9E">
                              <w:trPr>
                                <w:trHeight w:val="204"/>
                              </w:trPr>
                              <w:tc>
                                <w:tcPr>
                                  <w:tcW w:w="965" w:type="pct"/>
                                  <w:tcBorders>
                                    <w:top w:val="nil"/>
                                    <w:left w:val="nil"/>
                                    <w:bottom w:val="nil"/>
                                    <w:right w:val="nil"/>
                                  </w:tcBorders>
                                  <w:noWrap/>
                                  <w:hideMark/>
                                </w:tcPr>
                                <w:p w14:paraId="60AE8C8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Short-term Borrowings</w:t>
                                  </w:r>
                                </w:p>
                              </w:tc>
                              <w:tc>
                                <w:tcPr>
                                  <w:tcW w:w="576" w:type="pct"/>
                                  <w:tcBorders>
                                    <w:top w:val="nil"/>
                                    <w:left w:val="nil"/>
                                    <w:bottom w:val="nil"/>
                                    <w:right w:val="nil"/>
                                  </w:tcBorders>
                                  <w:hideMark/>
                                </w:tcPr>
                                <w:p w14:paraId="2351921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0B5EA36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c>
                                <w:tcPr>
                                  <w:tcW w:w="576" w:type="pct"/>
                                  <w:tcBorders>
                                    <w:top w:val="nil"/>
                                    <w:left w:val="nil"/>
                                    <w:bottom w:val="nil"/>
                                    <w:right w:val="nil"/>
                                  </w:tcBorders>
                                  <w:hideMark/>
                                </w:tcPr>
                                <w:p w14:paraId="48AE48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61252F8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 </w:t>
                                  </w:r>
                                </w:p>
                              </w:tc>
                              <w:tc>
                                <w:tcPr>
                                  <w:tcW w:w="576" w:type="pct"/>
                                  <w:tcBorders>
                                    <w:top w:val="nil"/>
                                    <w:left w:val="nil"/>
                                    <w:bottom w:val="nil"/>
                                    <w:right w:val="nil"/>
                                  </w:tcBorders>
                                  <w:hideMark/>
                                </w:tcPr>
                                <w:p w14:paraId="6A9CAB6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1769519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3E6BAAE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r>
                            <w:tr w:rsidR="00B43A9E" w:rsidRPr="00B43A9E" w14:paraId="4232747B" w14:textId="77777777" w:rsidTr="00B43A9E">
                              <w:trPr>
                                <w:trHeight w:val="204"/>
                              </w:trPr>
                              <w:tc>
                                <w:tcPr>
                                  <w:tcW w:w="965" w:type="pct"/>
                                  <w:tcBorders>
                                    <w:top w:val="nil"/>
                                    <w:left w:val="nil"/>
                                    <w:bottom w:val="nil"/>
                                    <w:right w:val="nil"/>
                                  </w:tcBorders>
                                  <w:noWrap/>
                                  <w:hideMark/>
                                </w:tcPr>
                                <w:p w14:paraId="01586C4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Port. of LT Debt</w:t>
                                  </w:r>
                                </w:p>
                              </w:tc>
                              <w:tc>
                                <w:tcPr>
                                  <w:tcW w:w="576" w:type="pct"/>
                                  <w:tcBorders>
                                    <w:top w:val="nil"/>
                                    <w:left w:val="nil"/>
                                    <w:bottom w:val="nil"/>
                                    <w:right w:val="nil"/>
                                  </w:tcBorders>
                                  <w:hideMark/>
                                </w:tcPr>
                                <w:p w14:paraId="383FBDA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005ACCC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66E43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1.5 </w:t>
                                  </w:r>
                                </w:p>
                              </w:tc>
                              <w:tc>
                                <w:tcPr>
                                  <w:tcW w:w="576" w:type="pct"/>
                                  <w:tcBorders>
                                    <w:top w:val="nil"/>
                                    <w:left w:val="nil"/>
                                    <w:bottom w:val="nil"/>
                                    <w:right w:val="nil"/>
                                  </w:tcBorders>
                                  <w:hideMark/>
                                </w:tcPr>
                                <w:p w14:paraId="3F1257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DB6A40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c>
                                <w:tcPr>
                                  <w:tcW w:w="576" w:type="pct"/>
                                  <w:tcBorders>
                                    <w:top w:val="nil"/>
                                    <w:left w:val="nil"/>
                                    <w:bottom w:val="nil"/>
                                    <w:right w:val="nil"/>
                                  </w:tcBorders>
                                  <w:hideMark/>
                                </w:tcPr>
                                <w:p w14:paraId="22BF838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2825837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1E30F485" w14:textId="77777777" w:rsidTr="00B43A9E">
                              <w:trPr>
                                <w:trHeight w:val="204"/>
                              </w:trPr>
                              <w:tc>
                                <w:tcPr>
                                  <w:tcW w:w="965" w:type="pct"/>
                                  <w:tcBorders>
                                    <w:top w:val="nil"/>
                                    <w:left w:val="nil"/>
                                    <w:bottom w:val="nil"/>
                                    <w:right w:val="nil"/>
                                  </w:tcBorders>
                                  <w:noWrap/>
                                  <w:hideMark/>
                                </w:tcPr>
                                <w:p w14:paraId="24AB6841"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Port. of Leases</w:t>
                                  </w:r>
                                </w:p>
                              </w:tc>
                              <w:tc>
                                <w:tcPr>
                                  <w:tcW w:w="576" w:type="pct"/>
                                  <w:tcBorders>
                                    <w:top w:val="nil"/>
                                    <w:left w:val="nil"/>
                                    <w:bottom w:val="nil"/>
                                    <w:right w:val="nil"/>
                                  </w:tcBorders>
                                  <w:hideMark/>
                                </w:tcPr>
                                <w:p w14:paraId="5ECB49B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7D81C5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78C32EA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72E1DE1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5E10EF8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4AC2785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218FA16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3F0B68B5" w14:textId="77777777" w:rsidTr="00B43A9E">
                              <w:trPr>
                                <w:trHeight w:val="204"/>
                              </w:trPr>
                              <w:tc>
                                <w:tcPr>
                                  <w:tcW w:w="965" w:type="pct"/>
                                  <w:tcBorders>
                                    <w:top w:val="nil"/>
                                    <w:left w:val="nil"/>
                                    <w:bottom w:val="nil"/>
                                    <w:right w:val="nil"/>
                                  </w:tcBorders>
                                  <w:noWrap/>
                                  <w:hideMark/>
                                </w:tcPr>
                                <w:p w14:paraId="572159F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Income Taxes Payable</w:t>
                                  </w:r>
                                </w:p>
                              </w:tc>
                              <w:tc>
                                <w:tcPr>
                                  <w:tcW w:w="576" w:type="pct"/>
                                  <w:tcBorders>
                                    <w:top w:val="nil"/>
                                    <w:left w:val="nil"/>
                                    <w:bottom w:val="nil"/>
                                    <w:right w:val="nil"/>
                                  </w:tcBorders>
                                  <w:hideMark/>
                                </w:tcPr>
                                <w:p w14:paraId="35848B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 </w:t>
                                  </w:r>
                                </w:p>
                              </w:tc>
                              <w:tc>
                                <w:tcPr>
                                  <w:tcW w:w="576" w:type="pct"/>
                                  <w:tcBorders>
                                    <w:top w:val="nil"/>
                                    <w:left w:val="nil"/>
                                    <w:bottom w:val="nil"/>
                                    <w:right w:val="nil"/>
                                  </w:tcBorders>
                                  <w:hideMark/>
                                </w:tcPr>
                                <w:p w14:paraId="38ED7CD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c>
                                <w:tcPr>
                                  <w:tcW w:w="576" w:type="pct"/>
                                  <w:tcBorders>
                                    <w:top w:val="nil"/>
                                    <w:left w:val="nil"/>
                                    <w:bottom w:val="nil"/>
                                    <w:right w:val="nil"/>
                                  </w:tcBorders>
                                  <w:hideMark/>
                                </w:tcPr>
                                <w:p w14:paraId="09DB771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 </w:t>
                                  </w:r>
                                </w:p>
                              </w:tc>
                              <w:tc>
                                <w:tcPr>
                                  <w:tcW w:w="576" w:type="pct"/>
                                  <w:tcBorders>
                                    <w:top w:val="nil"/>
                                    <w:left w:val="nil"/>
                                    <w:bottom w:val="nil"/>
                                    <w:right w:val="nil"/>
                                  </w:tcBorders>
                                  <w:hideMark/>
                                </w:tcPr>
                                <w:p w14:paraId="437544B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 </w:t>
                                  </w:r>
                                </w:p>
                              </w:tc>
                              <w:tc>
                                <w:tcPr>
                                  <w:tcW w:w="576" w:type="pct"/>
                                  <w:tcBorders>
                                    <w:top w:val="nil"/>
                                    <w:left w:val="nil"/>
                                    <w:bottom w:val="nil"/>
                                    <w:right w:val="nil"/>
                                  </w:tcBorders>
                                  <w:hideMark/>
                                </w:tcPr>
                                <w:p w14:paraId="04D8F3C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120CB29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1.3 </w:t>
                                  </w:r>
                                </w:p>
                              </w:tc>
                              <w:tc>
                                <w:tcPr>
                                  <w:tcW w:w="576" w:type="pct"/>
                                  <w:tcBorders>
                                    <w:top w:val="nil"/>
                                    <w:left w:val="nil"/>
                                    <w:bottom w:val="nil"/>
                                    <w:right w:val="nil"/>
                                  </w:tcBorders>
                                  <w:hideMark/>
                                </w:tcPr>
                                <w:p w14:paraId="0C2D406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 </w:t>
                                  </w:r>
                                </w:p>
                              </w:tc>
                            </w:tr>
                            <w:tr w:rsidR="00B43A9E" w:rsidRPr="00B43A9E" w14:paraId="55ACB95F" w14:textId="77777777" w:rsidTr="00B43A9E">
                              <w:trPr>
                                <w:trHeight w:val="204"/>
                              </w:trPr>
                              <w:tc>
                                <w:tcPr>
                                  <w:tcW w:w="965" w:type="pct"/>
                                  <w:tcBorders>
                                    <w:top w:val="nil"/>
                                    <w:left w:val="nil"/>
                                    <w:bottom w:val="nil"/>
                                    <w:right w:val="nil"/>
                                  </w:tcBorders>
                                  <w:noWrap/>
                                  <w:hideMark/>
                                </w:tcPr>
                                <w:p w14:paraId="33BCCCA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Unearned Revenue, Current</w:t>
                                  </w:r>
                                </w:p>
                              </w:tc>
                              <w:tc>
                                <w:tcPr>
                                  <w:tcW w:w="576" w:type="pct"/>
                                  <w:tcBorders>
                                    <w:top w:val="nil"/>
                                    <w:left w:val="nil"/>
                                    <w:bottom w:val="nil"/>
                                    <w:right w:val="nil"/>
                                  </w:tcBorders>
                                  <w:hideMark/>
                                </w:tcPr>
                                <w:p w14:paraId="6D0522B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 </w:t>
                                  </w:r>
                                </w:p>
                              </w:tc>
                              <w:tc>
                                <w:tcPr>
                                  <w:tcW w:w="576" w:type="pct"/>
                                  <w:tcBorders>
                                    <w:top w:val="nil"/>
                                    <w:left w:val="nil"/>
                                    <w:bottom w:val="nil"/>
                                    <w:right w:val="nil"/>
                                  </w:tcBorders>
                                  <w:hideMark/>
                                </w:tcPr>
                                <w:p w14:paraId="7912FD0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c>
                                <w:tcPr>
                                  <w:tcW w:w="576" w:type="pct"/>
                                  <w:tcBorders>
                                    <w:top w:val="nil"/>
                                    <w:left w:val="nil"/>
                                    <w:bottom w:val="nil"/>
                                    <w:right w:val="nil"/>
                                  </w:tcBorders>
                                  <w:hideMark/>
                                </w:tcPr>
                                <w:p w14:paraId="688221A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6351E65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4.5 </w:t>
                                  </w:r>
                                </w:p>
                              </w:tc>
                              <w:tc>
                                <w:tcPr>
                                  <w:tcW w:w="576" w:type="pct"/>
                                  <w:tcBorders>
                                    <w:top w:val="nil"/>
                                    <w:left w:val="nil"/>
                                    <w:bottom w:val="nil"/>
                                    <w:right w:val="nil"/>
                                  </w:tcBorders>
                                  <w:hideMark/>
                                </w:tcPr>
                                <w:p w14:paraId="57FEC6A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641741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6B27171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10.7 </w:t>
                                  </w:r>
                                </w:p>
                              </w:tc>
                            </w:tr>
                            <w:tr w:rsidR="00B43A9E" w:rsidRPr="00B43A9E" w14:paraId="489B1B07" w14:textId="77777777" w:rsidTr="00B43A9E">
                              <w:trPr>
                                <w:trHeight w:val="204"/>
                              </w:trPr>
                              <w:tc>
                                <w:tcPr>
                                  <w:tcW w:w="965" w:type="pct"/>
                                  <w:tcBorders>
                                    <w:top w:val="nil"/>
                                    <w:left w:val="nil"/>
                                    <w:bottom w:val="nil"/>
                                    <w:right w:val="nil"/>
                                  </w:tcBorders>
                                  <w:noWrap/>
                                  <w:hideMark/>
                                </w:tcPr>
                                <w:p w14:paraId="5E50556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Current Liabilities</w:t>
                                  </w:r>
                                </w:p>
                              </w:tc>
                              <w:tc>
                                <w:tcPr>
                                  <w:tcW w:w="576" w:type="pct"/>
                                  <w:tcBorders>
                                    <w:top w:val="nil"/>
                                    <w:left w:val="nil"/>
                                    <w:bottom w:val="nil"/>
                                    <w:right w:val="nil"/>
                                  </w:tcBorders>
                                  <w:hideMark/>
                                </w:tcPr>
                                <w:p w14:paraId="4AE8BC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11.6 </w:t>
                                  </w:r>
                                </w:p>
                              </w:tc>
                              <w:tc>
                                <w:tcPr>
                                  <w:tcW w:w="576" w:type="pct"/>
                                  <w:tcBorders>
                                    <w:top w:val="nil"/>
                                    <w:left w:val="nil"/>
                                    <w:bottom w:val="nil"/>
                                    <w:right w:val="nil"/>
                                  </w:tcBorders>
                                  <w:hideMark/>
                                </w:tcPr>
                                <w:p w14:paraId="5D8295E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14.6 </w:t>
                                  </w:r>
                                </w:p>
                              </w:tc>
                              <w:tc>
                                <w:tcPr>
                                  <w:tcW w:w="576" w:type="pct"/>
                                  <w:tcBorders>
                                    <w:top w:val="nil"/>
                                    <w:left w:val="nil"/>
                                    <w:bottom w:val="nil"/>
                                    <w:right w:val="nil"/>
                                  </w:tcBorders>
                                  <w:hideMark/>
                                </w:tcPr>
                                <w:p w14:paraId="75BCFF8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27.5 </w:t>
                                  </w:r>
                                </w:p>
                              </w:tc>
                              <w:tc>
                                <w:tcPr>
                                  <w:tcW w:w="576" w:type="pct"/>
                                  <w:tcBorders>
                                    <w:top w:val="nil"/>
                                    <w:left w:val="nil"/>
                                    <w:bottom w:val="nil"/>
                                    <w:right w:val="nil"/>
                                  </w:tcBorders>
                                  <w:hideMark/>
                                </w:tcPr>
                                <w:p w14:paraId="6EA3C49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27.6 </w:t>
                                  </w:r>
                                </w:p>
                              </w:tc>
                              <w:tc>
                                <w:tcPr>
                                  <w:tcW w:w="576" w:type="pct"/>
                                  <w:tcBorders>
                                    <w:top w:val="nil"/>
                                    <w:left w:val="nil"/>
                                    <w:bottom w:val="nil"/>
                                    <w:right w:val="nil"/>
                                  </w:tcBorders>
                                  <w:hideMark/>
                                </w:tcPr>
                                <w:p w14:paraId="1BBAD4D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25.2 </w:t>
                                  </w:r>
                                </w:p>
                              </w:tc>
                              <w:tc>
                                <w:tcPr>
                                  <w:tcW w:w="576" w:type="pct"/>
                                  <w:tcBorders>
                                    <w:top w:val="nil"/>
                                    <w:left w:val="nil"/>
                                    <w:bottom w:val="nil"/>
                                    <w:right w:val="nil"/>
                                  </w:tcBorders>
                                  <w:hideMark/>
                                </w:tcPr>
                                <w:p w14:paraId="6984F8A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24.8 </w:t>
                                  </w:r>
                                </w:p>
                              </w:tc>
                              <w:tc>
                                <w:tcPr>
                                  <w:tcW w:w="576" w:type="pct"/>
                                  <w:tcBorders>
                                    <w:top w:val="nil"/>
                                    <w:left w:val="nil"/>
                                    <w:bottom w:val="nil"/>
                                    <w:right w:val="nil"/>
                                  </w:tcBorders>
                                  <w:hideMark/>
                                </w:tcPr>
                                <w:p w14:paraId="2D44EF3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r>
                            <w:tr w:rsidR="00B43A9E" w:rsidRPr="00B43A9E" w14:paraId="54C27D6B" w14:textId="77777777" w:rsidTr="00B43A9E">
                              <w:trPr>
                                <w:trHeight w:val="204"/>
                              </w:trPr>
                              <w:tc>
                                <w:tcPr>
                                  <w:tcW w:w="965" w:type="pct"/>
                                  <w:tcBorders>
                                    <w:top w:val="nil"/>
                                    <w:left w:val="nil"/>
                                    <w:bottom w:val="nil"/>
                                    <w:right w:val="nil"/>
                                  </w:tcBorders>
                                  <w:noWrap/>
                                  <w:hideMark/>
                                </w:tcPr>
                                <w:p w14:paraId="0168BEE7"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Current Liabilities</w:t>
                                  </w:r>
                                </w:p>
                              </w:tc>
                              <w:tc>
                                <w:tcPr>
                                  <w:tcW w:w="576" w:type="pct"/>
                                  <w:tcBorders>
                                    <w:top w:val="single" w:sz="4" w:space="0" w:color="000000"/>
                                    <w:left w:val="nil"/>
                                    <w:bottom w:val="nil"/>
                                    <w:right w:val="nil"/>
                                  </w:tcBorders>
                                  <w:hideMark/>
                                </w:tcPr>
                                <w:p w14:paraId="2A7051D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30.9 </w:t>
                                  </w:r>
                                </w:p>
                              </w:tc>
                              <w:tc>
                                <w:tcPr>
                                  <w:tcW w:w="576" w:type="pct"/>
                                  <w:tcBorders>
                                    <w:top w:val="single" w:sz="4" w:space="0" w:color="000000"/>
                                    <w:left w:val="nil"/>
                                    <w:bottom w:val="nil"/>
                                    <w:right w:val="nil"/>
                                  </w:tcBorders>
                                  <w:hideMark/>
                                </w:tcPr>
                                <w:p w14:paraId="3200D8F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34.2 </w:t>
                                  </w:r>
                                </w:p>
                              </w:tc>
                              <w:tc>
                                <w:tcPr>
                                  <w:tcW w:w="576" w:type="pct"/>
                                  <w:tcBorders>
                                    <w:top w:val="single" w:sz="4" w:space="0" w:color="000000"/>
                                    <w:left w:val="nil"/>
                                    <w:bottom w:val="nil"/>
                                    <w:right w:val="nil"/>
                                  </w:tcBorders>
                                  <w:hideMark/>
                                </w:tcPr>
                                <w:p w14:paraId="658F2BC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57.6 </w:t>
                                  </w:r>
                                </w:p>
                              </w:tc>
                              <w:tc>
                                <w:tcPr>
                                  <w:tcW w:w="576" w:type="pct"/>
                                  <w:tcBorders>
                                    <w:top w:val="single" w:sz="4" w:space="0" w:color="000000"/>
                                    <w:left w:val="nil"/>
                                    <w:bottom w:val="nil"/>
                                    <w:right w:val="nil"/>
                                  </w:tcBorders>
                                  <w:hideMark/>
                                </w:tcPr>
                                <w:p w14:paraId="408EE5B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60.5 </w:t>
                                  </w:r>
                                </w:p>
                              </w:tc>
                              <w:tc>
                                <w:tcPr>
                                  <w:tcW w:w="576" w:type="pct"/>
                                  <w:tcBorders>
                                    <w:top w:val="single" w:sz="4" w:space="0" w:color="000000"/>
                                    <w:left w:val="nil"/>
                                    <w:bottom w:val="nil"/>
                                    <w:right w:val="nil"/>
                                  </w:tcBorders>
                                  <w:hideMark/>
                                </w:tcPr>
                                <w:p w14:paraId="450F880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56.1 </w:t>
                                  </w:r>
                                </w:p>
                              </w:tc>
                              <w:tc>
                                <w:tcPr>
                                  <w:tcW w:w="576" w:type="pct"/>
                                  <w:tcBorders>
                                    <w:top w:val="single" w:sz="4" w:space="0" w:color="000000"/>
                                    <w:left w:val="nil"/>
                                    <w:bottom w:val="nil"/>
                                    <w:right w:val="nil"/>
                                  </w:tcBorders>
                                  <w:hideMark/>
                                </w:tcPr>
                                <w:p w14:paraId="7FE2599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58.4 </w:t>
                                  </w:r>
                                </w:p>
                              </w:tc>
                              <w:tc>
                                <w:tcPr>
                                  <w:tcW w:w="576" w:type="pct"/>
                                  <w:tcBorders>
                                    <w:top w:val="single" w:sz="4" w:space="0" w:color="000000"/>
                                    <w:left w:val="nil"/>
                                    <w:bottom w:val="nil"/>
                                    <w:right w:val="nil"/>
                                  </w:tcBorders>
                                  <w:hideMark/>
                                </w:tcPr>
                                <w:p w14:paraId="299503E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62.7 </w:t>
                                  </w:r>
                                </w:p>
                              </w:tc>
                            </w:tr>
                            <w:tr w:rsidR="00B43A9E" w:rsidRPr="00B43A9E" w14:paraId="1EAB1396" w14:textId="77777777" w:rsidTr="00B43A9E">
                              <w:trPr>
                                <w:trHeight w:val="204"/>
                              </w:trPr>
                              <w:tc>
                                <w:tcPr>
                                  <w:tcW w:w="965" w:type="pct"/>
                                  <w:tcBorders>
                                    <w:top w:val="nil"/>
                                    <w:left w:val="nil"/>
                                    <w:bottom w:val="nil"/>
                                    <w:right w:val="nil"/>
                                  </w:tcBorders>
                                  <w:noWrap/>
                                  <w:hideMark/>
                                </w:tcPr>
                                <w:p w14:paraId="445251EE"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Debt</w:t>
                                  </w:r>
                                </w:p>
                              </w:tc>
                              <w:tc>
                                <w:tcPr>
                                  <w:tcW w:w="576" w:type="pct"/>
                                  <w:tcBorders>
                                    <w:top w:val="nil"/>
                                    <w:left w:val="nil"/>
                                    <w:bottom w:val="nil"/>
                                    <w:right w:val="nil"/>
                                  </w:tcBorders>
                                  <w:hideMark/>
                                </w:tcPr>
                                <w:p w14:paraId="251DEC0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16.7 </w:t>
                                  </w:r>
                                </w:p>
                              </w:tc>
                              <w:tc>
                                <w:tcPr>
                                  <w:tcW w:w="576" w:type="pct"/>
                                  <w:tcBorders>
                                    <w:top w:val="nil"/>
                                    <w:left w:val="nil"/>
                                    <w:bottom w:val="nil"/>
                                    <w:right w:val="nil"/>
                                  </w:tcBorders>
                                  <w:hideMark/>
                                </w:tcPr>
                                <w:p w14:paraId="07F5B1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17.0 </w:t>
                                  </w:r>
                                </w:p>
                              </w:tc>
                              <w:tc>
                                <w:tcPr>
                                  <w:tcW w:w="576" w:type="pct"/>
                                  <w:tcBorders>
                                    <w:top w:val="nil"/>
                                    <w:left w:val="nil"/>
                                    <w:bottom w:val="nil"/>
                                    <w:right w:val="nil"/>
                                  </w:tcBorders>
                                  <w:hideMark/>
                                </w:tcPr>
                                <w:p w14:paraId="77AEE6F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20.7 </w:t>
                                  </w:r>
                                </w:p>
                              </w:tc>
                              <w:tc>
                                <w:tcPr>
                                  <w:tcW w:w="576" w:type="pct"/>
                                  <w:tcBorders>
                                    <w:top w:val="nil"/>
                                    <w:left w:val="nil"/>
                                    <w:bottom w:val="nil"/>
                                    <w:right w:val="nil"/>
                                  </w:tcBorders>
                                  <w:hideMark/>
                                </w:tcPr>
                                <w:p w14:paraId="0BE02BE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20.9 </w:t>
                                  </w:r>
                                </w:p>
                              </w:tc>
                              <w:tc>
                                <w:tcPr>
                                  <w:tcW w:w="576" w:type="pct"/>
                                  <w:tcBorders>
                                    <w:top w:val="nil"/>
                                    <w:left w:val="nil"/>
                                    <w:bottom w:val="nil"/>
                                    <w:right w:val="nil"/>
                                  </w:tcBorders>
                                  <w:hideMark/>
                                </w:tcPr>
                                <w:p w14:paraId="320165E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21.7 </w:t>
                                  </w:r>
                                </w:p>
                              </w:tc>
                              <w:tc>
                                <w:tcPr>
                                  <w:tcW w:w="576" w:type="pct"/>
                                  <w:tcBorders>
                                    <w:top w:val="nil"/>
                                    <w:left w:val="nil"/>
                                    <w:bottom w:val="nil"/>
                                    <w:right w:val="nil"/>
                                  </w:tcBorders>
                                  <w:hideMark/>
                                </w:tcPr>
                                <w:p w14:paraId="7AAE59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19.6 </w:t>
                                  </w:r>
                                </w:p>
                              </w:tc>
                              <w:tc>
                                <w:tcPr>
                                  <w:tcW w:w="576" w:type="pct"/>
                                  <w:tcBorders>
                                    <w:top w:val="nil"/>
                                    <w:left w:val="nil"/>
                                    <w:bottom w:val="nil"/>
                                    <w:right w:val="nil"/>
                                  </w:tcBorders>
                                  <w:hideMark/>
                                </w:tcPr>
                                <w:p w14:paraId="0DAF71B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28.8 </w:t>
                                  </w:r>
                                </w:p>
                              </w:tc>
                            </w:tr>
                            <w:tr w:rsidR="00B43A9E" w:rsidRPr="00B43A9E" w14:paraId="7831A981" w14:textId="77777777" w:rsidTr="00B43A9E">
                              <w:trPr>
                                <w:trHeight w:val="204"/>
                              </w:trPr>
                              <w:tc>
                                <w:tcPr>
                                  <w:tcW w:w="965" w:type="pct"/>
                                  <w:tcBorders>
                                    <w:top w:val="nil"/>
                                    <w:left w:val="nil"/>
                                    <w:bottom w:val="nil"/>
                                    <w:right w:val="nil"/>
                                  </w:tcBorders>
                                  <w:noWrap/>
                                  <w:hideMark/>
                                </w:tcPr>
                                <w:p w14:paraId="241B369D"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Leases</w:t>
                                  </w:r>
                                </w:p>
                              </w:tc>
                              <w:tc>
                                <w:tcPr>
                                  <w:tcW w:w="576" w:type="pct"/>
                                  <w:tcBorders>
                                    <w:top w:val="nil"/>
                                    <w:left w:val="nil"/>
                                    <w:bottom w:val="nil"/>
                                    <w:right w:val="nil"/>
                                  </w:tcBorders>
                                  <w:hideMark/>
                                </w:tcPr>
                                <w:p w14:paraId="430AE5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141AD48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 </w:t>
                                  </w:r>
                                </w:p>
                              </w:tc>
                              <w:tc>
                                <w:tcPr>
                                  <w:tcW w:w="576" w:type="pct"/>
                                  <w:tcBorders>
                                    <w:top w:val="nil"/>
                                    <w:left w:val="nil"/>
                                    <w:bottom w:val="nil"/>
                                    <w:right w:val="nil"/>
                                  </w:tcBorders>
                                  <w:hideMark/>
                                </w:tcPr>
                                <w:p w14:paraId="64570F7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4.3 </w:t>
                                  </w:r>
                                </w:p>
                              </w:tc>
                              <w:tc>
                                <w:tcPr>
                                  <w:tcW w:w="576" w:type="pct"/>
                                  <w:tcBorders>
                                    <w:top w:val="nil"/>
                                    <w:left w:val="nil"/>
                                    <w:bottom w:val="nil"/>
                                    <w:right w:val="nil"/>
                                  </w:tcBorders>
                                  <w:hideMark/>
                                </w:tcPr>
                                <w:p w14:paraId="7AF9F1D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 </w:t>
                                  </w:r>
                                </w:p>
                              </w:tc>
                              <w:tc>
                                <w:tcPr>
                                  <w:tcW w:w="576" w:type="pct"/>
                                  <w:tcBorders>
                                    <w:top w:val="nil"/>
                                    <w:left w:val="nil"/>
                                    <w:bottom w:val="nil"/>
                                    <w:right w:val="nil"/>
                                  </w:tcBorders>
                                  <w:hideMark/>
                                </w:tcPr>
                                <w:p w14:paraId="61BFD79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17BE99E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4.0 </w:t>
                                  </w:r>
                                </w:p>
                              </w:tc>
                              <w:tc>
                                <w:tcPr>
                                  <w:tcW w:w="576" w:type="pct"/>
                                  <w:tcBorders>
                                    <w:top w:val="nil"/>
                                    <w:left w:val="nil"/>
                                    <w:bottom w:val="nil"/>
                                    <w:right w:val="nil"/>
                                  </w:tcBorders>
                                  <w:hideMark/>
                                </w:tcPr>
                                <w:p w14:paraId="0622981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4.5 </w:t>
                                  </w:r>
                                </w:p>
                              </w:tc>
                            </w:tr>
                            <w:tr w:rsidR="00B43A9E" w:rsidRPr="00B43A9E" w14:paraId="7C0355D7" w14:textId="77777777" w:rsidTr="00B43A9E">
                              <w:trPr>
                                <w:trHeight w:val="204"/>
                              </w:trPr>
                              <w:tc>
                                <w:tcPr>
                                  <w:tcW w:w="965" w:type="pct"/>
                                  <w:tcBorders>
                                    <w:top w:val="nil"/>
                                    <w:left w:val="nil"/>
                                    <w:bottom w:val="nil"/>
                                    <w:right w:val="nil"/>
                                  </w:tcBorders>
                                  <w:noWrap/>
                                  <w:hideMark/>
                                </w:tcPr>
                                <w:p w14:paraId="2440C36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Unearned Revenue, Non-Current</w:t>
                                  </w:r>
                                </w:p>
                              </w:tc>
                              <w:tc>
                                <w:tcPr>
                                  <w:tcW w:w="576" w:type="pct"/>
                                  <w:tcBorders>
                                    <w:top w:val="nil"/>
                                    <w:left w:val="nil"/>
                                    <w:bottom w:val="nil"/>
                                    <w:right w:val="nil"/>
                                  </w:tcBorders>
                                  <w:hideMark/>
                                </w:tcPr>
                                <w:p w14:paraId="63963FA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0.2 </w:t>
                                  </w:r>
                                </w:p>
                              </w:tc>
                              <w:tc>
                                <w:tcPr>
                                  <w:tcW w:w="576" w:type="pct"/>
                                  <w:tcBorders>
                                    <w:top w:val="nil"/>
                                    <w:left w:val="nil"/>
                                    <w:bottom w:val="nil"/>
                                    <w:right w:val="nil"/>
                                  </w:tcBorders>
                                  <w:hideMark/>
                                </w:tcPr>
                                <w:p w14:paraId="1615E58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61144F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633236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18695E0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1D49D73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34D21F3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r>
                            <w:tr w:rsidR="00B43A9E" w:rsidRPr="00B43A9E" w14:paraId="1BB76B78" w14:textId="77777777" w:rsidTr="00B43A9E">
                              <w:trPr>
                                <w:trHeight w:val="204"/>
                              </w:trPr>
                              <w:tc>
                                <w:tcPr>
                                  <w:tcW w:w="965" w:type="pct"/>
                                  <w:tcBorders>
                                    <w:top w:val="nil"/>
                                    <w:left w:val="nil"/>
                                    <w:bottom w:val="nil"/>
                                    <w:right w:val="nil"/>
                                  </w:tcBorders>
                                  <w:noWrap/>
                                  <w:hideMark/>
                                </w:tcPr>
                                <w:p w14:paraId="27011E68"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 Tax Liability, Non-Curr.</w:t>
                                  </w:r>
                                </w:p>
                              </w:tc>
                              <w:tc>
                                <w:tcPr>
                                  <w:tcW w:w="576" w:type="pct"/>
                                  <w:tcBorders>
                                    <w:top w:val="nil"/>
                                    <w:left w:val="nil"/>
                                    <w:bottom w:val="nil"/>
                                    <w:right w:val="nil"/>
                                  </w:tcBorders>
                                  <w:hideMark/>
                                </w:tcPr>
                                <w:p w14:paraId="70F834A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 </w:t>
                                  </w:r>
                                </w:p>
                              </w:tc>
                              <w:tc>
                                <w:tcPr>
                                  <w:tcW w:w="576" w:type="pct"/>
                                  <w:tcBorders>
                                    <w:top w:val="nil"/>
                                    <w:left w:val="nil"/>
                                    <w:bottom w:val="nil"/>
                                    <w:right w:val="nil"/>
                                  </w:tcBorders>
                                  <w:hideMark/>
                                </w:tcPr>
                                <w:p w14:paraId="7D08BF5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6.2 </w:t>
                                  </w:r>
                                </w:p>
                              </w:tc>
                              <w:tc>
                                <w:tcPr>
                                  <w:tcW w:w="576" w:type="pct"/>
                                  <w:tcBorders>
                                    <w:top w:val="nil"/>
                                    <w:left w:val="nil"/>
                                    <w:bottom w:val="nil"/>
                                    <w:right w:val="nil"/>
                                  </w:tcBorders>
                                  <w:hideMark/>
                                </w:tcPr>
                                <w:p w14:paraId="53A129F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9.1 </w:t>
                                  </w:r>
                                </w:p>
                              </w:tc>
                              <w:tc>
                                <w:tcPr>
                                  <w:tcW w:w="576" w:type="pct"/>
                                  <w:tcBorders>
                                    <w:top w:val="nil"/>
                                    <w:left w:val="nil"/>
                                    <w:bottom w:val="nil"/>
                                    <w:right w:val="nil"/>
                                  </w:tcBorders>
                                  <w:hideMark/>
                                </w:tcPr>
                                <w:p w14:paraId="68D4064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9.7 </w:t>
                                  </w:r>
                                </w:p>
                              </w:tc>
                              <w:tc>
                                <w:tcPr>
                                  <w:tcW w:w="576" w:type="pct"/>
                                  <w:tcBorders>
                                    <w:top w:val="nil"/>
                                    <w:left w:val="nil"/>
                                    <w:bottom w:val="nil"/>
                                    <w:right w:val="nil"/>
                                  </w:tcBorders>
                                  <w:hideMark/>
                                </w:tcPr>
                                <w:p w14:paraId="2902B7C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9.0 </w:t>
                                  </w:r>
                                </w:p>
                              </w:tc>
                              <w:tc>
                                <w:tcPr>
                                  <w:tcW w:w="576" w:type="pct"/>
                                  <w:tcBorders>
                                    <w:top w:val="nil"/>
                                    <w:left w:val="nil"/>
                                    <w:bottom w:val="nil"/>
                                    <w:right w:val="nil"/>
                                  </w:tcBorders>
                                  <w:hideMark/>
                                </w:tcPr>
                                <w:p w14:paraId="685208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7.3 </w:t>
                                  </w:r>
                                </w:p>
                              </w:tc>
                              <w:tc>
                                <w:tcPr>
                                  <w:tcW w:w="576" w:type="pct"/>
                                  <w:tcBorders>
                                    <w:top w:val="nil"/>
                                    <w:left w:val="nil"/>
                                    <w:bottom w:val="nil"/>
                                    <w:right w:val="nil"/>
                                  </w:tcBorders>
                                  <w:hideMark/>
                                </w:tcPr>
                                <w:p w14:paraId="2E234FC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7.6 </w:t>
                                  </w:r>
                                </w:p>
                              </w:tc>
                            </w:tr>
                            <w:tr w:rsidR="00B43A9E" w:rsidRPr="00B43A9E" w14:paraId="2D757E3E" w14:textId="77777777" w:rsidTr="00B43A9E">
                              <w:trPr>
                                <w:trHeight w:val="204"/>
                              </w:trPr>
                              <w:tc>
                                <w:tcPr>
                                  <w:tcW w:w="965" w:type="pct"/>
                                  <w:tcBorders>
                                    <w:top w:val="nil"/>
                                    <w:left w:val="nil"/>
                                    <w:bottom w:val="nil"/>
                                    <w:right w:val="nil"/>
                                  </w:tcBorders>
                                  <w:noWrap/>
                                  <w:hideMark/>
                                </w:tcPr>
                                <w:p w14:paraId="66A2919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Non-Current Liabilities</w:t>
                                  </w:r>
                                </w:p>
                              </w:tc>
                              <w:tc>
                                <w:tcPr>
                                  <w:tcW w:w="576" w:type="pct"/>
                                  <w:tcBorders>
                                    <w:top w:val="nil"/>
                                    <w:left w:val="nil"/>
                                    <w:bottom w:val="nil"/>
                                    <w:right w:val="nil"/>
                                  </w:tcBorders>
                                  <w:hideMark/>
                                </w:tcPr>
                                <w:p w14:paraId="05B834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 </w:t>
                                  </w:r>
                                </w:p>
                              </w:tc>
                              <w:tc>
                                <w:tcPr>
                                  <w:tcW w:w="576" w:type="pct"/>
                                  <w:tcBorders>
                                    <w:top w:val="nil"/>
                                    <w:left w:val="nil"/>
                                    <w:bottom w:val="nil"/>
                                    <w:right w:val="nil"/>
                                  </w:tcBorders>
                                  <w:hideMark/>
                                </w:tcPr>
                                <w:p w14:paraId="06B4D3D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0.9 </w:t>
                                  </w:r>
                                </w:p>
                              </w:tc>
                              <w:tc>
                                <w:tcPr>
                                  <w:tcW w:w="576" w:type="pct"/>
                                  <w:tcBorders>
                                    <w:top w:val="nil"/>
                                    <w:left w:val="nil"/>
                                    <w:bottom w:val="nil"/>
                                    <w:right w:val="nil"/>
                                  </w:tcBorders>
                                  <w:hideMark/>
                                </w:tcPr>
                                <w:p w14:paraId="6230CB7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4FB13B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2F30FC4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054ACF4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21FE22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4CDAEB9D" w14:textId="77777777" w:rsidTr="00B43A9E">
                              <w:trPr>
                                <w:trHeight w:val="204"/>
                              </w:trPr>
                              <w:tc>
                                <w:tcPr>
                                  <w:tcW w:w="965" w:type="pct"/>
                                  <w:tcBorders>
                                    <w:top w:val="nil"/>
                                    <w:left w:val="nil"/>
                                    <w:bottom w:val="nil"/>
                                    <w:right w:val="nil"/>
                                  </w:tcBorders>
                                  <w:noWrap/>
                                  <w:hideMark/>
                                </w:tcPr>
                                <w:p w14:paraId="0F78EDD0"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Liabilities</w:t>
                                  </w:r>
                                </w:p>
                              </w:tc>
                              <w:tc>
                                <w:tcPr>
                                  <w:tcW w:w="576" w:type="pct"/>
                                  <w:tcBorders>
                                    <w:top w:val="single" w:sz="4" w:space="0" w:color="000000"/>
                                    <w:left w:val="nil"/>
                                    <w:bottom w:val="nil"/>
                                    <w:right w:val="nil"/>
                                  </w:tcBorders>
                                  <w:hideMark/>
                                </w:tcPr>
                                <w:p w14:paraId="2D47FD8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53.1 </w:t>
                                  </w:r>
                                </w:p>
                              </w:tc>
                              <w:tc>
                                <w:tcPr>
                                  <w:tcW w:w="576" w:type="pct"/>
                                  <w:tcBorders>
                                    <w:top w:val="single" w:sz="4" w:space="0" w:color="000000"/>
                                    <w:left w:val="nil"/>
                                    <w:bottom w:val="nil"/>
                                    <w:right w:val="nil"/>
                                  </w:tcBorders>
                                  <w:hideMark/>
                                </w:tcPr>
                                <w:p w14:paraId="3DD53FD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61.2 </w:t>
                                  </w:r>
                                </w:p>
                              </w:tc>
                              <w:tc>
                                <w:tcPr>
                                  <w:tcW w:w="576" w:type="pct"/>
                                  <w:tcBorders>
                                    <w:top w:val="single" w:sz="4" w:space="0" w:color="000000"/>
                                    <w:left w:val="nil"/>
                                    <w:bottom w:val="nil"/>
                                    <w:right w:val="nil"/>
                                  </w:tcBorders>
                                  <w:hideMark/>
                                </w:tcPr>
                                <w:p w14:paraId="38FFE0B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92.6 </w:t>
                                  </w:r>
                                </w:p>
                              </w:tc>
                              <w:tc>
                                <w:tcPr>
                                  <w:tcW w:w="576" w:type="pct"/>
                                  <w:tcBorders>
                                    <w:top w:val="single" w:sz="4" w:space="0" w:color="000000"/>
                                    <w:left w:val="nil"/>
                                    <w:bottom w:val="nil"/>
                                    <w:right w:val="nil"/>
                                  </w:tcBorders>
                                  <w:hideMark/>
                                </w:tcPr>
                                <w:p w14:paraId="4B5DC29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96.7 </w:t>
                                  </w:r>
                                </w:p>
                              </w:tc>
                              <w:tc>
                                <w:tcPr>
                                  <w:tcW w:w="576" w:type="pct"/>
                                  <w:tcBorders>
                                    <w:top w:val="single" w:sz="4" w:space="0" w:color="000000"/>
                                    <w:left w:val="nil"/>
                                    <w:bottom w:val="nil"/>
                                    <w:right w:val="nil"/>
                                  </w:tcBorders>
                                  <w:hideMark/>
                                </w:tcPr>
                                <w:p w14:paraId="66FF3EC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91.7 </w:t>
                                  </w:r>
                                </w:p>
                              </w:tc>
                              <w:tc>
                                <w:tcPr>
                                  <w:tcW w:w="576" w:type="pct"/>
                                  <w:tcBorders>
                                    <w:top w:val="single" w:sz="4" w:space="0" w:color="000000"/>
                                    <w:left w:val="nil"/>
                                    <w:bottom w:val="nil"/>
                                    <w:right w:val="nil"/>
                                  </w:tcBorders>
                                  <w:hideMark/>
                                </w:tcPr>
                                <w:p w14:paraId="6919026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90.3 </w:t>
                                  </w:r>
                                </w:p>
                              </w:tc>
                              <w:tc>
                                <w:tcPr>
                                  <w:tcW w:w="576" w:type="pct"/>
                                  <w:tcBorders>
                                    <w:top w:val="single" w:sz="4" w:space="0" w:color="000000"/>
                                    <w:left w:val="nil"/>
                                    <w:bottom w:val="nil"/>
                                    <w:right w:val="nil"/>
                                  </w:tcBorders>
                                  <w:hideMark/>
                                </w:tcPr>
                                <w:p w14:paraId="7F7F2C7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104.1 </w:t>
                                  </w:r>
                                </w:p>
                              </w:tc>
                            </w:tr>
                            <w:tr w:rsidR="00B43A9E" w:rsidRPr="00B43A9E" w14:paraId="6EA76C11" w14:textId="77777777" w:rsidTr="00B43A9E">
                              <w:trPr>
                                <w:trHeight w:val="204"/>
                              </w:trPr>
                              <w:tc>
                                <w:tcPr>
                                  <w:tcW w:w="965" w:type="pct"/>
                                  <w:tcBorders>
                                    <w:top w:val="nil"/>
                                    <w:left w:val="nil"/>
                                    <w:bottom w:val="nil"/>
                                    <w:right w:val="nil"/>
                                  </w:tcBorders>
                                  <w:noWrap/>
                                  <w:hideMark/>
                                </w:tcPr>
                                <w:p w14:paraId="058DBA0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Common Stock</w:t>
                                  </w:r>
                                </w:p>
                              </w:tc>
                              <w:tc>
                                <w:tcPr>
                                  <w:tcW w:w="576" w:type="pct"/>
                                  <w:tcBorders>
                                    <w:top w:val="nil"/>
                                    <w:left w:val="nil"/>
                                    <w:bottom w:val="nil"/>
                                    <w:right w:val="nil"/>
                                  </w:tcBorders>
                                  <w:hideMark/>
                                </w:tcPr>
                                <w:p w14:paraId="292690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477450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54388B2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83F75C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5596B4A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19E391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7E005AC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r>
                            <w:tr w:rsidR="00B43A9E" w:rsidRPr="00B43A9E" w14:paraId="2C170851" w14:textId="77777777" w:rsidTr="00B43A9E">
                              <w:trPr>
                                <w:trHeight w:val="204"/>
                              </w:trPr>
                              <w:tc>
                                <w:tcPr>
                                  <w:tcW w:w="965" w:type="pct"/>
                                  <w:tcBorders>
                                    <w:top w:val="nil"/>
                                    <w:left w:val="nil"/>
                                    <w:bottom w:val="nil"/>
                                    <w:right w:val="nil"/>
                                  </w:tcBorders>
                                  <w:noWrap/>
                                  <w:hideMark/>
                                </w:tcPr>
                                <w:p w14:paraId="27E9B80C"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Additional Paid In Capital</w:t>
                                  </w:r>
                                </w:p>
                              </w:tc>
                              <w:tc>
                                <w:tcPr>
                                  <w:tcW w:w="576" w:type="pct"/>
                                  <w:tcBorders>
                                    <w:top w:val="nil"/>
                                    <w:left w:val="nil"/>
                                    <w:bottom w:val="nil"/>
                                    <w:right w:val="nil"/>
                                  </w:tcBorders>
                                  <w:hideMark/>
                                </w:tcPr>
                                <w:p w14:paraId="4C465F2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34.5 </w:t>
                                  </w:r>
                                </w:p>
                              </w:tc>
                              <w:tc>
                                <w:tcPr>
                                  <w:tcW w:w="576" w:type="pct"/>
                                  <w:tcBorders>
                                    <w:top w:val="nil"/>
                                    <w:left w:val="nil"/>
                                    <w:bottom w:val="nil"/>
                                    <w:right w:val="nil"/>
                                  </w:tcBorders>
                                  <w:hideMark/>
                                </w:tcPr>
                                <w:p w14:paraId="42BE31B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48.5 </w:t>
                                  </w:r>
                                </w:p>
                              </w:tc>
                              <w:tc>
                                <w:tcPr>
                                  <w:tcW w:w="576" w:type="pct"/>
                                  <w:tcBorders>
                                    <w:top w:val="nil"/>
                                    <w:left w:val="nil"/>
                                    <w:bottom w:val="nil"/>
                                    <w:right w:val="nil"/>
                                  </w:tcBorders>
                                  <w:hideMark/>
                                </w:tcPr>
                                <w:p w14:paraId="15870B2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60.2 </w:t>
                                  </w:r>
                                </w:p>
                              </w:tc>
                              <w:tc>
                                <w:tcPr>
                                  <w:tcW w:w="576" w:type="pct"/>
                                  <w:tcBorders>
                                    <w:top w:val="nil"/>
                                    <w:left w:val="nil"/>
                                    <w:bottom w:val="nil"/>
                                    <w:right w:val="nil"/>
                                  </w:tcBorders>
                                  <w:hideMark/>
                                </w:tcPr>
                                <w:p w14:paraId="78C4D6A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64.7 </w:t>
                                  </w:r>
                                </w:p>
                              </w:tc>
                              <w:tc>
                                <w:tcPr>
                                  <w:tcW w:w="576" w:type="pct"/>
                                  <w:tcBorders>
                                    <w:top w:val="nil"/>
                                    <w:left w:val="nil"/>
                                    <w:bottom w:val="nil"/>
                                    <w:right w:val="nil"/>
                                  </w:tcBorders>
                                  <w:hideMark/>
                                </w:tcPr>
                                <w:p w14:paraId="326B90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60.7 </w:t>
                                  </w:r>
                                </w:p>
                              </w:tc>
                              <w:tc>
                                <w:tcPr>
                                  <w:tcW w:w="576" w:type="pct"/>
                                  <w:tcBorders>
                                    <w:top w:val="nil"/>
                                    <w:left w:val="nil"/>
                                    <w:bottom w:val="nil"/>
                                    <w:right w:val="nil"/>
                                  </w:tcBorders>
                                  <w:hideMark/>
                                </w:tcPr>
                                <w:p w14:paraId="63960B0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55.1 </w:t>
                                  </w:r>
                                </w:p>
                              </w:tc>
                              <w:tc>
                                <w:tcPr>
                                  <w:tcW w:w="576" w:type="pct"/>
                                  <w:tcBorders>
                                    <w:top w:val="nil"/>
                                    <w:left w:val="nil"/>
                                    <w:bottom w:val="nil"/>
                                    <w:right w:val="nil"/>
                                  </w:tcBorders>
                                  <w:hideMark/>
                                </w:tcPr>
                                <w:p w14:paraId="0E31EB2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52.1 </w:t>
                                  </w:r>
                                </w:p>
                              </w:tc>
                            </w:tr>
                            <w:tr w:rsidR="00B43A9E" w:rsidRPr="00B43A9E" w14:paraId="16782B82" w14:textId="77777777" w:rsidTr="00B43A9E">
                              <w:trPr>
                                <w:trHeight w:val="204"/>
                              </w:trPr>
                              <w:tc>
                                <w:tcPr>
                                  <w:tcW w:w="965" w:type="pct"/>
                                  <w:tcBorders>
                                    <w:top w:val="nil"/>
                                    <w:left w:val="nil"/>
                                    <w:bottom w:val="nil"/>
                                    <w:right w:val="nil"/>
                                  </w:tcBorders>
                                  <w:noWrap/>
                                  <w:hideMark/>
                                </w:tcPr>
                                <w:p w14:paraId="0AA6DA6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Retained Earnings</w:t>
                                  </w:r>
                                </w:p>
                              </w:tc>
                              <w:tc>
                                <w:tcPr>
                                  <w:tcW w:w="576" w:type="pct"/>
                                  <w:tcBorders>
                                    <w:top w:val="nil"/>
                                    <w:left w:val="nil"/>
                                    <w:bottom w:val="nil"/>
                                    <w:right w:val="nil"/>
                                  </w:tcBorders>
                                  <w:hideMark/>
                                </w:tcPr>
                                <w:p w14:paraId="3E15662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39.2 </w:t>
                                  </w:r>
                                </w:p>
                              </w:tc>
                              <w:tc>
                                <w:tcPr>
                                  <w:tcW w:w="576" w:type="pct"/>
                                  <w:tcBorders>
                                    <w:top w:val="nil"/>
                                    <w:left w:val="nil"/>
                                    <w:bottom w:val="nil"/>
                                    <w:right w:val="nil"/>
                                  </w:tcBorders>
                                  <w:hideMark/>
                                </w:tcPr>
                                <w:p w14:paraId="55FBC91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58.2 </w:t>
                                  </w:r>
                                </w:p>
                              </w:tc>
                              <w:tc>
                                <w:tcPr>
                                  <w:tcW w:w="576" w:type="pct"/>
                                  <w:tcBorders>
                                    <w:top w:val="nil"/>
                                    <w:left w:val="nil"/>
                                    <w:bottom w:val="nil"/>
                                    <w:right w:val="nil"/>
                                  </w:tcBorders>
                                  <w:hideMark/>
                                </w:tcPr>
                                <w:p w14:paraId="375F688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85.8 </w:t>
                                  </w:r>
                                </w:p>
                              </w:tc>
                              <w:tc>
                                <w:tcPr>
                                  <w:tcW w:w="576" w:type="pct"/>
                                  <w:tcBorders>
                                    <w:top w:val="nil"/>
                                    <w:left w:val="nil"/>
                                    <w:bottom w:val="nil"/>
                                    <w:right w:val="nil"/>
                                  </w:tcBorders>
                                  <w:hideMark/>
                                </w:tcPr>
                                <w:p w14:paraId="6239DAB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90.4 </w:t>
                                  </w:r>
                                </w:p>
                              </w:tc>
                              <w:tc>
                                <w:tcPr>
                                  <w:tcW w:w="576" w:type="pct"/>
                                  <w:tcBorders>
                                    <w:top w:val="nil"/>
                                    <w:left w:val="nil"/>
                                    <w:bottom w:val="nil"/>
                                    <w:right w:val="nil"/>
                                  </w:tcBorders>
                                  <w:hideMark/>
                                </w:tcPr>
                                <w:p w14:paraId="60883F8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89.1 </w:t>
                                  </w:r>
                                </w:p>
                              </w:tc>
                              <w:tc>
                                <w:tcPr>
                                  <w:tcW w:w="576" w:type="pct"/>
                                  <w:tcBorders>
                                    <w:top w:val="nil"/>
                                    <w:left w:val="nil"/>
                                    <w:bottom w:val="nil"/>
                                    <w:right w:val="nil"/>
                                  </w:tcBorders>
                                  <w:hideMark/>
                                </w:tcPr>
                                <w:p w14:paraId="65F9D57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84.8 </w:t>
                                  </w:r>
                                </w:p>
                              </w:tc>
                              <w:tc>
                                <w:tcPr>
                                  <w:tcW w:w="576" w:type="pct"/>
                                  <w:tcBorders>
                                    <w:top w:val="nil"/>
                                    <w:left w:val="nil"/>
                                    <w:bottom w:val="nil"/>
                                    <w:right w:val="nil"/>
                                  </w:tcBorders>
                                  <w:hideMark/>
                                </w:tcPr>
                                <w:p w14:paraId="3C80062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89.4 </w:t>
                                  </w:r>
                                </w:p>
                              </w:tc>
                            </w:tr>
                            <w:tr w:rsidR="00B43A9E" w:rsidRPr="00B43A9E" w14:paraId="13B010AB" w14:textId="77777777" w:rsidTr="00B43A9E">
                              <w:trPr>
                                <w:trHeight w:val="204"/>
                              </w:trPr>
                              <w:tc>
                                <w:tcPr>
                                  <w:tcW w:w="965" w:type="pct"/>
                                  <w:tcBorders>
                                    <w:top w:val="nil"/>
                                    <w:left w:val="nil"/>
                                    <w:bottom w:val="nil"/>
                                    <w:right w:val="nil"/>
                                  </w:tcBorders>
                                  <w:noWrap/>
                                  <w:hideMark/>
                                </w:tcPr>
                                <w:p w14:paraId="1B29D5F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Treasury Stock</w:t>
                                  </w:r>
                                </w:p>
                              </w:tc>
                              <w:tc>
                                <w:tcPr>
                                  <w:tcW w:w="576" w:type="pct"/>
                                  <w:tcBorders>
                                    <w:top w:val="nil"/>
                                    <w:left w:val="nil"/>
                                    <w:bottom w:val="nil"/>
                                    <w:right w:val="nil"/>
                                  </w:tcBorders>
                                  <w:hideMark/>
                                </w:tcPr>
                                <w:p w14:paraId="2F0175D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612732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CD9566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8D5353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5668546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7B7BCFA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(3.8)  </w:t>
                                  </w:r>
                                </w:p>
                              </w:tc>
                              <w:tc>
                                <w:tcPr>
                                  <w:tcW w:w="576" w:type="pct"/>
                                  <w:tcBorders>
                                    <w:top w:val="nil"/>
                                    <w:left w:val="nil"/>
                                    <w:bottom w:val="nil"/>
                                    <w:right w:val="nil"/>
                                  </w:tcBorders>
                                  <w:hideMark/>
                                </w:tcPr>
                                <w:p w14:paraId="57DB509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(5.0)  </w:t>
                                  </w:r>
                                </w:p>
                              </w:tc>
                            </w:tr>
                            <w:tr w:rsidR="00B43A9E" w:rsidRPr="00B43A9E" w14:paraId="1C158008" w14:textId="77777777" w:rsidTr="00B43A9E">
                              <w:trPr>
                                <w:trHeight w:val="204"/>
                              </w:trPr>
                              <w:tc>
                                <w:tcPr>
                                  <w:tcW w:w="965" w:type="pct"/>
                                  <w:tcBorders>
                                    <w:top w:val="nil"/>
                                    <w:left w:val="nil"/>
                                    <w:bottom w:val="nil"/>
                                    <w:right w:val="nil"/>
                                  </w:tcBorders>
                                  <w:noWrap/>
                                  <w:hideMark/>
                                </w:tcPr>
                                <w:p w14:paraId="647C391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Comprehensive Inc. and Other</w:t>
                                  </w:r>
                                </w:p>
                              </w:tc>
                              <w:tc>
                                <w:tcPr>
                                  <w:tcW w:w="576" w:type="pct"/>
                                  <w:tcBorders>
                                    <w:top w:val="nil"/>
                                    <w:left w:val="nil"/>
                                    <w:bottom w:val="nil"/>
                                    <w:right w:val="nil"/>
                                  </w:tcBorders>
                                  <w:hideMark/>
                                </w:tcPr>
                                <w:p w14:paraId="0CA7712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EAC2BA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(0.1)  </w:t>
                                  </w:r>
                                </w:p>
                              </w:tc>
                              <w:tc>
                                <w:tcPr>
                                  <w:tcW w:w="576" w:type="pct"/>
                                  <w:tcBorders>
                                    <w:top w:val="nil"/>
                                    <w:left w:val="nil"/>
                                    <w:bottom w:val="nil"/>
                                    <w:right w:val="nil"/>
                                  </w:tcBorders>
                                  <w:hideMark/>
                                </w:tcPr>
                                <w:p w14:paraId="7E125FC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c>
                                <w:tcPr>
                                  <w:tcW w:w="576" w:type="pct"/>
                                  <w:tcBorders>
                                    <w:top w:val="nil"/>
                                    <w:left w:val="nil"/>
                                    <w:bottom w:val="nil"/>
                                    <w:right w:val="nil"/>
                                  </w:tcBorders>
                                  <w:hideMark/>
                                </w:tcPr>
                                <w:p w14:paraId="21F1608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441047F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(1.5)  </w:t>
                                  </w:r>
                                </w:p>
                              </w:tc>
                              <w:tc>
                                <w:tcPr>
                                  <w:tcW w:w="576" w:type="pct"/>
                                  <w:tcBorders>
                                    <w:top w:val="nil"/>
                                    <w:left w:val="nil"/>
                                    <w:bottom w:val="nil"/>
                                    <w:right w:val="nil"/>
                                  </w:tcBorders>
                                  <w:hideMark/>
                                </w:tcPr>
                                <w:p w14:paraId="3FA4FE4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37BB00A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r>
                            <w:tr w:rsidR="00B43A9E" w:rsidRPr="00B43A9E" w14:paraId="38326798" w14:textId="77777777" w:rsidTr="00B43A9E">
                              <w:trPr>
                                <w:trHeight w:val="204"/>
                              </w:trPr>
                              <w:tc>
                                <w:tcPr>
                                  <w:tcW w:w="965" w:type="pct"/>
                                  <w:tcBorders>
                                    <w:top w:val="nil"/>
                                    <w:left w:val="nil"/>
                                    <w:bottom w:val="nil"/>
                                    <w:right w:val="nil"/>
                                  </w:tcBorders>
                                  <w:noWrap/>
                                  <w:hideMark/>
                                </w:tcPr>
                                <w:p w14:paraId="7FDD798F"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Common Equity</w:t>
                                  </w:r>
                                </w:p>
                              </w:tc>
                              <w:tc>
                                <w:tcPr>
                                  <w:tcW w:w="576" w:type="pct"/>
                                  <w:tcBorders>
                                    <w:top w:val="single" w:sz="4" w:space="0" w:color="000000"/>
                                    <w:left w:val="nil"/>
                                    <w:bottom w:val="nil"/>
                                    <w:right w:val="nil"/>
                                  </w:tcBorders>
                                  <w:hideMark/>
                                </w:tcPr>
                                <w:p w14:paraId="6E8D6E2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73.3 </w:t>
                                  </w:r>
                                </w:p>
                              </w:tc>
                              <w:tc>
                                <w:tcPr>
                                  <w:tcW w:w="576" w:type="pct"/>
                                  <w:tcBorders>
                                    <w:top w:val="single" w:sz="4" w:space="0" w:color="000000"/>
                                    <w:left w:val="nil"/>
                                    <w:bottom w:val="nil"/>
                                    <w:right w:val="nil"/>
                                  </w:tcBorders>
                                  <w:hideMark/>
                                </w:tcPr>
                                <w:p w14:paraId="42C82D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106.7 </w:t>
                                  </w:r>
                                </w:p>
                              </w:tc>
                              <w:tc>
                                <w:tcPr>
                                  <w:tcW w:w="576" w:type="pct"/>
                                  <w:tcBorders>
                                    <w:top w:val="single" w:sz="4" w:space="0" w:color="000000"/>
                                    <w:left w:val="nil"/>
                                    <w:bottom w:val="nil"/>
                                    <w:right w:val="nil"/>
                                  </w:tcBorders>
                                  <w:hideMark/>
                                </w:tcPr>
                                <w:p w14:paraId="1498BF3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143.1 </w:t>
                                  </w:r>
                                </w:p>
                              </w:tc>
                              <w:tc>
                                <w:tcPr>
                                  <w:tcW w:w="576" w:type="pct"/>
                                  <w:tcBorders>
                                    <w:top w:val="single" w:sz="4" w:space="0" w:color="000000"/>
                                    <w:left w:val="nil"/>
                                    <w:bottom w:val="nil"/>
                                    <w:right w:val="nil"/>
                                  </w:tcBorders>
                                  <w:hideMark/>
                                </w:tcPr>
                                <w:p w14:paraId="42ED64D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149.6 </w:t>
                                  </w:r>
                                </w:p>
                              </w:tc>
                              <w:tc>
                                <w:tcPr>
                                  <w:tcW w:w="576" w:type="pct"/>
                                  <w:tcBorders>
                                    <w:top w:val="single" w:sz="4" w:space="0" w:color="000000"/>
                                    <w:left w:val="nil"/>
                                    <w:bottom w:val="nil"/>
                                    <w:right w:val="nil"/>
                                  </w:tcBorders>
                                  <w:hideMark/>
                                </w:tcPr>
                                <w:p w14:paraId="2841A81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144.1 </w:t>
                                  </w:r>
                                </w:p>
                              </w:tc>
                              <w:tc>
                                <w:tcPr>
                                  <w:tcW w:w="576" w:type="pct"/>
                                  <w:tcBorders>
                                    <w:top w:val="single" w:sz="4" w:space="0" w:color="000000"/>
                                    <w:left w:val="nil"/>
                                    <w:bottom w:val="nil"/>
                                    <w:right w:val="nil"/>
                                  </w:tcBorders>
                                  <w:hideMark/>
                                </w:tcPr>
                                <w:p w14:paraId="79D9CE4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136.6 </w:t>
                                  </w:r>
                                </w:p>
                              </w:tc>
                              <w:tc>
                                <w:tcPr>
                                  <w:tcW w:w="576" w:type="pct"/>
                                  <w:tcBorders>
                                    <w:top w:val="single" w:sz="4" w:space="0" w:color="000000"/>
                                    <w:left w:val="nil"/>
                                    <w:bottom w:val="nil"/>
                                    <w:right w:val="nil"/>
                                  </w:tcBorders>
                                  <w:hideMark/>
                                </w:tcPr>
                                <w:p w14:paraId="33CC1AF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137.2 </w:t>
                                  </w:r>
                                </w:p>
                              </w:tc>
                            </w:tr>
                            <w:tr w:rsidR="00B43A9E" w:rsidRPr="00B43A9E" w14:paraId="14843EB0" w14:textId="77777777" w:rsidTr="00B43A9E">
                              <w:trPr>
                                <w:trHeight w:val="204"/>
                              </w:trPr>
                              <w:tc>
                                <w:tcPr>
                                  <w:tcW w:w="965" w:type="pct"/>
                                  <w:tcBorders>
                                    <w:top w:val="nil"/>
                                    <w:left w:val="nil"/>
                                    <w:bottom w:val="nil"/>
                                    <w:right w:val="nil"/>
                                  </w:tcBorders>
                                  <w:noWrap/>
                                  <w:hideMark/>
                                </w:tcPr>
                                <w:p w14:paraId="00BCF61C"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Minority Interest</w:t>
                                  </w:r>
                                </w:p>
                              </w:tc>
                              <w:tc>
                                <w:tcPr>
                                  <w:tcW w:w="576" w:type="pct"/>
                                  <w:tcBorders>
                                    <w:top w:val="nil"/>
                                    <w:left w:val="nil"/>
                                    <w:bottom w:val="nil"/>
                                    <w:right w:val="nil"/>
                                  </w:tcBorders>
                                  <w:hideMark/>
                                </w:tcPr>
                                <w:p w14:paraId="6C3A330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17.3 </w:t>
                                  </w:r>
                                </w:p>
                              </w:tc>
                              <w:tc>
                                <w:tcPr>
                                  <w:tcW w:w="576" w:type="pct"/>
                                  <w:tcBorders>
                                    <w:top w:val="nil"/>
                                    <w:left w:val="nil"/>
                                    <w:bottom w:val="nil"/>
                                    <w:right w:val="nil"/>
                                  </w:tcBorders>
                                  <w:hideMark/>
                                </w:tcPr>
                                <w:p w14:paraId="0FC3E5B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17.5 </w:t>
                                  </w:r>
                                </w:p>
                              </w:tc>
                              <w:tc>
                                <w:tcPr>
                                  <w:tcW w:w="576" w:type="pct"/>
                                  <w:tcBorders>
                                    <w:top w:val="nil"/>
                                    <w:left w:val="nil"/>
                                    <w:bottom w:val="nil"/>
                                    <w:right w:val="nil"/>
                                  </w:tcBorders>
                                  <w:hideMark/>
                                </w:tcPr>
                                <w:p w14:paraId="694F700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22.3 </w:t>
                                  </w:r>
                                </w:p>
                              </w:tc>
                              <w:tc>
                                <w:tcPr>
                                  <w:tcW w:w="576" w:type="pct"/>
                                  <w:tcBorders>
                                    <w:top w:val="nil"/>
                                    <w:left w:val="nil"/>
                                    <w:bottom w:val="nil"/>
                                    <w:right w:val="nil"/>
                                  </w:tcBorders>
                                  <w:hideMark/>
                                </w:tcPr>
                                <w:p w14:paraId="27895CE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21.1 </w:t>
                                  </w:r>
                                </w:p>
                              </w:tc>
                              <w:tc>
                                <w:tcPr>
                                  <w:tcW w:w="576" w:type="pct"/>
                                  <w:tcBorders>
                                    <w:top w:val="nil"/>
                                    <w:left w:val="nil"/>
                                    <w:bottom w:val="nil"/>
                                    <w:right w:val="nil"/>
                                  </w:tcBorders>
                                  <w:hideMark/>
                                </w:tcPr>
                                <w:p w14:paraId="5BBE427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19.4 </w:t>
                                  </w:r>
                                </w:p>
                              </w:tc>
                              <w:tc>
                                <w:tcPr>
                                  <w:tcW w:w="576" w:type="pct"/>
                                  <w:tcBorders>
                                    <w:top w:val="nil"/>
                                    <w:left w:val="nil"/>
                                    <w:bottom w:val="nil"/>
                                    <w:right w:val="nil"/>
                                  </w:tcBorders>
                                  <w:hideMark/>
                                </w:tcPr>
                                <w:p w14:paraId="2D08B7A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17.5 </w:t>
                                  </w:r>
                                </w:p>
                              </w:tc>
                              <w:tc>
                                <w:tcPr>
                                  <w:tcW w:w="576" w:type="pct"/>
                                  <w:tcBorders>
                                    <w:top w:val="nil"/>
                                    <w:left w:val="nil"/>
                                    <w:bottom w:val="nil"/>
                                    <w:right w:val="nil"/>
                                  </w:tcBorders>
                                  <w:hideMark/>
                                </w:tcPr>
                                <w:p w14:paraId="427B6FF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12.8 </w:t>
                                  </w:r>
                                </w:p>
                              </w:tc>
                            </w:tr>
                            <w:tr w:rsidR="00B43A9E" w:rsidRPr="00B43A9E" w14:paraId="130029D3" w14:textId="77777777" w:rsidTr="00B43A9E">
                              <w:trPr>
                                <w:trHeight w:val="204"/>
                              </w:trPr>
                              <w:tc>
                                <w:tcPr>
                                  <w:tcW w:w="965" w:type="pct"/>
                                  <w:tcBorders>
                                    <w:top w:val="nil"/>
                                    <w:left w:val="nil"/>
                                    <w:bottom w:val="nil"/>
                                    <w:right w:val="nil"/>
                                  </w:tcBorders>
                                  <w:noWrap/>
                                  <w:hideMark/>
                                </w:tcPr>
                                <w:p w14:paraId="3065B07E"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Equity</w:t>
                                  </w:r>
                                </w:p>
                              </w:tc>
                              <w:tc>
                                <w:tcPr>
                                  <w:tcW w:w="576" w:type="pct"/>
                                  <w:tcBorders>
                                    <w:top w:val="nil"/>
                                    <w:left w:val="nil"/>
                                    <w:bottom w:val="nil"/>
                                    <w:right w:val="nil"/>
                                  </w:tcBorders>
                                  <w:hideMark/>
                                </w:tcPr>
                                <w:p w14:paraId="4830A15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90.7 </w:t>
                                  </w:r>
                                </w:p>
                              </w:tc>
                              <w:tc>
                                <w:tcPr>
                                  <w:tcW w:w="576" w:type="pct"/>
                                  <w:tcBorders>
                                    <w:top w:val="nil"/>
                                    <w:left w:val="nil"/>
                                    <w:bottom w:val="nil"/>
                                    <w:right w:val="nil"/>
                                  </w:tcBorders>
                                  <w:hideMark/>
                                </w:tcPr>
                                <w:p w14:paraId="0CAAA96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124.2 </w:t>
                                  </w:r>
                                </w:p>
                              </w:tc>
                              <w:tc>
                                <w:tcPr>
                                  <w:tcW w:w="576" w:type="pct"/>
                                  <w:tcBorders>
                                    <w:top w:val="nil"/>
                                    <w:left w:val="nil"/>
                                    <w:bottom w:val="nil"/>
                                    <w:right w:val="nil"/>
                                  </w:tcBorders>
                                  <w:hideMark/>
                                </w:tcPr>
                                <w:p w14:paraId="0A32892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165.4 </w:t>
                                  </w:r>
                                </w:p>
                              </w:tc>
                              <w:tc>
                                <w:tcPr>
                                  <w:tcW w:w="576" w:type="pct"/>
                                  <w:tcBorders>
                                    <w:top w:val="nil"/>
                                    <w:left w:val="nil"/>
                                    <w:bottom w:val="nil"/>
                                    <w:right w:val="nil"/>
                                  </w:tcBorders>
                                  <w:hideMark/>
                                </w:tcPr>
                                <w:p w14:paraId="4FC351E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170.7 </w:t>
                                  </w:r>
                                </w:p>
                              </w:tc>
                              <w:tc>
                                <w:tcPr>
                                  <w:tcW w:w="576" w:type="pct"/>
                                  <w:tcBorders>
                                    <w:top w:val="nil"/>
                                    <w:left w:val="nil"/>
                                    <w:bottom w:val="nil"/>
                                    <w:right w:val="nil"/>
                                  </w:tcBorders>
                                  <w:hideMark/>
                                </w:tcPr>
                                <w:p w14:paraId="1329535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163.5 </w:t>
                                  </w:r>
                                </w:p>
                              </w:tc>
                              <w:tc>
                                <w:tcPr>
                                  <w:tcW w:w="576" w:type="pct"/>
                                  <w:tcBorders>
                                    <w:top w:val="nil"/>
                                    <w:left w:val="nil"/>
                                    <w:bottom w:val="nil"/>
                                    <w:right w:val="nil"/>
                                  </w:tcBorders>
                                  <w:hideMark/>
                                </w:tcPr>
                                <w:p w14:paraId="336E532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154.1 </w:t>
                                  </w:r>
                                </w:p>
                              </w:tc>
                              <w:tc>
                                <w:tcPr>
                                  <w:tcW w:w="576" w:type="pct"/>
                                  <w:tcBorders>
                                    <w:top w:val="nil"/>
                                    <w:left w:val="nil"/>
                                    <w:bottom w:val="nil"/>
                                    <w:right w:val="nil"/>
                                  </w:tcBorders>
                                  <w:hideMark/>
                                </w:tcPr>
                                <w:p w14:paraId="2A79856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150.0 </w:t>
                                  </w:r>
                                </w:p>
                              </w:tc>
                            </w:tr>
                            <w:tr w:rsidR="00B43A9E" w:rsidRPr="00B43A9E" w14:paraId="1DE835CB" w14:textId="77777777" w:rsidTr="00B43A9E">
                              <w:trPr>
                                <w:trHeight w:val="204"/>
                              </w:trPr>
                              <w:tc>
                                <w:tcPr>
                                  <w:tcW w:w="965" w:type="pct"/>
                                  <w:tcBorders>
                                    <w:top w:val="nil"/>
                                    <w:left w:val="nil"/>
                                    <w:bottom w:val="nil"/>
                                    <w:right w:val="nil"/>
                                  </w:tcBorders>
                                  <w:noWrap/>
                                  <w:hideMark/>
                                </w:tcPr>
                                <w:p w14:paraId="08512FDD"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Liabilities And Equity</w:t>
                                  </w:r>
                                </w:p>
                              </w:tc>
                              <w:tc>
                                <w:tcPr>
                                  <w:tcW w:w="576" w:type="pct"/>
                                  <w:tcBorders>
                                    <w:top w:val="nil"/>
                                    <w:left w:val="nil"/>
                                    <w:bottom w:val="nil"/>
                                    <w:right w:val="nil"/>
                                  </w:tcBorders>
                                  <w:hideMark/>
                                </w:tcPr>
                                <w:p w14:paraId="2DA5EB3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143.8 </w:t>
                                  </w:r>
                                </w:p>
                              </w:tc>
                              <w:tc>
                                <w:tcPr>
                                  <w:tcW w:w="576" w:type="pct"/>
                                  <w:tcBorders>
                                    <w:top w:val="nil"/>
                                    <w:left w:val="nil"/>
                                    <w:bottom w:val="nil"/>
                                    <w:right w:val="nil"/>
                                  </w:tcBorders>
                                  <w:hideMark/>
                                </w:tcPr>
                                <w:p w14:paraId="513D136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185.4 </w:t>
                                  </w:r>
                                </w:p>
                              </w:tc>
                              <w:tc>
                                <w:tcPr>
                                  <w:tcW w:w="576" w:type="pct"/>
                                  <w:tcBorders>
                                    <w:top w:val="nil"/>
                                    <w:left w:val="nil"/>
                                    <w:bottom w:val="nil"/>
                                    <w:right w:val="nil"/>
                                  </w:tcBorders>
                                  <w:hideMark/>
                                </w:tcPr>
                                <w:p w14:paraId="2F1DB39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257.9 </w:t>
                                  </w:r>
                                </w:p>
                              </w:tc>
                              <w:tc>
                                <w:tcPr>
                                  <w:tcW w:w="576" w:type="pct"/>
                                  <w:tcBorders>
                                    <w:top w:val="nil"/>
                                    <w:left w:val="nil"/>
                                    <w:bottom w:val="nil"/>
                                    <w:right w:val="nil"/>
                                  </w:tcBorders>
                                  <w:hideMark/>
                                </w:tcPr>
                                <w:p w14:paraId="217EFCD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267.4 </w:t>
                                  </w:r>
                                </w:p>
                              </w:tc>
                              <w:tc>
                                <w:tcPr>
                                  <w:tcW w:w="576" w:type="pct"/>
                                  <w:tcBorders>
                                    <w:top w:val="nil"/>
                                    <w:left w:val="nil"/>
                                    <w:bottom w:val="nil"/>
                                    <w:right w:val="nil"/>
                                  </w:tcBorders>
                                  <w:hideMark/>
                                </w:tcPr>
                                <w:p w14:paraId="1FB6E0A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255.2 </w:t>
                                  </w:r>
                                </w:p>
                              </w:tc>
                              <w:tc>
                                <w:tcPr>
                                  <w:tcW w:w="576" w:type="pct"/>
                                  <w:tcBorders>
                                    <w:top w:val="nil"/>
                                    <w:left w:val="nil"/>
                                    <w:bottom w:val="nil"/>
                                    <w:right w:val="nil"/>
                                  </w:tcBorders>
                                  <w:hideMark/>
                                </w:tcPr>
                                <w:p w14:paraId="45D46B7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244.4 </w:t>
                                  </w:r>
                                </w:p>
                              </w:tc>
                              <w:tc>
                                <w:tcPr>
                                  <w:tcW w:w="576" w:type="pct"/>
                                  <w:tcBorders>
                                    <w:top w:val="nil"/>
                                    <w:left w:val="nil"/>
                                    <w:bottom w:val="nil"/>
                                    <w:right w:val="nil"/>
                                  </w:tcBorders>
                                  <w:hideMark/>
                                </w:tcPr>
                                <w:p w14:paraId="012C5C9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254.1 </w:t>
                                  </w:r>
                                </w:p>
                              </w:tc>
                            </w:tr>
                          </w:tbl>
                          <w:p w14:paraId="34773E8A" w14:textId="7201490D" w:rsidR="00B43A9E" w:rsidRDefault="00B43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365A" id="_x0000_s1059" type="#_x0000_t202" style="position:absolute;left:0;text-align:left;margin-left:434.2pt;margin-top:0;width:485.4pt;height:709.2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" stroked="f">
                <v:textbox>
                  <w:txbxContent>
                    <w:tbl>
                      <w:tblPr>
                        <w:tblW w:w="5000" w:type="pct"/>
                        <w:tblLook w:val="04A0" w:firstRow="1" w:lastRow="0" w:firstColumn="1" w:lastColumn="0" w:noHBand="0" w:noVBand="1"/>
                      </w:tblPr>
                      <w:tblGrid>
                        <w:gridCol w:w="2075"/>
                        <w:gridCol w:w="1048"/>
                        <w:gridCol w:w="1048"/>
                        <w:gridCol w:w="1048"/>
                        <w:gridCol w:w="1049"/>
                        <w:gridCol w:w="1049"/>
                        <w:gridCol w:w="1055"/>
                        <w:gridCol w:w="1049"/>
                      </w:tblGrid>
                      <w:tr w:rsidR="00B43A9E" w:rsidRPr="00B43A9E" w14:paraId="6C2D21CF" w14:textId="77777777" w:rsidTr="00B43A9E">
                        <w:trPr>
                          <w:trHeight w:val="324"/>
                        </w:trPr>
                        <w:tc>
                          <w:tcPr>
                            <w:tcW w:w="4424" w:type="pct"/>
                            <w:gridSpan w:val="7"/>
                            <w:tcBorders>
                              <w:top w:val="nil"/>
                              <w:left w:val="nil"/>
                              <w:bottom w:val="nil"/>
                              <w:right w:val="nil"/>
                            </w:tcBorders>
                            <w:noWrap/>
                            <w:vAlign w:val="bottom"/>
                            <w:hideMark/>
                          </w:tcPr>
                          <w:p w14:paraId="39A7440B" w14:textId="77777777" w:rsidR="00B43A9E" w:rsidRPr="00F04992"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Alibaba Group Holding Limited (</w:t>
                            </w:r>
                            <w:r w:rsidRPr="00B43A9E">
                              <w:rPr>
                                <w:rFonts w:ascii="Cambria" w:eastAsia="Times New Roman" w:hAnsi="Cambria" w:cs="Arial"/>
                                <w:b/>
                                <w:bCs/>
                                <w:color w:val="000000"/>
                                <w:kern w:val="0"/>
                                <w:sz w:val="12"/>
                                <w:szCs w:val="12"/>
                                <w:lang w:eastAsia="en-IN"/>
                                <w14:ligatures w14:val="none"/>
                              </w:rPr>
                              <w:t>NYSE:BABA) &gt; Financials &gt; Balance Sheet</w:t>
                            </w:r>
                          </w:p>
                          <w:p w14:paraId="4FFDDD1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vAlign w:val="bottom"/>
                            <w:hideMark/>
                          </w:tcPr>
                          <w:p w14:paraId="59174133"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r>
                      <w:tr w:rsidR="00B43A9E" w:rsidRPr="00F04992" w14:paraId="640B9C59" w14:textId="77777777" w:rsidTr="00B43A9E">
                        <w:trPr>
                          <w:trHeight w:val="204"/>
                        </w:trPr>
                        <w:tc>
                          <w:tcPr>
                            <w:tcW w:w="965" w:type="pct"/>
                            <w:tcBorders>
                              <w:top w:val="nil"/>
                              <w:left w:val="nil"/>
                              <w:bottom w:val="nil"/>
                              <w:right w:val="nil"/>
                            </w:tcBorders>
                            <w:shd w:val="clear" w:color="000000" w:fill="003366"/>
                            <w:noWrap/>
                            <w:vAlign w:val="bottom"/>
                            <w:hideMark/>
                          </w:tcPr>
                          <w:p w14:paraId="1A76EBB3"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Balance Sheet</w:t>
                            </w:r>
                          </w:p>
                        </w:tc>
                        <w:tc>
                          <w:tcPr>
                            <w:tcW w:w="576" w:type="pct"/>
                            <w:tcBorders>
                              <w:top w:val="nil"/>
                              <w:left w:val="nil"/>
                              <w:bottom w:val="nil"/>
                              <w:right w:val="nil"/>
                            </w:tcBorders>
                            <w:shd w:val="clear" w:color="000000" w:fill="003366"/>
                            <w:noWrap/>
                            <w:vAlign w:val="bottom"/>
                            <w:hideMark/>
                          </w:tcPr>
                          <w:p w14:paraId="5F3D0246"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428D25E0"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3BF2D22D"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6D75CCFB"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5B45A1B5"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19598595"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c>
                          <w:tcPr>
                            <w:tcW w:w="576" w:type="pct"/>
                            <w:tcBorders>
                              <w:top w:val="nil"/>
                              <w:left w:val="nil"/>
                              <w:bottom w:val="nil"/>
                              <w:right w:val="nil"/>
                            </w:tcBorders>
                            <w:shd w:val="clear" w:color="000000" w:fill="003366"/>
                            <w:noWrap/>
                            <w:vAlign w:val="bottom"/>
                            <w:hideMark/>
                          </w:tcPr>
                          <w:p w14:paraId="1A665D07" w14:textId="77777777" w:rsidR="00B43A9E" w:rsidRPr="00B43A9E" w:rsidRDefault="00B43A9E" w:rsidP="00B43A9E">
                            <w:pPr>
                              <w:spacing w:after="0" w:line="240" w:lineRule="auto"/>
                              <w:rPr>
                                <w:rFonts w:ascii="Cambria" w:eastAsia="Times New Roman" w:hAnsi="Cambria" w:cs="Arial"/>
                                <w:b/>
                                <w:bCs/>
                                <w:color w:val="FFFFFF"/>
                                <w:kern w:val="0"/>
                                <w:sz w:val="12"/>
                                <w:szCs w:val="12"/>
                                <w:lang w:eastAsia="en-IN"/>
                                <w14:ligatures w14:val="none"/>
                              </w:rPr>
                            </w:pPr>
                            <w:r w:rsidRPr="00B43A9E">
                              <w:rPr>
                                <w:rFonts w:ascii="Cambria" w:eastAsia="Times New Roman" w:hAnsi="Cambria" w:cs="Arial"/>
                                <w:b/>
                                <w:bCs/>
                                <w:color w:val="FFFFFF"/>
                                <w:kern w:val="0"/>
                                <w:sz w:val="12"/>
                                <w:szCs w:val="12"/>
                                <w:lang w:eastAsia="en-IN"/>
                                <w14:ligatures w14:val="none"/>
                              </w:rPr>
                              <w:t> </w:t>
                            </w:r>
                          </w:p>
                        </w:tc>
                      </w:tr>
                      <w:tr w:rsidR="00B43A9E" w:rsidRPr="00F04992" w14:paraId="489646C6" w14:textId="77777777" w:rsidTr="00B43A9E">
                        <w:trPr>
                          <w:trHeight w:val="408"/>
                        </w:trPr>
                        <w:tc>
                          <w:tcPr>
                            <w:tcW w:w="965" w:type="pct"/>
                            <w:tcBorders>
                              <w:top w:val="nil"/>
                              <w:left w:val="nil"/>
                              <w:bottom w:val="nil"/>
                              <w:right w:val="nil"/>
                            </w:tcBorders>
                            <w:shd w:val="clear" w:color="000000" w:fill="F0F0DC"/>
                            <w:vAlign w:val="bottom"/>
                            <w:hideMark/>
                          </w:tcPr>
                          <w:p w14:paraId="2C79F520"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Balance Sheet as of:</w:t>
                            </w:r>
                          </w:p>
                        </w:tc>
                        <w:tc>
                          <w:tcPr>
                            <w:tcW w:w="576" w:type="pct"/>
                            <w:tcBorders>
                              <w:top w:val="nil"/>
                              <w:left w:val="nil"/>
                              <w:bottom w:val="nil"/>
                              <w:right w:val="nil"/>
                            </w:tcBorders>
                            <w:shd w:val="clear" w:color="000000" w:fill="F0F0DC"/>
                            <w:vAlign w:val="bottom"/>
                            <w:hideMark/>
                          </w:tcPr>
                          <w:p w14:paraId="5DBD8A9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Mar-31-2019</w:t>
                            </w:r>
                          </w:p>
                        </w:tc>
                        <w:tc>
                          <w:tcPr>
                            <w:tcW w:w="576" w:type="pct"/>
                            <w:tcBorders>
                              <w:top w:val="nil"/>
                              <w:left w:val="nil"/>
                              <w:bottom w:val="nil"/>
                              <w:right w:val="nil"/>
                            </w:tcBorders>
                            <w:shd w:val="clear" w:color="000000" w:fill="F0F0DC"/>
                            <w:vAlign w:val="bottom"/>
                            <w:hideMark/>
                          </w:tcPr>
                          <w:p w14:paraId="4B7AA50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Mar-31-2020</w:t>
                            </w:r>
                          </w:p>
                        </w:tc>
                        <w:tc>
                          <w:tcPr>
                            <w:tcW w:w="576" w:type="pct"/>
                            <w:tcBorders>
                              <w:top w:val="nil"/>
                              <w:left w:val="nil"/>
                              <w:bottom w:val="nil"/>
                              <w:right w:val="nil"/>
                            </w:tcBorders>
                            <w:shd w:val="clear" w:color="000000" w:fill="F0F0DC"/>
                            <w:vAlign w:val="bottom"/>
                            <w:hideMark/>
                          </w:tcPr>
                          <w:p w14:paraId="3B193B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Mar-31-2021</w:t>
                            </w:r>
                          </w:p>
                        </w:tc>
                        <w:tc>
                          <w:tcPr>
                            <w:tcW w:w="576" w:type="pct"/>
                            <w:tcBorders>
                              <w:top w:val="nil"/>
                              <w:left w:val="nil"/>
                              <w:bottom w:val="nil"/>
                              <w:right w:val="nil"/>
                            </w:tcBorders>
                            <w:shd w:val="clear" w:color="000000" w:fill="F0F0DC"/>
                            <w:vAlign w:val="bottom"/>
                            <w:hideMark/>
                          </w:tcPr>
                          <w:p w14:paraId="521EE87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Mar-31-2022</w:t>
                            </w:r>
                          </w:p>
                        </w:tc>
                        <w:tc>
                          <w:tcPr>
                            <w:tcW w:w="576" w:type="pct"/>
                            <w:tcBorders>
                              <w:top w:val="nil"/>
                              <w:left w:val="nil"/>
                              <w:bottom w:val="nil"/>
                              <w:right w:val="nil"/>
                            </w:tcBorders>
                            <w:shd w:val="clear" w:color="000000" w:fill="F0F0DC"/>
                            <w:vAlign w:val="bottom"/>
                            <w:hideMark/>
                          </w:tcPr>
                          <w:p w14:paraId="06CA219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Mar-31-2023</w:t>
                            </w:r>
                          </w:p>
                        </w:tc>
                        <w:tc>
                          <w:tcPr>
                            <w:tcW w:w="576" w:type="pct"/>
                            <w:tcBorders>
                              <w:top w:val="nil"/>
                              <w:left w:val="nil"/>
                              <w:bottom w:val="nil"/>
                              <w:right w:val="nil"/>
                            </w:tcBorders>
                            <w:shd w:val="clear" w:color="000000" w:fill="F0F0DC"/>
                            <w:vAlign w:val="bottom"/>
                            <w:hideMark/>
                          </w:tcPr>
                          <w:p w14:paraId="13773B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Mar-31-2024</w:t>
                            </w:r>
                          </w:p>
                        </w:tc>
                        <w:tc>
                          <w:tcPr>
                            <w:tcW w:w="576" w:type="pct"/>
                            <w:tcBorders>
                              <w:top w:val="nil"/>
                              <w:left w:val="nil"/>
                              <w:bottom w:val="nil"/>
                              <w:right w:val="nil"/>
                            </w:tcBorders>
                            <w:shd w:val="clear" w:color="000000" w:fill="F0F0DC"/>
                            <w:vAlign w:val="bottom"/>
                            <w:hideMark/>
                          </w:tcPr>
                          <w:p w14:paraId="6044C06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Dec-31-2024</w:t>
                            </w:r>
                          </w:p>
                        </w:tc>
                      </w:tr>
                      <w:tr w:rsidR="00B43A9E" w:rsidRPr="00F04992" w14:paraId="74C97902" w14:textId="77777777" w:rsidTr="00B43A9E">
                        <w:trPr>
                          <w:trHeight w:val="204"/>
                        </w:trPr>
                        <w:tc>
                          <w:tcPr>
                            <w:tcW w:w="965" w:type="pct"/>
                            <w:tcBorders>
                              <w:top w:val="nil"/>
                              <w:left w:val="nil"/>
                              <w:bottom w:val="nil"/>
                              <w:right w:val="nil"/>
                            </w:tcBorders>
                            <w:shd w:val="clear" w:color="000000" w:fill="F0F0DC"/>
                            <w:vAlign w:val="bottom"/>
                            <w:hideMark/>
                          </w:tcPr>
                          <w:p w14:paraId="4825F079" w14:textId="77777777" w:rsidR="00B43A9E" w:rsidRPr="00B43A9E" w:rsidRDefault="00B43A9E" w:rsidP="00B43A9E">
                            <w:pPr>
                              <w:spacing w:after="0" w:line="240" w:lineRule="auto"/>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Currency</w:t>
                            </w:r>
                          </w:p>
                        </w:tc>
                        <w:tc>
                          <w:tcPr>
                            <w:tcW w:w="576" w:type="pct"/>
                            <w:tcBorders>
                              <w:top w:val="nil"/>
                              <w:left w:val="nil"/>
                              <w:bottom w:val="nil"/>
                              <w:right w:val="nil"/>
                            </w:tcBorders>
                            <w:shd w:val="clear" w:color="000000" w:fill="F0F0DC"/>
                            <w:vAlign w:val="bottom"/>
                            <w:hideMark/>
                          </w:tcPr>
                          <w:p w14:paraId="728723ED"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457A305C"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7B9E1D99"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7BE27129"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391C3864"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0AAC2FF8"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c>
                          <w:tcPr>
                            <w:tcW w:w="576" w:type="pct"/>
                            <w:tcBorders>
                              <w:top w:val="nil"/>
                              <w:left w:val="nil"/>
                              <w:bottom w:val="nil"/>
                              <w:right w:val="nil"/>
                            </w:tcBorders>
                            <w:shd w:val="clear" w:color="000000" w:fill="F0F0DC"/>
                            <w:vAlign w:val="bottom"/>
                            <w:hideMark/>
                          </w:tcPr>
                          <w:p w14:paraId="0AB8F631" w14:textId="77777777" w:rsidR="00B43A9E" w:rsidRPr="00B43A9E" w:rsidRDefault="00B43A9E" w:rsidP="00B43A9E">
                            <w:pPr>
                              <w:spacing w:after="0" w:line="240" w:lineRule="auto"/>
                              <w:jc w:val="right"/>
                              <w:rPr>
                                <w:rFonts w:ascii="Cambria" w:eastAsia="Times New Roman" w:hAnsi="Cambria" w:cs="Arial"/>
                                <w:b/>
                                <w:bCs/>
                                <w:i/>
                                <w:iCs/>
                                <w:color w:val="000000"/>
                                <w:kern w:val="0"/>
                                <w:sz w:val="12"/>
                                <w:szCs w:val="12"/>
                                <w:lang w:eastAsia="en-IN"/>
                                <w14:ligatures w14:val="none"/>
                              </w:rPr>
                            </w:pPr>
                            <w:r w:rsidRPr="00B43A9E">
                              <w:rPr>
                                <w:rFonts w:ascii="Cambria" w:eastAsia="Times New Roman" w:hAnsi="Cambria" w:cs="Arial"/>
                                <w:b/>
                                <w:bCs/>
                                <w:i/>
                                <w:iCs/>
                                <w:color w:val="000000"/>
                                <w:kern w:val="0"/>
                                <w:sz w:val="12"/>
                                <w:szCs w:val="12"/>
                                <w:lang w:eastAsia="en-IN"/>
                                <w14:ligatures w14:val="none"/>
                              </w:rPr>
                              <w:t>USD</w:t>
                            </w:r>
                          </w:p>
                        </w:tc>
                      </w:tr>
                      <w:tr w:rsidR="00B43A9E" w:rsidRPr="00B43A9E" w14:paraId="7AAB4034" w14:textId="77777777" w:rsidTr="00B43A9E">
                        <w:trPr>
                          <w:trHeight w:val="204"/>
                        </w:trPr>
                        <w:tc>
                          <w:tcPr>
                            <w:tcW w:w="965" w:type="pct"/>
                            <w:tcBorders>
                              <w:top w:val="nil"/>
                              <w:left w:val="nil"/>
                              <w:bottom w:val="nil"/>
                              <w:right w:val="nil"/>
                            </w:tcBorders>
                            <w:noWrap/>
                            <w:hideMark/>
                          </w:tcPr>
                          <w:p w14:paraId="70343F4E"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ASSETS</w:t>
                            </w:r>
                          </w:p>
                        </w:tc>
                        <w:tc>
                          <w:tcPr>
                            <w:tcW w:w="576" w:type="pct"/>
                            <w:tcBorders>
                              <w:top w:val="nil"/>
                              <w:left w:val="nil"/>
                              <w:bottom w:val="nil"/>
                              <w:right w:val="nil"/>
                            </w:tcBorders>
                            <w:noWrap/>
                            <w:hideMark/>
                          </w:tcPr>
                          <w:p w14:paraId="1F6D7DA9"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hideMark/>
                          </w:tcPr>
                          <w:p w14:paraId="467A8CA5"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66725E05"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C8DDBFA"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793CF0D1"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31EF6A74"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8D3A69A"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r>
                      <w:tr w:rsidR="00B43A9E" w:rsidRPr="00B43A9E" w14:paraId="7DF58228" w14:textId="77777777" w:rsidTr="00B43A9E">
                        <w:trPr>
                          <w:trHeight w:val="204"/>
                        </w:trPr>
                        <w:tc>
                          <w:tcPr>
                            <w:tcW w:w="965" w:type="pct"/>
                            <w:tcBorders>
                              <w:top w:val="nil"/>
                              <w:left w:val="nil"/>
                              <w:bottom w:val="nil"/>
                              <w:right w:val="nil"/>
                            </w:tcBorders>
                            <w:noWrap/>
                            <w:hideMark/>
                          </w:tcPr>
                          <w:p w14:paraId="16CAF810"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Cash And Equivalents</w:t>
                            </w:r>
                          </w:p>
                        </w:tc>
                        <w:tc>
                          <w:tcPr>
                            <w:tcW w:w="576" w:type="pct"/>
                            <w:tcBorders>
                              <w:top w:val="nil"/>
                              <w:left w:val="nil"/>
                              <w:bottom w:val="nil"/>
                              <w:right w:val="nil"/>
                            </w:tcBorders>
                            <w:hideMark/>
                          </w:tcPr>
                          <w:p w14:paraId="039B4A5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28.3 </w:t>
                            </w:r>
                          </w:p>
                        </w:tc>
                        <w:tc>
                          <w:tcPr>
                            <w:tcW w:w="576" w:type="pct"/>
                            <w:tcBorders>
                              <w:top w:val="nil"/>
                              <w:left w:val="nil"/>
                              <w:bottom w:val="nil"/>
                              <w:right w:val="nil"/>
                            </w:tcBorders>
                            <w:hideMark/>
                          </w:tcPr>
                          <w:p w14:paraId="777ECA5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46.7 </w:t>
                            </w:r>
                          </w:p>
                        </w:tc>
                        <w:tc>
                          <w:tcPr>
                            <w:tcW w:w="576" w:type="pct"/>
                            <w:tcBorders>
                              <w:top w:val="nil"/>
                              <w:left w:val="nil"/>
                              <w:bottom w:val="nil"/>
                              <w:right w:val="nil"/>
                            </w:tcBorders>
                            <w:hideMark/>
                          </w:tcPr>
                          <w:p w14:paraId="5626097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49.0 </w:t>
                            </w:r>
                          </w:p>
                        </w:tc>
                        <w:tc>
                          <w:tcPr>
                            <w:tcW w:w="576" w:type="pct"/>
                            <w:tcBorders>
                              <w:top w:val="nil"/>
                              <w:left w:val="nil"/>
                              <w:bottom w:val="nil"/>
                              <w:right w:val="nil"/>
                            </w:tcBorders>
                            <w:hideMark/>
                          </w:tcPr>
                          <w:p w14:paraId="0C45A5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30.0 </w:t>
                            </w:r>
                          </w:p>
                        </w:tc>
                        <w:tc>
                          <w:tcPr>
                            <w:tcW w:w="576" w:type="pct"/>
                            <w:tcBorders>
                              <w:top w:val="nil"/>
                              <w:left w:val="nil"/>
                              <w:bottom w:val="nil"/>
                              <w:right w:val="nil"/>
                            </w:tcBorders>
                            <w:hideMark/>
                          </w:tcPr>
                          <w:p w14:paraId="66F82F3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28.1 </w:t>
                            </w:r>
                          </w:p>
                        </w:tc>
                        <w:tc>
                          <w:tcPr>
                            <w:tcW w:w="576" w:type="pct"/>
                            <w:tcBorders>
                              <w:top w:val="nil"/>
                              <w:left w:val="nil"/>
                              <w:bottom w:val="nil"/>
                              <w:right w:val="nil"/>
                            </w:tcBorders>
                            <w:hideMark/>
                          </w:tcPr>
                          <w:p w14:paraId="5A38A32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34.4 </w:t>
                            </w:r>
                          </w:p>
                        </w:tc>
                        <w:tc>
                          <w:tcPr>
                            <w:tcW w:w="576" w:type="pct"/>
                            <w:tcBorders>
                              <w:top w:val="nil"/>
                              <w:left w:val="nil"/>
                              <w:bottom w:val="nil"/>
                              <w:right w:val="nil"/>
                            </w:tcBorders>
                            <w:hideMark/>
                          </w:tcPr>
                          <w:p w14:paraId="49D7FC4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22.3 </w:t>
                            </w:r>
                          </w:p>
                        </w:tc>
                      </w:tr>
                      <w:tr w:rsidR="00B43A9E" w:rsidRPr="00B43A9E" w14:paraId="503A7715" w14:textId="77777777" w:rsidTr="00B43A9E">
                        <w:trPr>
                          <w:trHeight w:val="204"/>
                        </w:trPr>
                        <w:tc>
                          <w:tcPr>
                            <w:tcW w:w="965" w:type="pct"/>
                            <w:tcBorders>
                              <w:top w:val="nil"/>
                              <w:left w:val="nil"/>
                              <w:bottom w:val="nil"/>
                              <w:right w:val="nil"/>
                            </w:tcBorders>
                            <w:noWrap/>
                            <w:hideMark/>
                          </w:tcPr>
                          <w:p w14:paraId="4E8F4758"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Short Term Investments</w:t>
                            </w:r>
                          </w:p>
                        </w:tc>
                        <w:tc>
                          <w:tcPr>
                            <w:tcW w:w="576" w:type="pct"/>
                            <w:tcBorders>
                              <w:top w:val="nil"/>
                              <w:left w:val="nil"/>
                              <w:bottom w:val="nil"/>
                              <w:right w:val="nil"/>
                            </w:tcBorders>
                            <w:hideMark/>
                          </w:tcPr>
                          <w:p w14:paraId="69B0DCE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 </w:t>
                            </w:r>
                          </w:p>
                        </w:tc>
                        <w:tc>
                          <w:tcPr>
                            <w:tcW w:w="576" w:type="pct"/>
                            <w:tcBorders>
                              <w:top w:val="nil"/>
                              <w:left w:val="nil"/>
                              <w:bottom w:val="nil"/>
                              <w:right w:val="nil"/>
                            </w:tcBorders>
                            <w:hideMark/>
                          </w:tcPr>
                          <w:p w14:paraId="41174CE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35EE229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24.8 </w:t>
                            </w:r>
                          </w:p>
                        </w:tc>
                        <w:tc>
                          <w:tcPr>
                            <w:tcW w:w="576" w:type="pct"/>
                            <w:tcBorders>
                              <w:top w:val="nil"/>
                              <w:left w:val="nil"/>
                              <w:bottom w:val="nil"/>
                              <w:right w:val="nil"/>
                            </w:tcBorders>
                            <w:hideMark/>
                          </w:tcPr>
                          <w:p w14:paraId="0BB1F18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41.8 </w:t>
                            </w:r>
                          </w:p>
                        </w:tc>
                        <w:tc>
                          <w:tcPr>
                            <w:tcW w:w="576" w:type="pct"/>
                            <w:tcBorders>
                              <w:top w:val="nil"/>
                              <w:left w:val="nil"/>
                              <w:bottom w:val="nil"/>
                              <w:right w:val="nil"/>
                            </w:tcBorders>
                            <w:hideMark/>
                          </w:tcPr>
                          <w:p w14:paraId="448C308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48.2 </w:t>
                            </w:r>
                          </w:p>
                        </w:tc>
                        <w:tc>
                          <w:tcPr>
                            <w:tcW w:w="576" w:type="pct"/>
                            <w:tcBorders>
                              <w:top w:val="nil"/>
                              <w:left w:val="nil"/>
                              <w:bottom w:val="nil"/>
                              <w:right w:val="nil"/>
                            </w:tcBorders>
                            <w:hideMark/>
                          </w:tcPr>
                          <w:p w14:paraId="512F368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1B4C112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39.8 </w:t>
                            </w:r>
                          </w:p>
                        </w:tc>
                      </w:tr>
                      <w:tr w:rsidR="00B43A9E" w:rsidRPr="00B43A9E" w14:paraId="56BCD03F" w14:textId="77777777" w:rsidTr="00B43A9E">
                        <w:trPr>
                          <w:trHeight w:val="204"/>
                        </w:trPr>
                        <w:tc>
                          <w:tcPr>
                            <w:tcW w:w="965" w:type="pct"/>
                            <w:tcBorders>
                              <w:top w:val="nil"/>
                              <w:left w:val="nil"/>
                              <w:bottom w:val="nil"/>
                              <w:right w:val="nil"/>
                            </w:tcBorders>
                            <w:noWrap/>
                            <w:hideMark/>
                          </w:tcPr>
                          <w:p w14:paraId="6DF734C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Cash &amp; ST Investments</w:t>
                            </w:r>
                          </w:p>
                        </w:tc>
                        <w:tc>
                          <w:tcPr>
                            <w:tcW w:w="576" w:type="pct"/>
                            <w:tcBorders>
                              <w:top w:val="single" w:sz="4" w:space="0" w:color="000000"/>
                              <w:left w:val="nil"/>
                              <w:bottom w:val="nil"/>
                              <w:right w:val="nil"/>
                            </w:tcBorders>
                            <w:hideMark/>
                          </w:tcPr>
                          <w:p w14:paraId="3FB0691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30.3 </w:t>
                            </w:r>
                          </w:p>
                        </w:tc>
                        <w:tc>
                          <w:tcPr>
                            <w:tcW w:w="576" w:type="pct"/>
                            <w:tcBorders>
                              <w:top w:val="single" w:sz="4" w:space="0" w:color="000000"/>
                              <w:left w:val="nil"/>
                              <w:bottom w:val="nil"/>
                              <w:right w:val="nil"/>
                            </w:tcBorders>
                            <w:hideMark/>
                          </w:tcPr>
                          <w:p w14:paraId="6DBC9D8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51.3 </w:t>
                            </w:r>
                          </w:p>
                        </w:tc>
                        <w:tc>
                          <w:tcPr>
                            <w:tcW w:w="576" w:type="pct"/>
                            <w:tcBorders>
                              <w:top w:val="single" w:sz="4" w:space="0" w:color="000000"/>
                              <w:left w:val="nil"/>
                              <w:bottom w:val="nil"/>
                              <w:right w:val="nil"/>
                            </w:tcBorders>
                            <w:hideMark/>
                          </w:tcPr>
                          <w:p w14:paraId="77F5104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73.8 </w:t>
                            </w:r>
                          </w:p>
                        </w:tc>
                        <w:tc>
                          <w:tcPr>
                            <w:tcW w:w="576" w:type="pct"/>
                            <w:tcBorders>
                              <w:top w:val="single" w:sz="4" w:space="0" w:color="000000"/>
                              <w:left w:val="nil"/>
                              <w:bottom w:val="nil"/>
                              <w:right w:val="nil"/>
                            </w:tcBorders>
                            <w:hideMark/>
                          </w:tcPr>
                          <w:p w14:paraId="0F7E368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71.8 </w:t>
                            </w:r>
                          </w:p>
                        </w:tc>
                        <w:tc>
                          <w:tcPr>
                            <w:tcW w:w="576" w:type="pct"/>
                            <w:tcBorders>
                              <w:top w:val="single" w:sz="4" w:space="0" w:color="000000"/>
                              <w:left w:val="nil"/>
                              <w:bottom w:val="nil"/>
                              <w:right w:val="nil"/>
                            </w:tcBorders>
                            <w:hideMark/>
                          </w:tcPr>
                          <w:p w14:paraId="77FFB96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76.4 </w:t>
                            </w:r>
                          </w:p>
                        </w:tc>
                        <w:tc>
                          <w:tcPr>
                            <w:tcW w:w="576" w:type="pct"/>
                            <w:tcBorders>
                              <w:top w:val="single" w:sz="4" w:space="0" w:color="000000"/>
                              <w:left w:val="nil"/>
                              <w:bottom w:val="nil"/>
                              <w:right w:val="nil"/>
                            </w:tcBorders>
                            <w:hideMark/>
                          </w:tcPr>
                          <w:p w14:paraId="2879949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79.1 </w:t>
                            </w:r>
                          </w:p>
                        </w:tc>
                        <w:tc>
                          <w:tcPr>
                            <w:tcW w:w="576" w:type="pct"/>
                            <w:tcBorders>
                              <w:top w:val="single" w:sz="4" w:space="0" w:color="000000"/>
                              <w:left w:val="nil"/>
                              <w:bottom w:val="nil"/>
                              <w:right w:val="nil"/>
                            </w:tcBorders>
                            <w:hideMark/>
                          </w:tcPr>
                          <w:p w14:paraId="5B473B5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62.1 </w:t>
                            </w:r>
                          </w:p>
                        </w:tc>
                      </w:tr>
                      <w:tr w:rsidR="00B43A9E" w:rsidRPr="00B43A9E" w14:paraId="12649B77" w14:textId="77777777" w:rsidTr="00B43A9E">
                        <w:trPr>
                          <w:trHeight w:val="204"/>
                        </w:trPr>
                        <w:tc>
                          <w:tcPr>
                            <w:tcW w:w="965" w:type="pct"/>
                            <w:tcBorders>
                              <w:top w:val="nil"/>
                              <w:left w:val="nil"/>
                              <w:bottom w:val="nil"/>
                              <w:right w:val="nil"/>
                            </w:tcBorders>
                            <w:noWrap/>
                            <w:hideMark/>
                          </w:tcPr>
                          <w:p w14:paraId="248DF7F3"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Accounts Receivable</w:t>
                            </w:r>
                          </w:p>
                        </w:tc>
                        <w:tc>
                          <w:tcPr>
                            <w:tcW w:w="576" w:type="pct"/>
                            <w:tcBorders>
                              <w:top w:val="nil"/>
                              <w:left w:val="nil"/>
                              <w:bottom w:val="nil"/>
                              <w:right w:val="nil"/>
                            </w:tcBorders>
                            <w:hideMark/>
                          </w:tcPr>
                          <w:p w14:paraId="756DF0C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3.2 </w:t>
                            </w:r>
                          </w:p>
                        </w:tc>
                        <w:tc>
                          <w:tcPr>
                            <w:tcW w:w="576" w:type="pct"/>
                            <w:tcBorders>
                              <w:top w:val="nil"/>
                              <w:left w:val="nil"/>
                              <w:bottom w:val="nil"/>
                              <w:right w:val="nil"/>
                            </w:tcBorders>
                            <w:hideMark/>
                          </w:tcPr>
                          <w:p w14:paraId="15BBEC4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 </w:t>
                            </w:r>
                          </w:p>
                        </w:tc>
                        <w:tc>
                          <w:tcPr>
                            <w:tcW w:w="576" w:type="pct"/>
                            <w:tcBorders>
                              <w:top w:val="nil"/>
                              <w:left w:val="nil"/>
                              <w:bottom w:val="nil"/>
                              <w:right w:val="nil"/>
                            </w:tcBorders>
                            <w:hideMark/>
                          </w:tcPr>
                          <w:p w14:paraId="6564006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5.7 </w:t>
                            </w:r>
                          </w:p>
                        </w:tc>
                        <w:tc>
                          <w:tcPr>
                            <w:tcW w:w="576" w:type="pct"/>
                            <w:tcBorders>
                              <w:top w:val="nil"/>
                              <w:left w:val="nil"/>
                              <w:bottom w:val="nil"/>
                              <w:right w:val="nil"/>
                            </w:tcBorders>
                            <w:hideMark/>
                          </w:tcPr>
                          <w:p w14:paraId="486FB0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7.1 </w:t>
                            </w:r>
                          </w:p>
                        </w:tc>
                        <w:tc>
                          <w:tcPr>
                            <w:tcW w:w="576" w:type="pct"/>
                            <w:tcBorders>
                              <w:top w:val="nil"/>
                              <w:left w:val="nil"/>
                              <w:bottom w:val="nil"/>
                              <w:right w:val="nil"/>
                            </w:tcBorders>
                            <w:hideMark/>
                          </w:tcPr>
                          <w:p w14:paraId="7FCC62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 </w:t>
                            </w:r>
                          </w:p>
                        </w:tc>
                        <w:tc>
                          <w:tcPr>
                            <w:tcW w:w="576" w:type="pct"/>
                            <w:tcBorders>
                              <w:top w:val="nil"/>
                              <w:left w:val="nil"/>
                              <w:bottom w:val="nil"/>
                              <w:right w:val="nil"/>
                            </w:tcBorders>
                            <w:hideMark/>
                          </w:tcPr>
                          <w:p w14:paraId="5EEF90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 </w:t>
                            </w:r>
                          </w:p>
                        </w:tc>
                        <w:tc>
                          <w:tcPr>
                            <w:tcW w:w="576" w:type="pct"/>
                            <w:tcBorders>
                              <w:top w:val="nil"/>
                              <w:left w:val="nil"/>
                              <w:bottom w:val="nil"/>
                              <w:right w:val="nil"/>
                            </w:tcBorders>
                            <w:hideMark/>
                          </w:tcPr>
                          <w:p w14:paraId="2794CC0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6E78CDFE" w14:textId="77777777" w:rsidTr="00B43A9E">
                        <w:trPr>
                          <w:trHeight w:val="204"/>
                        </w:trPr>
                        <w:tc>
                          <w:tcPr>
                            <w:tcW w:w="965" w:type="pct"/>
                            <w:tcBorders>
                              <w:top w:val="nil"/>
                              <w:left w:val="nil"/>
                              <w:bottom w:val="nil"/>
                              <w:right w:val="nil"/>
                            </w:tcBorders>
                            <w:noWrap/>
                            <w:hideMark/>
                          </w:tcPr>
                          <w:p w14:paraId="38ACD310"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Receivables</w:t>
                            </w:r>
                          </w:p>
                        </w:tc>
                        <w:tc>
                          <w:tcPr>
                            <w:tcW w:w="576" w:type="pct"/>
                            <w:tcBorders>
                              <w:top w:val="nil"/>
                              <w:left w:val="nil"/>
                              <w:bottom w:val="nil"/>
                              <w:right w:val="nil"/>
                            </w:tcBorders>
                            <w:hideMark/>
                          </w:tcPr>
                          <w:p w14:paraId="5929D4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1.2 </w:t>
                            </w:r>
                          </w:p>
                        </w:tc>
                        <w:tc>
                          <w:tcPr>
                            <w:tcW w:w="576" w:type="pct"/>
                            <w:tcBorders>
                              <w:top w:val="nil"/>
                              <w:left w:val="nil"/>
                              <w:bottom w:val="nil"/>
                              <w:right w:val="nil"/>
                            </w:tcBorders>
                            <w:hideMark/>
                          </w:tcPr>
                          <w:p w14:paraId="34C7E5C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73C66D9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c>
                          <w:tcPr>
                            <w:tcW w:w="576" w:type="pct"/>
                            <w:tcBorders>
                              <w:top w:val="nil"/>
                              <w:left w:val="nil"/>
                              <w:bottom w:val="nil"/>
                              <w:right w:val="nil"/>
                            </w:tcBorders>
                            <w:hideMark/>
                          </w:tcPr>
                          <w:p w14:paraId="1E66139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 </w:t>
                            </w:r>
                          </w:p>
                        </w:tc>
                        <w:tc>
                          <w:tcPr>
                            <w:tcW w:w="576" w:type="pct"/>
                            <w:tcBorders>
                              <w:top w:val="nil"/>
                              <w:left w:val="nil"/>
                              <w:bottom w:val="nil"/>
                              <w:right w:val="nil"/>
                            </w:tcBorders>
                            <w:hideMark/>
                          </w:tcPr>
                          <w:p w14:paraId="4D0A5F7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21FC7F3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4.1 </w:t>
                            </w:r>
                          </w:p>
                        </w:tc>
                        <w:tc>
                          <w:tcPr>
                            <w:tcW w:w="576" w:type="pct"/>
                            <w:tcBorders>
                              <w:top w:val="nil"/>
                              <w:left w:val="nil"/>
                              <w:bottom w:val="nil"/>
                              <w:right w:val="nil"/>
                            </w:tcBorders>
                            <w:hideMark/>
                          </w:tcPr>
                          <w:p w14:paraId="6EA942E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03D14BF8" w14:textId="77777777" w:rsidTr="00B43A9E">
                        <w:trPr>
                          <w:trHeight w:val="204"/>
                        </w:trPr>
                        <w:tc>
                          <w:tcPr>
                            <w:tcW w:w="965" w:type="pct"/>
                            <w:tcBorders>
                              <w:top w:val="nil"/>
                              <w:left w:val="nil"/>
                              <w:bottom w:val="nil"/>
                              <w:right w:val="nil"/>
                            </w:tcBorders>
                            <w:noWrap/>
                            <w:hideMark/>
                          </w:tcPr>
                          <w:p w14:paraId="2B83721A"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Receivables</w:t>
                            </w:r>
                          </w:p>
                        </w:tc>
                        <w:tc>
                          <w:tcPr>
                            <w:tcW w:w="576" w:type="pct"/>
                            <w:tcBorders>
                              <w:top w:val="single" w:sz="4" w:space="0" w:color="000000"/>
                              <w:left w:val="nil"/>
                              <w:bottom w:val="nil"/>
                              <w:right w:val="nil"/>
                            </w:tcBorders>
                            <w:hideMark/>
                          </w:tcPr>
                          <w:p w14:paraId="6CBD076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4.4 </w:t>
                            </w:r>
                          </w:p>
                        </w:tc>
                        <w:tc>
                          <w:tcPr>
                            <w:tcW w:w="576" w:type="pct"/>
                            <w:tcBorders>
                              <w:top w:val="single" w:sz="4" w:space="0" w:color="000000"/>
                              <w:left w:val="nil"/>
                              <w:bottom w:val="nil"/>
                              <w:right w:val="nil"/>
                            </w:tcBorders>
                            <w:hideMark/>
                          </w:tcPr>
                          <w:p w14:paraId="2AD261A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 </w:t>
                            </w:r>
                          </w:p>
                        </w:tc>
                        <w:tc>
                          <w:tcPr>
                            <w:tcW w:w="576" w:type="pct"/>
                            <w:tcBorders>
                              <w:top w:val="single" w:sz="4" w:space="0" w:color="000000"/>
                              <w:left w:val="nil"/>
                              <w:bottom w:val="nil"/>
                              <w:right w:val="nil"/>
                            </w:tcBorders>
                            <w:hideMark/>
                          </w:tcPr>
                          <w:p w14:paraId="63F8E5C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8.7 </w:t>
                            </w:r>
                          </w:p>
                        </w:tc>
                        <w:tc>
                          <w:tcPr>
                            <w:tcW w:w="576" w:type="pct"/>
                            <w:tcBorders>
                              <w:top w:val="single" w:sz="4" w:space="0" w:color="000000"/>
                              <w:left w:val="nil"/>
                              <w:bottom w:val="nil"/>
                              <w:right w:val="nil"/>
                            </w:tcBorders>
                            <w:hideMark/>
                          </w:tcPr>
                          <w:p w14:paraId="5E93361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11.2 </w:t>
                            </w:r>
                          </w:p>
                        </w:tc>
                        <w:tc>
                          <w:tcPr>
                            <w:tcW w:w="576" w:type="pct"/>
                            <w:tcBorders>
                              <w:top w:val="single" w:sz="4" w:space="0" w:color="000000"/>
                              <w:left w:val="nil"/>
                              <w:bottom w:val="nil"/>
                              <w:right w:val="nil"/>
                            </w:tcBorders>
                            <w:hideMark/>
                          </w:tcPr>
                          <w:p w14:paraId="508FF34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9.3 </w:t>
                            </w:r>
                          </w:p>
                        </w:tc>
                        <w:tc>
                          <w:tcPr>
                            <w:tcW w:w="576" w:type="pct"/>
                            <w:tcBorders>
                              <w:top w:val="single" w:sz="4" w:space="0" w:color="000000"/>
                              <w:left w:val="nil"/>
                              <w:bottom w:val="nil"/>
                              <w:right w:val="nil"/>
                            </w:tcBorders>
                            <w:hideMark/>
                          </w:tcPr>
                          <w:p w14:paraId="3D75484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9.5 </w:t>
                            </w:r>
                          </w:p>
                        </w:tc>
                        <w:tc>
                          <w:tcPr>
                            <w:tcW w:w="576" w:type="pct"/>
                            <w:tcBorders>
                              <w:top w:val="single" w:sz="4" w:space="0" w:color="000000"/>
                              <w:left w:val="nil"/>
                              <w:bottom w:val="nil"/>
                              <w:right w:val="nil"/>
                            </w:tcBorders>
                            <w:hideMark/>
                          </w:tcPr>
                          <w:p w14:paraId="5762C94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w:t>
                            </w:r>
                          </w:p>
                        </w:tc>
                      </w:tr>
                      <w:tr w:rsidR="00B43A9E" w:rsidRPr="00B43A9E" w14:paraId="60FB7F34" w14:textId="77777777" w:rsidTr="00B43A9E">
                        <w:trPr>
                          <w:trHeight w:val="204"/>
                        </w:trPr>
                        <w:tc>
                          <w:tcPr>
                            <w:tcW w:w="965" w:type="pct"/>
                            <w:tcBorders>
                              <w:top w:val="nil"/>
                              <w:left w:val="nil"/>
                              <w:bottom w:val="nil"/>
                              <w:right w:val="nil"/>
                            </w:tcBorders>
                            <w:noWrap/>
                            <w:hideMark/>
                          </w:tcPr>
                          <w:p w14:paraId="0F5C170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Inventory</w:t>
                            </w:r>
                          </w:p>
                        </w:tc>
                        <w:tc>
                          <w:tcPr>
                            <w:tcW w:w="576" w:type="pct"/>
                            <w:tcBorders>
                              <w:top w:val="nil"/>
                              <w:left w:val="nil"/>
                              <w:bottom w:val="nil"/>
                              <w:right w:val="nil"/>
                            </w:tcBorders>
                            <w:hideMark/>
                          </w:tcPr>
                          <w:p w14:paraId="5AEC284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1.3 </w:t>
                            </w:r>
                          </w:p>
                        </w:tc>
                        <w:tc>
                          <w:tcPr>
                            <w:tcW w:w="576" w:type="pct"/>
                            <w:tcBorders>
                              <w:top w:val="nil"/>
                              <w:left w:val="nil"/>
                              <w:bottom w:val="nil"/>
                              <w:right w:val="nil"/>
                            </w:tcBorders>
                            <w:hideMark/>
                          </w:tcPr>
                          <w:p w14:paraId="30D229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 </w:t>
                            </w:r>
                          </w:p>
                        </w:tc>
                        <w:tc>
                          <w:tcPr>
                            <w:tcW w:w="576" w:type="pct"/>
                            <w:tcBorders>
                              <w:top w:val="nil"/>
                              <w:left w:val="nil"/>
                              <w:bottom w:val="nil"/>
                              <w:right w:val="nil"/>
                            </w:tcBorders>
                            <w:hideMark/>
                          </w:tcPr>
                          <w:p w14:paraId="0992AB7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4.3 </w:t>
                            </w:r>
                          </w:p>
                        </w:tc>
                        <w:tc>
                          <w:tcPr>
                            <w:tcW w:w="576" w:type="pct"/>
                            <w:tcBorders>
                              <w:top w:val="nil"/>
                              <w:left w:val="nil"/>
                              <w:bottom w:val="nil"/>
                              <w:right w:val="nil"/>
                            </w:tcBorders>
                            <w:hideMark/>
                          </w:tcPr>
                          <w:p w14:paraId="5AC81E9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4.7 </w:t>
                            </w:r>
                          </w:p>
                        </w:tc>
                        <w:tc>
                          <w:tcPr>
                            <w:tcW w:w="576" w:type="pct"/>
                            <w:tcBorders>
                              <w:top w:val="nil"/>
                              <w:left w:val="nil"/>
                              <w:bottom w:val="nil"/>
                              <w:right w:val="nil"/>
                            </w:tcBorders>
                            <w:hideMark/>
                          </w:tcPr>
                          <w:p w14:paraId="4A4A491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1EE2E71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3.5 </w:t>
                            </w:r>
                          </w:p>
                        </w:tc>
                        <w:tc>
                          <w:tcPr>
                            <w:tcW w:w="576" w:type="pct"/>
                            <w:tcBorders>
                              <w:top w:val="nil"/>
                              <w:left w:val="nil"/>
                              <w:bottom w:val="nil"/>
                              <w:right w:val="nil"/>
                            </w:tcBorders>
                            <w:hideMark/>
                          </w:tcPr>
                          <w:p w14:paraId="01C7971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2A444CAD" w14:textId="77777777" w:rsidTr="00B43A9E">
                        <w:trPr>
                          <w:trHeight w:val="204"/>
                        </w:trPr>
                        <w:tc>
                          <w:tcPr>
                            <w:tcW w:w="965" w:type="pct"/>
                            <w:tcBorders>
                              <w:top w:val="nil"/>
                              <w:left w:val="nil"/>
                              <w:bottom w:val="nil"/>
                              <w:right w:val="nil"/>
                            </w:tcBorders>
                            <w:noWrap/>
                            <w:hideMark/>
                          </w:tcPr>
                          <w:p w14:paraId="2B4BDCCA"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Prepaid Exp.</w:t>
                            </w:r>
                          </w:p>
                        </w:tc>
                        <w:tc>
                          <w:tcPr>
                            <w:tcW w:w="576" w:type="pct"/>
                            <w:tcBorders>
                              <w:top w:val="nil"/>
                              <w:left w:val="nil"/>
                              <w:bottom w:val="nil"/>
                              <w:right w:val="nil"/>
                            </w:tcBorders>
                            <w:hideMark/>
                          </w:tcPr>
                          <w:p w14:paraId="1861F5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010B21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23083F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0E7F304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406CF39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 </w:t>
                            </w:r>
                          </w:p>
                        </w:tc>
                        <w:tc>
                          <w:tcPr>
                            <w:tcW w:w="576" w:type="pct"/>
                            <w:tcBorders>
                              <w:top w:val="nil"/>
                              <w:left w:val="nil"/>
                              <w:bottom w:val="nil"/>
                              <w:right w:val="nil"/>
                            </w:tcBorders>
                            <w:hideMark/>
                          </w:tcPr>
                          <w:p w14:paraId="2ECADD5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 </w:t>
                            </w:r>
                          </w:p>
                        </w:tc>
                        <w:tc>
                          <w:tcPr>
                            <w:tcW w:w="576" w:type="pct"/>
                            <w:tcBorders>
                              <w:top w:val="nil"/>
                              <w:left w:val="nil"/>
                              <w:bottom w:val="nil"/>
                              <w:right w:val="nil"/>
                            </w:tcBorders>
                            <w:hideMark/>
                          </w:tcPr>
                          <w:p w14:paraId="379A01D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439EE71A" w14:textId="77777777" w:rsidTr="00B43A9E">
                        <w:trPr>
                          <w:trHeight w:val="204"/>
                        </w:trPr>
                        <w:tc>
                          <w:tcPr>
                            <w:tcW w:w="965" w:type="pct"/>
                            <w:tcBorders>
                              <w:top w:val="nil"/>
                              <w:left w:val="nil"/>
                              <w:bottom w:val="nil"/>
                              <w:right w:val="nil"/>
                            </w:tcBorders>
                            <w:noWrap/>
                            <w:hideMark/>
                          </w:tcPr>
                          <w:p w14:paraId="193E409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Current Assets</w:t>
                            </w:r>
                          </w:p>
                        </w:tc>
                        <w:tc>
                          <w:tcPr>
                            <w:tcW w:w="576" w:type="pct"/>
                            <w:tcBorders>
                              <w:top w:val="nil"/>
                              <w:left w:val="nil"/>
                              <w:bottom w:val="nil"/>
                              <w:right w:val="nil"/>
                            </w:tcBorders>
                            <w:hideMark/>
                          </w:tcPr>
                          <w:p w14:paraId="0440E67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48D5C4C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 </w:t>
                            </w:r>
                          </w:p>
                        </w:tc>
                        <w:tc>
                          <w:tcPr>
                            <w:tcW w:w="576" w:type="pct"/>
                            <w:tcBorders>
                              <w:top w:val="nil"/>
                              <w:left w:val="nil"/>
                              <w:bottom w:val="nil"/>
                              <w:right w:val="nil"/>
                            </w:tcBorders>
                            <w:hideMark/>
                          </w:tcPr>
                          <w:p w14:paraId="4BEC1CC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8.6 </w:t>
                            </w:r>
                          </w:p>
                        </w:tc>
                        <w:tc>
                          <w:tcPr>
                            <w:tcW w:w="576" w:type="pct"/>
                            <w:tcBorders>
                              <w:top w:val="nil"/>
                              <w:left w:val="nil"/>
                              <w:bottom w:val="nil"/>
                              <w:right w:val="nil"/>
                            </w:tcBorders>
                            <w:hideMark/>
                          </w:tcPr>
                          <w:p w14:paraId="3C18E77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10.1 </w:t>
                            </w:r>
                          </w:p>
                        </w:tc>
                        <w:tc>
                          <w:tcPr>
                            <w:tcW w:w="576" w:type="pct"/>
                            <w:tcBorders>
                              <w:top w:val="nil"/>
                              <w:left w:val="nil"/>
                              <w:bottom w:val="nil"/>
                              <w:right w:val="nil"/>
                            </w:tcBorders>
                            <w:hideMark/>
                          </w:tcPr>
                          <w:p w14:paraId="2275A78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9.3 </w:t>
                            </w:r>
                          </w:p>
                        </w:tc>
                        <w:tc>
                          <w:tcPr>
                            <w:tcW w:w="576" w:type="pct"/>
                            <w:tcBorders>
                              <w:top w:val="nil"/>
                              <w:left w:val="nil"/>
                              <w:bottom w:val="nil"/>
                              <w:right w:val="nil"/>
                            </w:tcBorders>
                            <w:hideMark/>
                          </w:tcPr>
                          <w:p w14:paraId="16A8252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9.7 </w:t>
                            </w:r>
                          </w:p>
                        </w:tc>
                        <w:tc>
                          <w:tcPr>
                            <w:tcW w:w="576" w:type="pct"/>
                            <w:tcBorders>
                              <w:top w:val="nil"/>
                              <w:left w:val="nil"/>
                              <w:bottom w:val="nil"/>
                              <w:right w:val="nil"/>
                            </w:tcBorders>
                            <w:hideMark/>
                          </w:tcPr>
                          <w:p w14:paraId="4BA63DD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30.8 </w:t>
                            </w:r>
                          </w:p>
                        </w:tc>
                      </w:tr>
                      <w:tr w:rsidR="00B43A9E" w:rsidRPr="00B43A9E" w14:paraId="1193BEF4" w14:textId="77777777" w:rsidTr="00B43A9E">
                        <w:trPr>
                          <w:trHeight w:val="204"/>
                        </w:trPr>
                        <w:tc>
                          <w:tcPr>
                            <w:tcW w:w="965" w:type="pct"/>
                            <w:tcBorders>
                              <w:top w:val="nil"/>
                              <w:left w:val="nil"/>
                              <w:bottom w:val="nil"/>
                              <w:right w:val="nil"/>
                            </w:tcBorders>
                            <w:noWrap/>
                            <w:hideMark/>
                          </w:tcPr>
                          <w:p w14:paraId="4214984D"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Current Assets</w:t>
                            </w:r>
                          </w:p>
                        </w:tc>
                        <w:tc>
                          <w:tcPr>
                            <w:tcW w:w="576" w:type="pct"/>
                            <w:tcBorders>
                              <w:top w:val="single" w:sz="4" w:space="0" w:color="000000"/>
                              <w:left w:val="nil"/>
                              <w:bottom w:val="nil"/>
                              <w:right w:val="nil"/>
                            </w:tcBorders>
                            <w:hideMark/>
                          </w:tcPr>
                          <w:p w14:paraId="2B23A33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40.3 </w:t>
                            </w:r>
                          </w:p>
                        </w:tc>
                        <w:tc>
                          <w:tcPr>
                            <w:tcW w:w="576" w:type="pct"/>
                            <w:tcBorders>
                              <w:top w:val="single" w:sz="4" w:space="0" w:color="000000"/>
                              <w:left w:val="nil"/>
                              <w:bottom w:val="nil"/>
                              <w:right w:val="nil"/>
                            </w:tcBorders>
                            <w:hideMark/>
                          </w:tcPr>
                          <w:p w14:paraId="1139DF6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65.4 </w:t>
                            </w:r>
                          </w:p>
                        </w:tc>
                        <w:tc>
                          <w:tcPr>
                            <w:tcW w:w="576" w:type="pct"/>
                            <w:tcBorders>
                              <w:top w:val="single" w:sz="4" w:space="0" w:color="000000"/>
                              <w:left w:val="nil"/>
                              <w:bottom w:val="nil"/>
                              <w:right w:val="nil"/>
                            </w:tcBorders>
                            <w:hideMark/>
                          </w:tcPr>
                          <w:p w14:paraId="743D665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98.2 </w:t>
                            </w:r>
                          </w:p>
                        </w:tc>
                        <w:tc>
                          <w:tcPr>
                            <w:tcW w:w="576" w:type="pct"/>
                            <w:tcBorders>
                              <w:top w:val="single" w:sz="4" w:space="0" w:color="000000"/>
                              <w:left w:val="nil"/>
                              <w:bottom w:val="nil"/>
                              <w:right w:val="nil"/>
                            </w:tcBorders>
                            <w:hideMark/>
                          </w:tcPr>
                          <w:p w14:paraId="728CCAB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100.7 </w:t>
                            </w:r>
                          </w:p>
                        </w:tc>
                        <w:tc>
                          <w:tcPr>
                            <w:tcW w:w="576" w:type="pct"/>
                            <w:tcBorders>
                              <w:top w:val="single" w:sz="4" w:space="0" w:color="000000"/>
                              <w:left w:val="nil"/>
                              <w:bottom w:val="nil"/>
                              <w:right w:val="nil"/>
                            </w:tcBorders>
                            <w:hideMark/>
                          </w:tcPr>
                          <w:p w14:paraId="1E4A7D1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101.6 </w:t>
                            </w:r>
                          </w:p>
                        </w:tc>
                        <w:tc>
                          <w:tcPr>
                            <w:tcW w:w="576" w:type="pct"/>
                            <w:tcBorders>
                              <w:top w:val="single" w:sz="4" w:space="0" w:color="000000"/>
                              <w:left w:val="nil"/>
                              <w:bottom w:val="nil"/>
                              <w:right w:val="nil"/>
                            </w:tcBorders>
                            <w:hideMark/>
                          </w:tcPr>
                          <w:p w14:paraId="2AAEB44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104.3 </w:t>
                            </w:r>
                          </w:p>
                        </w:tc>
                        <w:tc>
                          <w:tcPr>
                            <w:tcW w:w="576" w:type="pct"/>
                            <w:tcBorders>
                              <w:top w:val="single" w:sz="4" w:space="0" w:color="000000"/>
                              <w:left w:val="nil"/>
                              <w:bottom w:val="nil"/>
                              <w:right w:val="nil"/>
                            </w:tcBorders>
                            <w:hideMark/>
                          </w:tcPr>
                          <w:p w14:paraId="0B45D89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92.9 </w:t>
                            </w:r>
                          </w:p>
                        </w:tc>
                      </w:tr>
                      <w:tr w:rsidR="00B43A9E" w:rsidRPr="00B43A9E" w14:paraId="38BDB7FD" w14:textId="77777777" w:rsidTr="00B43A9E">
                        <w:trPr>
                          <w:trHeight w:val="204"/>
                        </w:trPr>
                        <w:tc>
                          <w:tcPr>
                            <w:tcW w:w="965" w:type="pct"/>
                            <w:tcBorders>
                              <w:top w:val="nil"/>
                              <w:left w:val="nil"/>
                              <w:bottom w:val="nil"/>
                              <w:right w:val="nil"/>
                            </w:tcBorders>
                            <w:noWrap/>
                            <w:hideMark/>
                          </w:tcPr>
                          <w:p w14:paraId="6C1147CB"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Gross Property, Plant &amp; Equipment</w:t>
                            </w:r>
                          </w:p>
                        </w:tc>
                        <w:tc>
                          <w:tcPr>
                            <w:tcW w:w="576" w:type="pct"/>
                            <w:tcBorders>
                              <w:top w:val="nil"/>
                              <w:left w:val="nil"/>
                              <w:bottom w:val="nil"/>
                              <w:right w:val="nil"/>
                            </w:tcBorders>
                            <w:hideMark/>
                          </w:tcPr>
                          <w:p w14:paraId="6DFC16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18.8 </w:t>
                            </w:r>
                          </w:p>
                        </w:tc>
                        <w:tc>
                          <w:tcPr>
                            <w:tcW w:w="576" w:type="pct"/>
                            <w:tcBorders>
                              <w:top w:val="nil"/>
                              <w:left w:val="nil"/>
                              <w:bottom w:val="nil"/>
                              <w:right w:val="nil"/>
                            </w:tcBorders>
                            <w:hideMark/>
                          </w:tcPr>
                          <w:p w14:paraId="7AFB11E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26.8 </w:t>
                            </w:r>
                          </w:p>
                        </w:tc>
                        <w:tc>
                          <w:tcPr>
                            <w:tcW w:w="576" w:type="pct"/>
                            <w:tcBorders>
                              <w:top w:val="nil"/>
                              <w:left w:val="nil"/>
                              <w:bottom w:val="nil"/>
                              <w:right w:val="nil"/>
                            </w:tcBorders>
                            <w:hideMark/>
                          </w:tcPr>
                          <w:p w14:paraId="0CEA47D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12D3189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54.2 </w:t>
                            </w:r>
                          </w:p>
                        </w:tc>
                        <w:tc>
                          <w:tcPr>
                            <w:tcW w:w="576" w:type="pct"/>
                            <w:tcBorders>
                              <w:top w:val="nil"/>
                              <w:left w:val="nil"/>
                              <w:bottom w:val="nil"/>
                              <w:right w:val="nil"/>
                            </w:tcBorders>
                            <w:hideMark/>
                          </w:tcPr>
                          <w:p w14:paraId="47631AA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53.6 </w:t>
                            </w:r>
                          </w:p>
                        </w:tc>
                        <w:tc>
                          <w:tcPr>
                            <w:tcW w:w="576" w:type="pct"/>
                            <w:tcBorders>
                              <w:top w:val="nil"/>
                              <w:left w:val="nil"/>
                              <w:bottom w:val="nil"/>
                              <w:right w:val="nil"/>
                            </w:tcBorders>
                            <w:hideMark/>
                          </w:tcPr>
                          <w:p w14:paraId="4001F1D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54.4 </w:t>
                            </w:r>
                          </w:p>
                        </w:tc>
                        <w:tc>
                          <w:tcPr>
                            <w:tcW w:w="576" w:type="pct"/>
                            <w:tcBorders>
                              <w:top w:val="nil"/>
                              <w:left w:val="nil"/>
                              <w:bottom w:val="nil"/>
                              <w:right w:val="nil"/>
                            </w:tcBorders>
                            <w:hideMark/>
                          </w:tcPr>
                          <w:p w14:paraId="25A7FDB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7CAE02EF" w14:textId="77777777" w:rsidTr="00B43A9E">
                        <w:trPr>
                          <w:trHeight w:val="204"/>
                        </w:trPr>
                        <w:tc>
                          <w:tcPr>
                            <w:tcW w:w="965" w:type="pct"/>
                            <w:tcBorders>
                              <w:top w:val="nil"/>
                              <w:left w:val="nil"/>
                              <w:bottom w:val="nil"/>
                              <w:right w:val="nil"/>
                            </w:tcBorders>
                            <w:noWrap/>
                            <w:hideMark/>
                          </w:tcPr>
                          <w:p w14:paraId="6148429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Accumulated Depreciation</w:t>
                            </w:r>
                          </w:p>
                        </w:tc>
                        <w:tc>
                          <w:tcPr>
                            <w:tcW w:w="576" w:type="pct"/>
                            <w:tcBorders>
                              <w:top w:val="nil"/>
                              <w:left w:val="nil"/>
                              <w:bottom w:val="nil"/>
                              <w:right w:val="nil"/>
                            </w:tcBorders>
                            <w:hideMark/>
                          </w:tcPr>
                          <w:p w14:paraId="2C2EB6D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(5.1)  </w:t>
                            </w:r>
                          </w:p>
                        </w:tc>
                        <w:tc>
                          <w:tcPr>
                            <w:tcW w:w="576" w:type="pct"/>
                            <w:tcBorders>
                              <w:top w:val="nil"/>
                              <w:left w:val="nil"/>
                              <w:bottom w:val="nil"/>
                              <w:right w:val="nil"/>
                            </w:tcBorders>
                            <w:hideMark/>
                          </w:tcPr>
                          <w:p w14:paraId="1728AA0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(7.3)  </w:t>
                            </w:r>
                          </w:p>
                        </w:tc>
                        <w:tc>
                          <w:tcPr>
                            <w:tcW w:w="576" w:type="pct"/>
                            <w:tcBorders>
                              <w:top w:val="nil"/>
                              <w:left w:val="nil"/>
                              <w:bottom w:val="nil"/>
                              <w:right w:val="nil"/>
                            </w:tcBorders>
                            <w:hideMark/>
                          </w:tcPr>
                          <w:p w14:paraId="0E106FB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(11.2)  </w:t>
                            </w:r>
                          </w:p>
                        </w:tc>
                        <w:tc>
                          <w:tcPr>
                            <w:tcW w:w="576" w:type="pct"/>
                            <w:tcBorders>
                              <w:top w:val="nil"/>
                              <w:left w:val="nil"/>
                              <w:bottom w:val="nil"/>
                              <w:right w:val="nil"/>
                            </w:tcBorders>
                            <w:hideMark/>
                          </w:tcPr>
                          <w:p w14:paraId="2799B1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(14.8)  </w:t>
                            </w:r>
                          </w:p>
                        </w:tc>
                        <w:tc>
                          <w:tcPr>
                            <w:tcW w:w="576" w:type="pct"/>
                            <w:tcBorders>
                              <w:top w:val="nil"/>
                              <w:left w:val="nil"/>
                              <w:bottom w:val="nil"/>
                              <w:right w:val="nil"/>
                            </w:tcBorders>
                            <w:hideMark/>
                          </w:tcPr>
                          <w:p w14:paraId="4E3260F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(16.7)  </w:t>
                            </w:r>
                          </w:p>
                        </w:tc>
                        <w:tc>
                          <w:tcPr>
                            <w:tcW w:w="576" w:type="pct"/>
                            <w:tcBorders>
                              <w:top w:val="nil"/>
                              <w:left w:val="nil"/>
                              <w:bottom w:val="nil"/>
                              <w:right w:val="nil"/>
                            </w:tcBorders>
                            <w:hideMark/>
                          </w:tcPr>
                          <w:p w14:paraId="7DBF70D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(18.1)  </w:t>
                            </w:r>
                          </w:p>
                        </w:tc>
                        <w:tc>
                          <w:tcPr>
                            <w:tcW w:w="576" w:type="pct"/>
                            <w:tcBorders>
                              <w:top w:val="nil"/>
                              <w:left w:val="nil"/>
                              <w:bottom w:val="nil"/>
                              <w:right w:val="nil"/>
                            </w:tcBorders>
                            <w:hideMark/>
                          </w:tcPr>
                          <w:p w14:paraId="345A063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30E77600" w14:textId="77777777" w:rsidTr="00B43A9E">
                        <w:trPr>
                          <w:trHeight w:val="204"/>
                        </w:trPr>
                        <w:tc>
                          <w:tcPr>
                            <w:tcW w:w="965" w:type="pct"/>
                            <w:tcBorders>
                              <w:top w:val="nil"/>
                              <w:left w:val="nil"/>
                              <w:bottom w:val="nil"/>
                              <w:right w:val="nil"/>
                            </w:tcBorders>
                            <w:noWrap/>
                            <w:hideMark/>
                          </w:tcPr>
                          <w:p w14:paraId="3AB3948B"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Net Property, Plant &amp; Equipment</w:t>
                            </w:r>
                          </w:p>
                        </w:tc>
                        <w:tc>
                          <w:tcPr>
                            <w:tcW w:w="576" w:type="pct"/>
                            <w:tcBorders>
                              <w:top w:val="single" w:sz="4" w:space="0" w:color="000000"/>
                              <w:left w:val="nil"/>
                              <w:bottom w:val="nil"/>
                              <w:right w:val="nil"/>
                            </w:tcBorders>
                            <w:hideMark/>
                          </w:tcPr>
                          <w:p w14:paraId="16566CF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13.7 </w:t>
                            </w:r>
                          </w:p>
                        </w:tc>
                        <w:tc>
                          <w:tcPr>
                            <w:tcW w:w="576" w:type="pct"/>
                            <w:tcBorders>
                              <w:top w:val="single" w:sz="4" w:space="0" w:color="000000"/>
                              <w:left w:val="nil"/>
                              <w:bottom w:val="nil"/>
                              <w:right w:val="nil"/>
                            </w:tcBorders>
                            <w:hideMark/>
                          </w:tcPr>
                          <w:p w14:paraId="0C9E283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19.5 </w:t>
                            </w:r>
                          </w:p>
                        </w:tc>
                        <w:tc>
                          <w:tcPr>
                            <w:tcW w:w="576" w:type="pct"/>
                            <w:tcBorders>
                              <w:top w:val="single" w:sz="4" w:space="0" w:color="000000"/>
                              <w:left w:val="nil"/>
                              <w:bottom w:val="nil"/>
                              <w:right w:val="nil"/>
                            </w:tcBorders>
                            <w:hideMark/>
                          </w:tcPr>
                          <w:p w14:paraId="2A7A084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33.5 </w:t>
                            </w:r>
                          </w:p>
                        </w:tc>
                        <w:tc>
                          <w:tcPr>
                            <w:tcW w:w="576" w:type="pct"/>
                            <w:tcBorders>
                              <w:top w:val="single" w:sz="4" w:space="0" w:color="000000"/>
                              <w:left w:val="nil"/>
                              <w:bottom w:val="nil"/>
                              <w:right w:val="nil"/>
                            </w:tcBorders>
                            <w:hideMark/>
                          </w:tcPr>
                          <w:p w14:paraId="269C18A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39.4 </w:t>
                            </w:r>
                          </w:p>
                        </w:tc>
                        <w:tc>
                          <w:tcPr>
                            <w:tcW w:w="576" w:type="pct"/>
                            <w:tcBorders>
                              <w:top w:val="single" w:sz="4" w:space="0" w:color="000000"/>
                              <w:left w:val="nil"/>
                              <w:bottom w:val="nil"/>
                              <w:right w:val="nil"/>
                            </w:tcBorders>
                            <w:hideMark/>
                          </w:tcPr>
                          <w:p w14:paraId="4D6BAE5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36.9 </w:t>
                            </w:r>
                          </w:p>
                        </w:tc>
                        <w:tc>
                          <w:tcPr>
                            <w:tcW w:w="576" w:type="pct"/>
                            <w:tcBorders>
                              <w:top w:val="single" w:sz="4" w:space="0" w:color="000000"/>
                              <w:left w:val="nil"/>
                              <w:bottom w:val="nil"/>
                              <w:right w:val="nil"/>
                            </w:tcBorders>
                            <w:hideMark/>
                          </w:tcPr>
                          <w:p w14:paraId="370C255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36.3 </w:t>
                            </w:r>
                          </w:p>
                        </w:tc>
                        <w:tc>
                          <w:tcPr>
                            <w:tcW w:w="576" w:type="pct"/>
                            <w:tcBorders>
                              <w:top w:val="single" w:sz="4" w:space="0" w:color="000000"/>
                              <w:left w:val="nil"/>
                              <w:bottom w:val="nil"/>
                              <w:right w:val="nil"/>
                            </w:tcBorders>
                            <w:hideMark/>
                          </w:tcPr>
                          <w:p w14:paraId="6802078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31.1 </w:t>
                            </w:r>
                          </w:p>
                        </w:tc>
                      </w:tr>
                      <w:tr w:rsidR="00B43A9E" w:rsidRPr="00B43A9E" w14:paraId="63681845" w14:textId="77777777" w:rsidTr="00B43A9E">
                        <w:trPr>
                          <w:trHeight w:val="204"/>
                        </w:trPr>
                        <w:tc>
                          <w:tcPr>
                            <w:tcW w:w="965" w:type="pct"/>
                            <w:tcBorders>
                              <w:top w:val="nil"/>
                              <w:left w:val="nil"/>
                              <w:bottom w:val="nil"/>
                              <w:right w:val="nil"/>
                            </w:tcBorders>
                            <w:noWrap/>
                            <w:hideMark/>
                          </w:tcPr>
                          <w:p w14:paraId="3AA69B11"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Investments</w:t>
                            </w:r>
                          </w:p>
                        </w:tc>
                        <w:tc>
                          <w:tcPr>
                            <w:tcW w:w="576" w:type="pct"/>
                            <w:tcBorders>
                              <w:top w:val="nil"/>
                              <w:left w:val="nil"/>
                              <w:bottom w:val="nil"/>
                              <w:right w:val="nil"/>
                            </w:tcBorders>
                            <w:hideMark/>
                          </w:tcPr>
                          <w:p w14:paraId="2497B6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36.0 </w:t>
                            </w:r>
                          </w:p>
                        </w:tc>
                        <w:tc>
                          <w:tcPr>
                            <w:tcW w:w="576" w:type="pct"/>
                            <w:tcBorders>
                              <w:top w:val="nil"/>
                              <w:left w:val="nil"/>
                              <w:bottom w:val="nil"/>
                              <w:right w:val="nil"/>
                            </w:tcBorders>
                            <w:hideMark/>
                          </w:tcPr>
                          <w:p w14:paraId="6B3EC9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49.6 </w:t>
                            </w:r>
                          </w:p>
                        </w:tc>
                        <w:tc>
                          <w:tcPr>
                            <w:tcW w:w="576" w:type="pct"/>
                            <w:tcBorders>
                              <w:top w:val="nil"/>
                              <w:left w:val="nil"/>
                              <w:bottom w:val="nil"/>
                              <w:right w:val="nil"/>
                            </w:tcBorders>
                            <w:hideMark/>
                          </w:tcPr>
                          <w:p w14:paraId="62CB7CE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66.8 </w:t>
                            </w:r>
                          </w:p>
                        </w:tc>
                        <w:tc>
                          <w:tcPr>
                            <w:tcW w:w="576" w:type="pct"/>
                            <w:tcBorders>
                              <w:top w:val="nil"/>
                              <w:left w:val="nil"/>
                              <w:bottom w:val="nil"/>
                              <w:right w:val="nil"/>
                            </w:tcBorders>
                            <w:hideMark/>
                          </w:tcPr>
                          <w:p w14:paraId="3384D88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69.9 </w:t>
                            </w:r>
                          </w:p>
                        </w:tc>
                        <w:tc>
                          <w:tcPr>
                            <w:tcW w:w="576" w:type="pct"/>
                            <w:tcBorders>
                              <w:top w:val="nil"/>
                              <w:left w:val="nil"/>
                              <w:bottom w:val="nil"/>
                              <w:right w:val="nil"/>
                            </w:tcBorders>
                            <w:hideMark/>
                          </w:tcPr>
                          <w:p w14:paraId="0A73AEF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66.0 </w:t>
                            </w:r>
                          </w:p>
                        </w:tc>
                        <w:tc>
                          <w:tcPr>
                            <w:tcW w:w="576" w:type="pct"/>
                            <w:tcBorders>
                              <w:top w:val="nil"/>
                              <w:left w:val="nil"/>
                              <w:bottom w:val="nil"/>
                              <w:right w:val="nil"/>
                            </w:tcBorders>
                            <w:hideMark/>
                          </w:tcPr>
                          <w:p w14:paraId="130C70E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58.7 </w:t>
                            </w:r>
                          </w:p>
                        </w:tc>
                        <w:tc>
                          <w:tcPr>
                            <w:tcW w:w="576" w:type="pct"/>
                            <w:tcBorders>
                              <w:top w:val="nil"/>
                              <w:left w:val="nil"/>
                              <w:bottom w:val="nil"/>
                              <w:right w:val="nil"/>
                            </w:tcBorders>
                            <w:hideMark/>
                          </w:tcPr>
                          <w:p w14:paraId="5F5538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76.3 </w:t>
                            </w:r>
                          </w:p>
                        </w:tc>
                      </w:tr>
                      <w:tr w:rsidR="00B43A9E" w:rsidRPr="00B43A9E" w14:paraId="2A61A6C5" w14:textId="77777777" w:rsidTr="00B43A9E">
                        <w:trPr>
                          <w:trHeight w:val="204"/>
                        </w:trPr>
                        <w:tc>
                          <w:tcPr>
                            <w:tcW w:w="965" w:type="pct"/>
                            <w:tcBorders>
                              <w:top w:val="nil"/>
                              <w:left w:val="nil"/>
                              <w:bottom w:val="nil"/>
                              <w:right w:val="nil"/>
                            </w:tcBorders>
                            <w:noWrap/>
                            <w:hideMark/>
                          </w:tcPr>
                          <w:p w14:paraId="2B780A1A"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Goodwill</w:t>
                            </w:r>
                          </w:p>
                        </w:tc>
                        <w:tc>
                          <w:tcPr>
                            <w:tcW w:w="576" w:type="pct"/>
                            <w:tcBorders>
                              <w:top w:val="nil"/>
                              <w:left w:val="nil"/>
                              <w:bottom w:val="nil"/>
                              <w:right w:val="nil"/>
                            </w:tcBorders>
                            <w:hideMark/>
                          </w:tcPr>
                          <w:p w14:paraId="372844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39.5 </w:t>
                            </w:r>
                          </w:p>
                        </w:tc>
                        <w:tc>
                          <w:tcPr>
                            <w:tcW w:w="576" w:type="pct"/>
                            <w:tcBorders>
                              <w:top w:val="nil"/>
                              <w:left w:val="nil"/>
                              <w:bottom w:val="nil"/>
                              <w:right w:val="nil"/>
                            </w:tcBorders>
                            <w:hideMark/>
                          </w:tcPr>
                          <w:p w14:paraId="1EDEF09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39.1 </w:t>
                            </w:r>
                          </w:p>
                        </w:tc>
                        <w:tc>
                          <w:tcPr>
                            <w:tcW w:w="576" w:type="pct"/>
                            <w:tcBorders>
                              <w:top w:val="nil"/>
                              <w:left w:val="nil"/>
                              <w:bottom w:val="nil"/>
                              <w:right w:val="nil"/>
                            </w:tcBorders>
                            <w:hideMark/>
                          </w:tcPr>
                          <w:p w14:paraId="69C0D1F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44.7 </w:t>
                            </w:r>
                          </w:p>
                        </w:tc>
                        <w:tc>
                          <w:tcPr>
                            <w:tcW w:w="576" w:type="pct"/>
                            <w:tcBorders>
                              <w:top w:val="nil"/>
                              <w:left w:val="nil"/>
                              <w:bottom w:val="nil"/>
                              <w:right w:val="nil"/>
                            </w:tcBorders>
                            <w:hideMark/>
                          </w:tcPr>
                          <w:p w14:paraId="25437C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42.5 </w:t>
                            </w:r>
                          </w:p>
                        </w:tc>
                        <w:tc>
                          <w:tcPr>
                            <w:tcW w:w="576" w:type="pct"/>
                            <w:tcBorders>
                              <w:top w:val="nil"/>
                              <w:left w:val="nil"/>
                              <w:bottom w:val="nil"/>
                              <w:right w:val="nil"/>
                            </w:tcBorders>
                            <w:hideMark/>
                          </w:tcPr>
                          <w:p w14:paraId="290EBB5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39.0 </w:t>
                            </w:r>
                          </w:p>
                        </w:tc>
                        <w:tc>
                          <w:tcPr>
                            <w:tcW w:w="576" w:type="pct"/>
                            <w:tcBorders>
                              <w:top w:val="nil"/>
                              <w:left w:val="nil"/>
                              <w:bottom w:val="nil"/>
                              <w:right w:val="nil"/>
                            </w:tcBorders>
                            <w:hideMark/>
                          </w:tcPr>
                          <w:p w14:paraId="3535CB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36.0 </w:t>
                            </w:r>
                          </w:p>
                        </w:tc>
                        <w:tc>
                          <w:tcPr>
                            <w:tcW w:w="576" w:type="pct"/>
                            <w:tcBorders>
                              <w:top w:val="nil"/>
                              <w:left w:val="nil"/>
                              <w:bottom w:val="nil"/>
                              <w:right w:val="nil"/>
                            </w:tcBorders>
                            <w:hideMark/>
                          </w:tcPr>
                          <w:p w14:paraId="6BC61D5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34.9 </w:t>
                            </w:r>
                          </w:p>
                        </w:tc>
                      </w:tr>
                      <w:tr w:rsidR="00B43A9E" w:rsidRPr="00B43A9E" w14:paraId="0A0E3580" w14:textId="77777777" w:rsidTr="00B43A9E">
                        <w:trPr>
                          <w:trHeight w:val="204"/>
                        </w:trPr>
                        <w:tc>
                          <w:tcPr>
                            <w:tcW w:w="965" w:type="pct"/>
                            <w:tcBorders>
                              <w:top w:val="nil"/>
                              <w:left w:val="nil"/>
                              <w:bottom w:val="nil"/>
                              <w:right w:val="nil"/>
                            </w:tcBorders>
                            <w:noWrap/>
                            <w:hideMark/>
                          </w:tcPr>
                          <w:p w14:paraId="7F47A4B6"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Intangibles</w:t>
                            </w:r>
                          </w:p>
                        </w:tc>
                        <w:tc>
                          <w:tcPr>
                            <w:tcW w:w="576" w:type="pct"/>
                            <w:tcBorders>
                              <w:top w:val="nil"/>
                              <w:left w:val="nil"/>
                              <w:bottom w:val="nil"/>
                              <w:right w:val="nil"/>
                            </w:tcBorders>
                            <w:hideMark/>
                          </w:tcPr>
                          <w:p w14:paraId="7A86CF7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11.1 </w:t>
                            </w:r>
                          </w:p>
                        </w:tc>
                        <w:tc>
                          <w:tcPr>
                            <w:tcW w:w="576" w:type="pct"/>
                            <w:tcBorders>
                              <w:top w:val="nil"/>
                              <w:left w:val="nil"/>
                              <w:bottom w:val="nil"/>
                              <w:right w:val="nil"/>
                            </w:tcBorders>
                            <w:hideMark/>
                          </w:tcPr>
                          <w:p w14:paraId="20D1805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8.6 </w:t>
                            </w:r>
                          </w:p>
                        </w:tc>
                        <w:tc>
                          <w:tcPr>
                            <w:tcW w:w="576" w:type="pct"/>
                            <w:tcBorders>
                              <w:top w:val="nil"/>
                              <w:left w:val="nil"/>
                              <w:bottom w:val="nil"/>
                              <w:right w:val="nil"/>
                            </w:tcBorders>
                            <w:hideMark/>
                          </w:tcPr>
                          <w:p w14:paraId="203646E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10.8 </w:t>
                            </w:r>
                          </w:p>
                        </w:tc>
                        <w:tc>
                          <w:tcPr>
                            <w:tcW w:w="576" w:type="pct"/>
                            <w:tcBorders>
                              <w:top w:val="nil"/>
                              <w:left w:val="nil"/>
                              <w:bottom w:val="nil"/>
                              <w:right w:val="nil"/>
                            </w:tcBorders>
                            <w:hideMark/>
                          </w:tcPr>
                          <w:p w14:paraId="5D4BD57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9.3 </w:t>
                            </w:r>
                          </w:p>
                        </w:tc>
                        <w:tc>
                          <w:tcPr>
                            <w:tcW w:w="576" w:type="pct"/>
                            <w:tcBorders>
                              <w:top w:val="nil"/>
                              <w:left w:val="nil"/>
                              <w:bottom w:val="nil"/>
                              <w:right w:val="nil"/>
                            </w:tcBorders>
                            <w:hideMark/>
                          </w:tcPr>
                          <w:p w14:paraId="4148976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6.8 </w:t>
                            </w:r>
                          </w:p>
                        </w:tc>
                        <w:tc>
                          <w:tcPr>
                            <w:tcW w:w="576" w:type="pct"/>
                            <w:tcBorders>
                              <w:top w:val="nil"/>
                              <w:left w:val="nil"/>
                              <w:bottom w:val="nil"/>
                              <w:right w:val="nil"/>
                            </w:tcBorders>
                            <w:hideMark/>
                          </w:tcPr>
                          <w:p w14:paraId="18E6646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3.7 </w:t>
                            </w:r>
                          </w:p>
                        </w:tc>
                        <w:tc>
                          <w:tcPr>
                            <w:tcW w:w="576" w:type="pct"/>
                            <w:tcBorders>
                              <w:top w:val="nil"/>
                              <w:left w:val="nil"/>
                              <w:bottom w:val="nil"/>
                              <w:right w:val="nil"/>
                            </w:tcBorders>
                            <w:hideMark/>
                          </w:tcPr>
                          <w:p w14:paraId="59A781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r>
                      <w:tr w:rsidR="00B43A9E" w:rsidRPr="00B43A9E" w14:paraId="58306394" w14:textId="77777777" w:rsidTr="00B43A9E">
                        <w:trPr>
                          <w:trHeight w:val="204"/>
                        </w:trPr>
                        <w:tc>
                          <w:tcPr>
                            <w:tcW w:w="965" w:type="pct"/>
                            <w:tcBorders>
                              <w:top w:val="nil"/>
                              <w:left w:val="nil"/>
                              <w:bottom w:val="nil"/>
                              <w:right w:val="nil"/>
                            </w:tcBorders>
                            <w:noWrap/>
                            <w:hideMark/>
                          </w:tcPr>
                          <w:p w14:paraId="5E27334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Deferred Tax Assets, LT</w:t>
                            </w:r>
                          </w:p>
                        </w:tc>
                        <w:tc>
                          <w:tcPr>
                            <w:tcW w:w="576" w:type="pct"/>
                            <w:tcBorders>
                              <w:top w:val="nil"/>
                              <w:left w:val="nil"/>
                              <w:bottom w:val="nil"/>
                              <w:right w:val="nil"/>
                            </w:tcBorders>
                            <w:hideMark/>
                          </w:tcPr>
                          <w:p w14:paraId="20E8464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9DDC15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1B4E86B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 </w:t>
                            </w:r>
                          </w:p>
                        </w:tc>
                        <w:tc>
                          <w:tcPr>
                            <w:tcW w:w="576" w:type="pct"/>
                            <w:tcBorders>
                              <w:top w:val="nil"/>
                              <w:left w:val="nil"/>
                              <w:bottom w:val="nil"/>
                              <w:right w:val="nil"/>
                            </w:tcBorders>
                            <w:hideMark/>
                          </w:tcPr>
                          <w:p w14:paraId="2E91D93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2C47E80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5D9E345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 </w:t>
                            </w:r>
                          </w:p>
                        </w:tc>
                        <w:tc>
                          <w:tcPr>
                            <w:tcW w:w="576" w:type="pct"/>
                            <w:tcBorders>
                              <w:top w:val="nil"/>
                              <w:left w:val="nil"/>
                              <w:bottom w:val="nil"/>
                              <w:right w:val="nil"/>
                            </w:tcBorders>
                            <w:hideMark/>
                          </w:tcPr>
                          <w:p w14:paraId="194A732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5BBFFA42" w14:textId="77777777" w:rsidTr="00B43A9E">
                        <w:trPr>
                          <w:trHeight w:val="204"/>
                        </w:trPr>
                        <w:tc>
                          <w:tcPr>
                            <w:tcW w:w="965" w:type="pct"/>
                            <w:tcBorders>
                              <w:top w:val="nil"/>
                              <w:left w:val="nil"/>
                              <w:bottom w:val="nil"/>
                              <w:right w:val="nil"/>
                            </w:tcBorders>
                            <w:noWrap/>
                            <w:hideMark/>
                          </w:tcPr>
                          <w:p w14:paraId="5368F86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Deferred Charges, LT</w:t>
                            </w:r>
                          </w:p>
                        </w:tc>
                        <w:tc>
                          <w:tcPr>
                            <w:tcW w:w="576" w:type="pct"/>
                            <w:tcBorders>
                              <w:top w:val="nil"/>
                              <w:left w:val="nil"/>
                              <w:bottom w:val="nil"/>
                              <w:right w:val="nil"/>
                            </w:tcBorders>
                            <w:hideMark/>
                          </w:tcPr>
                          <w:p w14:paraId="7D0DBCB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30D8EA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0A264BF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7A3C745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7C48A10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0957290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FCE632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7CA3052C" w14:textId="77777777" w:rsidTr="00B43A9E">
                        <w:trPr>
                          <w:trHeight w:val="204"/>
                        </w:trPr>
                        <w:tc>
                          <w:tcPr>
                            <w:tcW w:w="965" w:type="pct"/>
                            <w:tcBorders>
                              <w:top w:val="nil"/>
                              <w:left w:val="nil"/>
                              <w:bottom w:val="nil"/>
                              <w:right w:val="nil"/>
                            </w:tcBorders>
                            <w:noWrap/>
                            <w:hideMark/>
                          </w:tcPr>
                          <w:p w14:paraId="6EF09D4D"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Long-Term Assets</w:t>
                            </w:r>
                          </w:p>
                        </w:tc>
                        <w:tc>
                          <w:tcPr>
                            <w:tcW w:w="576" w:type="pct"/>
                            <w:tcBorders>
                              <w:top w:val="nil"/>
                              <w:left w:val="nil"/>
                              <w:bottom w:val="nil"/>
                              <w:right w:val="nil"/>
                            </w:tcBorders>
                            <w:hideMark/>
                          </w:tcPr>
                          <w:p w14:paraId="1FCF7F5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 </w:t>
                            </w:r>
                          </w:p>
                        </w:tc>
                        <w:tc>
                          <w:tcPr>
                            <w:tcW w:w="576" w:type="pct"/>
                            <w:tcBorders>
                              <w:top w:val="nil"/>
                              <w:left w:val="nil"/>
                              <w:bottom w:val="nil"/>
                              <w:right w:val="nil"/>
                            </w:tcBorders>
                            <w:hideMark/>
                          </w:tcPr>
                          <w:p w14:paraId="7654397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 </w:t>
                            </w:r>
                          </w:p>
                        </w:tc>
                        <w:tc>
                          <w:tcPr>
                            <w:tcW w:w="576" w:type="pct"/>
                            <w:tcBorders>
                              <w:top w:val="nil"/>
                              <w:left w:val="nil"/>
                              <w:bottom w:val="nil"/>
                              <w:right w:val="nil"/>
                            </w:tcBorders>
                            <w:hideMark/>
                          </w:tcPr>
                          <w:p w14:paraId="182C76E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7CDB11A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3.3 </w:t>
                            </w:r>
                          </w:p>
                        </w:tc>
                        <w:tc>
                          <w:tcPr>
                            <w:tcW w:w="576" w:type="pct"/>
                            <w:tcBorders>
                              <w:top w:val="nil"/>
                              <w:left w:val="nil"/>
                              <w:bottom w:val="nil"/>
                              <w:right w:val="nil"/>
                            </w:tcBorders>
                            <w:hideMark/>
                          </w:tcPr>
                          <w:p w14:paraId="7B4200C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 </w:t>
                            </w:r>
                          </w:p>
                        </w:tc>
                        <w:tc>
                          <w:tcPr>
                            <w:tcW w:w="576" w:type="pct"/>
                            <w:tcBorders>
                              <w:top w:val="nil"/>
                              <w:left w:val="nil"/>
                              <w:bottom w:val="nil"/>
                              <w:right w:val="nil"/>
                            </w:tcBorders>
                            <w:hideMark/>
                          </w:tcPr>
                          <w:p w14:paraId="2E25822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 </w:t>
                            </w:r>
                          </w:p>
                        </w:tc>
                        <w:tc>
                          <w:tcPr>
                            <w:tcW w:w="576" w:type="pct"/>
                            <w:tcBorders>
                              <w:top w:val="nil"/>
                              <w:left w:val="nil"/>
                              <w:bottom w:val="nil"/>
                              <w:right w:val="nil"/>
                            </w:tcBorders>
                            <w:hideMark/>
                          </w:tcPr>
                          <w:p w14:paraId="6FFDF4B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16.0 </w:t>
                            </w:r>
                          </w:p>
                        </w:tc>
                      </w:tr>
                      <w:tr w:rsidR="00B43A9E" w:rsidRPr="00B43A9E" w14:paraId="7F4A1DFB" w14:textId="77777777" w:rsidTr="00B43A9E">
                        <w:trPr>
                          <w:trHeight w:val="204"/>
                        </w:trPr>
                        <w:tc>
                          <w:tcPr>
                            <w:tcW w:w="965" w:type="pct"/>
                            <w:tcBorders>
                              <w:top w:val="nil"/>
                              <w:left w:val="nil"/>
                              <w:bottom w:val="nil"/>
                              <w:right w:val="nil"/>
                            </w:tcBorders>
                            <w:noWrap/>
                            <w:hideMark/>
                          </w:tcPr>
                          <w:p w14:paraId="150A5569"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Assets</w:t>
                            </w:r>
                          </w:p>
                        </w:tc>
                        <w:tc>
                          <w:tcPr>
                            <w:tcW w:w="576" w:type="pct"/>
                            <w:tcBorders>
                              <w:top w:val="single" w:sz="4" w:space="0" w:color="000000"/>
                              <w:left w:val="nil"/>
                              <w:bottom w:val="nil"/>
                              <w:right w:val="nil"/>
                            </w:tcBorders>
                            <w:hideMark/>
                          </w:tcPr>
                          <w:p w14:paraId="487B4A5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143.8 </w:t>
                            </w:r>
                          </w:p>
                        </w:tc>
                        <w:tc>
                          <w:tcPr>
                            <w:tcW w:w="576" w:type="pct"/>
                            <w:tcBorders>
                              <w:top w:val="single" w:sz="4" w:space="0" w:color="000000"/>
                              <w:left w:val="nil"/>
                              <w:bottom w:val="nil"/>
                              <w:right w:val="nil"/>
                            </w:tcBorders>
                            <w:hideMark/>
                          </w:tcPr>
                          <w:p w14:paraId="3CDF404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185.4 </w:t>
                            </w:r>
                          </w:p>
                        </w:tc>
                        <w:tc>
                          <w:tcPr>
                            <w:tcW w:w="576" w:type="pct"/>
                            <w:tcBorders>
                              <w:top w:val="single" w:sz="4" w:space="0" w:color="000000"/>
                              <w:left w:val="nil"/>
                              <w:bottom w:val="nil"/>
                              <w:right w:val="nil"/>
                            </w:tcBorders>
                            <w:hideMark/>
                          </w:tcPr>
                          <w:p w14:paraId="5BB27DE6"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257.9 </w:t>
                            </w:r>
                          </w:p>
                        </w:tc>
                        <w:tc>
                          <w:tcPr>
                            <w:tcW w:w="576" w:type="pct"/>
                            <w:tcBorders>
                              <w:top w:val="single" w:sz="4" w:space="0" w:color="000000"/>
                              <w:left w:val="nil"/>
                              <w:bottom w:val="nil"/>
                              <w:right w:val="nil"/>
                            </w:tcBorders>
                            <w:hideMark/>
                          </w:tcPr>
                          <w:p w14:paraId="6994B5A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267.4 </w:t>
                            </w:r>
                          </w:p>
                        </w:tc>
                        <w:tc>
                          <w:tcPr>
                            <w:tcW w:w="576" w:type="pct"/>
                            <w:tcBorders>
                              <w:top w:val="single" w:sz="4" w:space="0" w:color="000000"/>
                              <w:left w:val="nil"/>
                              <w:bottom w:val="nil"/>
                              <w:right w:val="nil"/>
                            </w:tcBorders>
                            <w:hideMark/>
                          </w:tcPr>
                          <w:p w14:paraId="090A6E8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255.2 </w:t>
                            </w:r>
                          </w:p>
                        </w:tc>
                        <w:tc>
                          <w:tcPr>
                            <w:tcW w:w="576" w:type="pct"/>
                            <w:tcBorders>
                              <w:top w:val="single" w:sz="4" w:space="0" w:color="000000"/>
                              <w:left w:val="nil"/>
                              <w:bottom w:val="nil"/>
                              <w:right w:val="nil"/>
                            </w:tcBorders>
                            <w:hideMark/>
                          </w:tcPr>
                          <w:p w14:paraId="703E680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244.4 </w:t>
                            </w:r>
                          </w:p>
                        </w:tc>
                        <w:tc>
                          <w:tcPr>
                            <w:tcW w:w="576" w:type="pct"/>
                            <w:tcBorders>
                              <w:top w:val="single" w:sz="4" w:space="0" w:color="000000"/>
                              <w:left w:val="nil"/>
                              <w:bottom w:val="nil"/>
                              <w:right w:val="nil"/>
                            </w:tcBorders>
                            <w:hideMark/>
                          </w:tcPr>
                          <w:p w14:paraId="252B0AC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254.1 </w:t>
                            </w:r>
                          </w:p>
                        </w:tc>
                      </w:tr>
                      <w:tr w:rsidR="00B43A9E" w:rsidRPr="00B43A9E" w14:paraId="71FD5A10" w14:textId="77777777" w:rsidTr="00B43A9E">
                        <w:trPr>
                          <w:trHeight w:val="204"/>
                        </w:trPr>
                        <w:tc>
                          <w:tcPr>
                            <w:tcW w:w="965" w:type="pct"/>
                            <w:tcBorders>
                              <w:top w:val="nil"/>
                              <w:left w:val="nil"/>
                              <w:bottom w:val="nil"/>
                              <w:right w:val="nil"/>
                            </w:tcBorders>
                            <w:noWrap/>
                            <w:hideMark/>
                          </w:tcPr>
                          <w:p w14:paraId="596D1946"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LIABILITIES</w:t>
                            </w:r>
                          </w:p>
                        </w:tc>
                        <w:tc>
                          <w:tcPr>
                            <w:tcW w:w="576" w:type="pct"/>
                            <w:tcBorders>
                              <w:top w:val="nil"/>
                              <w:left w:val="nil"/>
                              <w:bottom w:val="nil"/>
                              <w:right w:val="nil"/>
                            </w:tcBorders>
                            <w:noWrap/>
                            <w:hideMark/>
                          </w:tcPr>
                          <w:p w14:paraId="496F6C45"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p>
                        </w:tc>
                        <w:tc>
                          <w:tcPr>
                            <w:tcW w:w="576" w:type="pct"/>
                            <w:tcBorders>
                              <w:top w:val="nil"/>
                              <w:left w:val="nil"/>
                              <w:bottom w:val="nil"/>
                              <w:right w:val="nil"/>
                            </w:tcBorders>
                            <w:noWrap/>
                            <w:hideMark/>
                          </w:tcPr>
                          <w:p w14:paraId="529964BD"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61BA800C"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ACF40F3"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0BFB7609"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48EBDCE2"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c>
                          <w:tcPr>
                            <w:tcW w:w="576" w:type="pct"/>
                            <w:tcBorders>
                              <w:top w:val="nil"/>
                              <w:left w:val="nil"/>
                              <w:bottom w:val="nil"/>
                              <w:right w:val="nil"/>
                            </w:tcBorders>
                            <w:noWrap/>
                            <w:hideMark/>
                          </w:tcPr>
                          <w:p w14:paraId="1B85AAFD" w14:textId="77777777" w:rsidR="00B43A9E" w:rsidRPr="00B43A9E" w:rsidRDefault="00B43A9E" w:rsidP="00B43A9E">
                            <w:pPr>
                              <w:spacing w:after="0" w:line="240" w:lineRule="auto"/>
                              <w:rPr>
                                <w:rFonts w:ascii="Cambria" w:eastAsia="Times New Roman" w:hAnsi="Cambria" w:cs="Times New Roman"/>
                                <w:kern w:val="0"/>
                                <w:sz w:val="12"/>
                                <w:szCs w:val="12"/>
                                <w:lang w:eastAsia="en-IN"/>
                                <w14:ligatures w14:val="none"/>
                              </w:rPr>
                            </w:pPr>
                          </w:p>
                        </w:tc>
                      </w:tr>
                      <w:tr w:rsidR="00B43A9E" w:rsidRPr="00B43A9E" w14:paraId="4F13B2A6" w14:textId="77777777" w:rsidTr="00B43A9E">
                        <w:trPr>
                          <w:trHeight w:val="204"/>
                        </w:trPr>
                        <w:tc>
                          <w:tcPr>
                            <w:tcW w:w="965" w:type="pct"/>
                            <w:tcBorders>
                              <w:top w:val="nil"/>
                              <w:left w:val="nil"/>
                              <w:bottom w:val="nil"/>
                              <w:right w:val="nil"/>
                            </w:tcBorders>
                            <w:noWrap/>
                            <w:hideMark/>
                          </w:tcPr>
                          <w:p w14:paraId="1F7513D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Accounts Payable</w:t>
                            </w:r>
                          </w:p>
                        </w:tc>
                        <w:tc>
                          <w:tcPr>
                            <w:tcW w:w="576" w:type="pct"/>
                            <w:tcBorders>
                              <w:top w:val="nil"/>
                              <w:left w:val="nil"/>
                              <w:bottom w:val="nil"/>
                              <w:right w:val="nil"/>
                            </w:tcBorders>
                            <w:hideMark/>
                          </w:tcPr>
                          <w:p w14:paraId="69862A7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7.7 </w:t>
                            </w:r>
                          </w:p>
                        </w:tc>
                        <w:tc>
                          <w:tcPr>
                            <w:tcW w:w="576" w:type="pct"/>
                            <w:tcBorders>
                              <w:top w:val="nil"/>
                              <w:left w:val="nil"/>
                              <w:bottom w:val="nil"/>
                              <w:right w:val="nil"/>
                            </w:tcBorders>
                            <w:hideMark/>
                          </w:tcPr>
                          <w:p w14:paraId="5B17120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9.5 </w:t>
                            </w:r>
                          </w:p>
                        </w:tc>
                        <w:tc>
                          <w:tcPr>
                            <w:tcW w:w="576" w:type="pct"/>
                            <w:tcBorders>
                              <w:top w:val="nil"/>
                              <w:left w:val="nil"/>
                              <w:bottom w:val="nil"/>
                              <w:right w:val="nil"/>
                            </w:tcBorders>
                            <w:hideMark/>
                          </w:tcPr>
                          <w:p w14:paraId="1F1AB23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14.4 </w:t>
                            </w:r>
                          </w:p>
                        </w:tc>
                        <w:tc>
                          <w:tcPr>
                            <w:tcW w:w="576" w:type="pct"/>
                            <w:tcBorders>
                              <w:top w:val="nil"/>
                              <w:left w:val="nil"/>
                              <w:bottom w:val="nil"/>
                              <w:right w:val="nil"/>
                            </w:tcBorders>
                            <w:hideMark/>
                          </w:tcPr>
                          <w:p w14:paraId="5E33B98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16.9 </w:t>
                            </w:r>
                          </w:p>
                        </w:tc>
                        <w:tc>
                          <w:tcPr>
                            <w:tcW w:w="576" w:type="pct"/>
                            <w:tcBorders>
                              <w:top w:val="nil"/>
                              <w:left w:val="nil"/>
                              <w:bottom w:val="nil"/>
                              <w:right w:val="nil"/>
                            </w:tcBorders>
                            <w:hideMark/>
                          </w:tcPr>
                          <w:p w14:paraId="0160555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16.6 </w:t>
                            </w:r>
                          </w:p>
                        </w:tc>
                        <w:tc>
                          <w:tcPr>
                            <w:tcW w:w="576" w:type="pct"/>
                            <w:tcBorders>
                              <w:top w:val="nil"/>
                              <w:left w:val="nil"/>
                              <w:bottom w:val="nil"/>
                              <w:right w:val="nil"/>
                            </w:tcBorders>
                            <w:hideMark/>
                          </w:tcPr>
                          <w:p w14:paraId="67B5DAE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17.7 </w:t>
                            </w:r>
                          </w:p>
                        </w:tc>
                        <w:tc>
                          <w:tcPr>
                            <w:tcW w:w="576" w:type="pct"/>
                            <w:tcBorders>
                              <w:top w:val="nil"/>
                              <w:left w:val="nil"/>
                              <w:bottom w:val="nil"/>
                              <w:right w:val="nil"/>
                            </w:tcBorders>
                            <w:hideMark/>
                          </w:tcPr>
                          <w:p w14:paraId="469B4E3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0E4DFB4E" w14:textId="77777777" w:rsidTr="00B43A9E">
                        <w:trPr>
                          <w:trHeight w:val="204"/>
                        </w:trPr>
                        <w:tc>
                          <w:tcPr>
                            <w:tcW w:w="965" w:type="pct"/>
                            <w:tcBorders>
                              <w:top w:val="nil"/>
                              <w:left w:val="nil"/>
                              <w:bottom w:val="nil"/>
                              <w:right w:val="nil"/>
                            </w:tcBorders>
                            <w:noWrap/>
                            <w:hideMark/>
                          </w:tcPr>
                          <w:p w14:paraId="41B9660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Accrued Exp.</w:t>
                            </w:r>
                          </w:p>
                        </w:tc>
                        <w:tc>
                          <w:tcPr>
                            <w:tcW w:w="576" w:type="pct"/>
                            <w:tcBorders>
                              <w:top w:val="nil"/>
                              <w:left w:val="nil"/>
                              <w:bottom w:val="nil"/>
                              <w:right w:val="nil"/>
                            </w:tcBorders>
                            <w:hideMark/>
                          </w:tcPr>
                          <w:p w14:paraId="008B8DE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3.1 </w:t>
                            </w:r>
                          </w:p>
                        </w:tc>
                        <w:tc>
                          <w:tcPr>
                            <w:tcW w:w="576" w:type="pct"/>
                            <w:tcBorders>
                              <w:top w:val="nil"/>
                              <w:left w:val="nil"/>
                              <w:bottom w:val="nil"/>
                              <w:right w:val="nil"/>
                            </w:tcBorders>
                            <w:hideMark/>
                          </w:tcPr>
                          <w:p w14:paraId="04CED63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3.2 </w:t>
                            </w:r>
                          </w:p>
                        </w:tc>
                        <w:tc>
                          <w:tcPr>
                            <w:tcW w:w="576" w:type="pct"/>
                            <w:tcBorders>
                              <w:top w:val="nil"/>
                              <w:left w:val="nil"/>
                              <w:bottom w:val="nil"/>
                              <w:right w:val="nil"/>
                            </w:tcBorders>
                            <w:hideMark/>
                          </w:tcPr>
                          <w:p w14:paraId="0DFBED6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5.0 </w:t>
                            </w:r>
                          </w:p>
                        </w:tc>
                        <w:tc>
                          <w:tcPr>
                            <w:tcW w:w="576" w:type="pct"/>
                            <w:tcBorders>
                              <w:top w:val="nil"/>
                              <w:left w:val="nil"/>
                              <w:bottom w:val="nil"/>
                              <w:right w:val="nil"/>
                            </w:tcBorders>
                            <w:hideMark/>
                          </w:tcPr>
                          <w:p w14:paraId="14CF07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5.9 </w:t>
                            </w:r>
                          </w:p>
                        </w:tc>
                        <w:tc>
                          <w:tcPr>
                            <w:tcW w:w="576" w:type="pct"/>
                            <w:tcBorders>
                              <w:top w:val="nil"/>
                              <w:left w:val="nil"/>
                              <w:bottom w:val="nil"/>
                              <w:right w:val="nil"/>
                            </w:tcBorders>
                            <w:hideMark/>
                          </w:tcPr>
                          <w:p w14:paraId="65646E1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58DFE94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21066B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46.6 </w:t>
                            </w:r>
                          </w:p>
                        </w:tc>
                      </w:tr>
                      <w:tr w:rsidR="00B43A9E" w:rsidRPr="00B43A9E" w14:paraId="43893238" w14:textId="77777777" w:rsidTr="00B43A9E">
                        <w:trPr>
                          <w:trHeight w:val="204"/>
                        </w:trPr>
                        <w:tc>
                          <w:tcPr>
                            <w:tcW w:w="965" w:type="pct"/>
                            <w:tcBorders>
                              <w:top w:val="nil"/>
                              <w:left w:val="nil"/>
                              <w:bottom w:val="nil"/>
                              <w:right w:val="nil"/>
                            </w:tcBorders>
                            <w:noWrap/>
                            <w:hideMark/>
                          </w:tcPr>
                          <w:p w14:paraId="60AE8C8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Short-term Borrowings</w:t>
                            </w:r>
                          </w:p>
                        </w:tc>
                        <w:tc>
                          <w:tcPr>
                            <w:tcW w:w="576" w:type="pct"/>
                            <w:tcBorders>
                              <w:top w:val="nil"/>
                              <w:left w:val="nil"/>
                              <w:bottom w:val="nil"/>
                              <w:right w:val="nil"/>
                            </w:tcBorders>
                            <w:hideMark/>
                          </w:tcPr>
                          <w:p w14:paraId="2351921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0B5EA36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c>
                          <w:tcPr>
                            <w:tcW w:w="576" w:type="pct"/>
                            <w:tcBorders>
                              <w:top w:val="nil"/>
                              <w:left w:val="nil"/>
                              <w:bottom w:val="nil"/>
                              <w:right w:val="nil"/>
                            </w:tcBorders>
                            <w:hideMark/>
                          </w:tcPr>
                          <w:p w14:paraId="48AE48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61252F8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 </w:t>
                            </w:r>
                          </w:p>
                        </w:tc>
                        <w:tc>
                          <w:tcPr>
                            <w:tcW w:w="576" w:type="pct"/>
                            <w:tcBorders>
                              <w:top w:val="nil"/>
                              <w:left w:val="nil"/>
                              <w:bottom w:val="nil"/>
                              <w:right w:val="nil"/>
                            </w:tcBorders>
                            <w:hideMark/>
                          </w:tcPr>
                          <w:p w14:paraId="6A9CAB6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 </w:t>
                            </w:r>
                          </w:p>
                        </w:tc>
                        <w:tc>
                          <w:tcPr>
                            <w:tcW w:w="576" w:type="pct"/>
                            <w:tcBorders>
                              <w:top w:val="nil"/>
                              <w:left w:val="nil"/>
                              <w:bottom w:val="nil"/>
                              <w:right w:val="nil"/>
                            </w:tcBorders>
                            <w:hideMark/>
                          </w:tcPr>
                          <w:p w14:paraId="1769519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3E6BAAE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r>
                      <w:tr w:rsidR="00B43A9E" w:rsidRPr="00B43A9E" w14:paraId="4232747B" w14:textId="77777777" w:rsidTr="00B43A9E">
                        <w:trPr>
                          <w:trHeight w:val="204"/>
                        </w:trPr>
                        <w:tc>
                          <w:tcPr>
                            <w:tcW w:w="965" w:type="pct"/>
                            <w:tcBorders>
                              <w:top w:val="nil"/>
                              <w:left w:val="nil"/>
                              <w:bottom w:val="nil"/>
                              <w:right w:val="nil"/>
                            </w:tcBorders>
                            <w:noWrap/>
                            <w:hideMark/>
                          </w:tcPr>
                          <w:p w14:paraId="01586C4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Port. of LT Debt</w:t>
                            </w:r>
                          </w:p>
                        </w:tc>
                        <w:tc>
                          <w:tcPr>
                            <w:tcW w:w="576" w:type="pct"/>
                            <w:tcBorders>
                              <w:top w:val="nil"/>
                              <w:left w:val="nil"/>
                              <w:bottom w:val="nil"/>
                              <w:right w:val="nil"/>
                            </w:tcBorders>
                            <w:hideMark/>
                          </w:tcPr>
                          <w:p w14:paraId="383FBDA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005ACCC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66E43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1.5 </w:t>
                            </w:r>
                          </w:p>
                        </w:tc>
                        <w:tc>
                          <w:tcPr>
                            <w:tcW w:w="576" w:type="pct"/>
                            <w:tcBorders>
                              <w:top w:val="nil"/>
                              <w:left w:val="nil"/>
                              <w:bottom w:val="nil"/>
                              <w:right w:val="nil"/>
                            </w:tcBorders>
                            <w:hideMark/>
                          </w:tcPr>
                          <w:p w14:paraId="3F1257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DB6A40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c>
                          <w:tcPr>
                            <w:tcW w:w="576" w:type="pct"/>
                            <w:tcBorders>
                              <w:top w:val="nil"/>
                              <w:left w:val="nil"/>
                              <w:bottom w:val="nil"/>
                              <w:right w:val="nil"/>
                            </w:tcBorders>
                            <w:hideMark/>
                          </w:tcPr>
                          <w:p w14:paraId="22BF838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2.3 </w:t>
                            </w:r>
                          </w:p>
                        </w:tc>
                        <w:tc>
                          <w:tcPr>
                            <w:tcW w:w="576" w:type="pct"/>
                            <w:tcBorders>
                              <w:top w:val="nil"/>
                              <w:left w:val="nil"/>
                              <w:bottom w:val="nil"/>
                              <w:right w:val="nil"/>
                            </w:tcBorders>
                            <w:hideMark/>
                          </w:tcPr>
                          <w:p w14:paraId="2825837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1E30F485" w14:textId="77777777" w:rsidTr="00B43A9E">
                        <w:trPr>
                          <w:trHeight w:val="204"/>
                        </w:trPr>
                        <w:tc>
                          <w:tcPr>
                            <w:tcW w:w="965" w:type="pct"/>
                            <w:tcBorders>
                              <w:top w:val="nil"/>
                              <w:left w:val="nil"/>
                              <w:bottom w:val="nil"/>
                              <w:right w:val="nil"/>
                            </w:tcBorders>
                            <w:noWrap/>
                            <w:hideMark/>
                          </w:tcPr>
                          <w:p w14:paraId="24AB6841"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Port. of Leases</w:t>
                            </w:r>
                          </w:p>
                        </w:tc>
                        <w:tc>
                          <w:tcPr>
                            <w:tcW w:w="576" w:type="pct"/>
                            <w:tcBorders>
                              <w:top w:val="nil"/>
                              <w:left w:val="nil"/>
                              <w:bottom w:val="nil"/>
                              <w:right w:val="nil"/>
                            </w:tcBorders>
                            <w:hideMark/>
                          </w:tcPr>
                          <w:p w14:paraId="5ECB49B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37D81C5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78C32EA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72E1DE1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5E10EF8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4AC2785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0.8 </w:t>
                            </w:r>
                          </w:p>
                        </w:tc>
                        <w:tc>
                          <w:tcPr>
                            <w:tcW w:w="576" w:type="pct"/>
                            <w:tcBorders>
                              <w:top w:val="nil"/>
                              <w:left w:val="nil"/>
                              <w:bottom w:val="nil"/>
                              <w:right w:val="nil"/>
                            </w:tcBorders>
                            <w:hideMark/>
                          </w:tcPr>
                          <w:p w14:paraId="218FA16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3F0B68B5" w14:textId="77777777" w:rsidTr="00B43A9E">
                        <w:trPr>
                          <w:trHeight w:val="204"/>
                        </w:trPr>
                        <w:tc>
                          <w:tcPr>
                            <w:tcW w:w="965" w:type="pct"/>
                            <w:tcBorders>
                              <w:top w:val="nil"/>
                              <w:left w:val="nil"/>
                              <w:bottom w:val="nil"/>
                              <w:right w:val="nil"/>
                            </w:tcBorders>
                            <w:noWrap/>
                            <w:hideMark/>
                          </w:tcPr>
                          <w:p w14:paraId="572159F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Curr. Income Taxes Payable</w:t>
                            </w:r>
                          </w:p>
                        </w:tc>
                        <w:tc>
                          <w:tcPr>
                            <w:tcW w:w="576" w:type="pct"/>
                            <w:tcBorders>
                              <w:top w:val="nil"/>
                              <w:left w:val="nil"/>
                              <w:bottom w:val="nil"/>
                              <w:right w:val="nil"/>
                            </w:tcBorders>
                            <w:hideMark/>
                          </w:tcPr>
                          <w:p w14:paraId="35848BA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2.6 </w:t>
                            </w:r>
                          </w:p>
                        </w:tc>
                        <w:tc>
                          <w:tcPr>
                            <w:tcW w:w="576" w:type="pct"/>
                            <w:tcBorders>
                              <w:top w:val="nil"/>
                              <w:left w:val="nil"/>
                              <w:bottom w:val="nil"/>
                              <w:right w:val="nil"/>
                            </w:tcBorders>
                            <w:hideMark/>
                          </w:tcPr>
                          <w:p w14:paraId="38ED7CD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c>
                          <w:tcPr>
                            <w:tcW w:w="576" w:type="pct"/>
                            <w:tcBorders>
                              <w:top w:val="nil"/>
                              <w:left w:val="nil"/>
                              <w:bottom w:val="nil"/>
                              <w:right w:val="nil"/>
                            </w:tcBorders>
                            <w:hideMark/>
                          </w:tcPr>
                          <w:p w14:paraId="09DB771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 </w:t>
                            </w:r>
                          </w:p>
                        </w:tc>
                        <w:tc>
                          <w:tcPr>
                            <w:tcW w:w="576" w:type="pct"/>
                            <w:tcBorders>
                              <w:top w:val="nil"/>
                              <w:left w:val="nil"/>
                              <w:bottom w:val="nil"/>
                              <w:right w:val="nil"/>
                            </w:tcBorders>
                            <w:hideMark/>
                          </w:tcPr>
                          <w:p w14:paraId="437544B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 </w:t>
                            </w:r>
                          </w:p>
                        </w:tc>
                        <w:tc>
                          <w:tcPr>
                            <w:tcW w:w="576" w:type="pct"/>
                            <w:tcBorders>
                              <w:top w:val="nil"/>
                              <w:left w:val="nil"/>
                              <w:bottom w:val="nil"/>
                              <w:right w:val="nil"/>
                            </w:tcBorders>
                            <w:hideMark/>
                          </w:tcPr>
                          <w:p w14:paraId="04D8F3C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1.8 </w:t>
                            </w:r>
                          </w:p>
                        </w:tc>
                        <w:tc>
                          <w:tcPr>
                            <w:tcW w:w="576" w:type="pct"/>
                            <w:tcBorders>
                              <w:top w:val="nil"/>
                              <w:left w:val="nil"/>
                              <w:bottom w:val="nil"/>
                              <w:right w:val="nil"/>
                            </w:tcBorders>
                            <w:hideMark/>
                          </w:tcPr>
                          <w:p w14:paraId="120CB29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1.3 </w:t>
                            </w:r>
                          </w:p>
                        </w:tc>
                        <w:tc>
                          <w:tcPr>
                            <w:tcW w:w="576" w:type="pct"/>
                            <w:tcBorders>
                              <w:top w:val="nil"/>
                              <w:left w:val="nil"/>
                              <w:bottom w:val="nil"/>
                              <w:right w:val="nil"/>
                            </w:tcBorders>
                            <w:hideMark/>
                          </w:tcPr>
                          <w:p w14:paraId="0C2D406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 </w:t>
                            </w:r>
                          </w:p>
                        </w:tc>
                      </w:tr>
                      <w:tr w:rsidR="00B43A9E" w:rsidRPr="00B43A9E" w14:paraId="55ACB95F" w14:textId="77777777" w:rsidTr="00B43A9E">
                        <w:trPr>
                          <w:trHeight w:val="204"/>
                        </w:trPr>
                        <w:tc>
                          <w:tcPr>
                            <w:tcW w:w="965" w:type="pct"/>
                            <w:tcBorders>
                              <w:top w:val="nil"/>
                              <w:left w:val="nil"/>
                              <w:bottom w:val="nil"/>
                              <w:right w:val="nil"/>
                            </w:tcBorders>
                            <w:noWrap/>
                            <w:hideMark/>
                          </w:tcPr>
                          <w:p w14:paraId="33BCCCA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Unearned Revenue, Current</w:t>
                            </w:r>
                          </w:p>
                        </w:tc>
                        <w:tc>
                          <w:tcPr>
                            <w:tcW w:w="576" w:type="pct"/>
                            <w:tcBorders>
                              <w:top w:val="nil"/>
                              <w:left w:val="nil"/>
                              <w:bottom w:val="nil"/>
                              <w:right w:val="nil"/>
                            </w:tcBorders>
                            <w:hideMark/>
                          </w:tcPr>
                          <w:p w14:paraId="6D0522B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 </w:t>
                            </w:r>
                          </w:p>
                        </w:tc>
                        <w:tc>
                          <w:tcPr>
                            <w:tcW w:w="576" w:type="pct"/>
                            <w:tcBorders>
                              <w:top w:val="nil"/>
                              <w:left w:val="nil"/>
                              <w:bottom w:val="nil"/>
                              <w:right w:val="nil"/>
                            </w:tcBorders>
                            <w:hideMark/>
                          </w:tcPr>
                          <w:p w14:paraId="7912FD0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3.0 </w:t>
                            </w:r>
                          </w:p>
                        </w:tc>
                        <w:tc>
                          <w:tcPr>
                            <w:tcW w:w="576" w:type="pct"/>
                            <w:tcBorders>
                              <w:top w:val="nil"/>
                              <w:left w:val="nil"/>
                              <w:bottom w:val="nil"/>
                              <w:right w:val="nil"/>
                            </w:tcBorders>
                            <w:hideMark/>
                          </w:tcPr>
                          <w:p w14:paraId="688221A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6351E65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4.5 </w:t>
                            </w:r>
                          </w:p>
                        </w:tc>
                        <w:tc>
                          <w:tcPr>
                            <w:tcW w:w="576" w:type="pct"/>
                            <w:tcBorders>
                              <w:top w:val="nil"/>
                              <w:left w:val="nil"/>
                              <w:bottom w:val="nil"/>
                              <w:right w:val="nil"/>
                            </w:tcBorders>
                            <w:hideMark/>
                          </w:tcPr>
                          <w:p w14:paraId="57FEC6A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641741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4.6 </w:t>
                            </w:r>
                          </w:p>
                        </w:tc>
                        <w:tc>
                          <w:tcPr>
                            <w:tcW w:w="576" w:type="pct"/>
                            <w:tcBorders>
                              <w:top w:val="nil"/>
                              <w:left w:val="nil"/>
                              <w:bottom w:val="nil"/>
                              <w:right w:val="nil"/>
                            </w:tcBorders>
                            <w:hideMark/>
                          </w:tcPr>
                          <w:p w14:paraId="6B27171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10.7 </w:t>
                            </w:r>
                          </w:p>
                        </w:tc>
                      </w:tr>
                      <w:tr w:rsidR="00B43A9E" w:rsidRPr="00B43A9E" w14:paraId="489B1B07" w14:textId="77777777" w:rsidTr="00B43A9E">
                        <w:trPr>
                          <w:trHeight w:val="204"/>
                        </w:trPr>
                        <w:tc>
                          <w:tcPr>
                            <w:tcW w:w="965" w:type="pct"/>
                            <w:tcBorders>
                              <w:top w:val="nil"/>
                              <w:left w:val="nil"/>
                              <w:bottom w:val="nil"/>
                              <w:right w:val="nil"/>
                            </w:tcBorders>
                            <w:noWrap/>
                            <w:hideMark/>
                          </w:tcPr>
                          <w:p w14:paraId="5E505564"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Current Liabilities</w:t>
                            </w:r>
                          </w:p>
                        </w:tc>
                        <w:tc>
                          <w:tcPr>
                            <w:tcW w:w="576" w:type="pct"/>
                            <w:tcBorders>
                              <w:top w:val="nil"/>
                              <w:left w:val="nil"/>
                              <w:bottom w:val="nil"/>
                              <w:right w:val="nil"/>
                            </w:tcBorders>
                            <w:hideMark/>
                          </w:tcPr>
                          <w:p w14:paraId="4AE8BC0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11.6 </w:t>
                            </w:r>
                          </w:p>
                        </w:tc>
                        <w:tc>
                          <w:tcPr>
                            <w:tcW w:w="576" w:type="pct"/>
                            <w:tcBorders>
                              <w:top w:val="nil"/>
                              <w:left w:val="nil"/>
                              <w:bottom w:val="nil"/>
                              <w:right w:val="nil"/>
                            </w:tcBorders>
                            <w:hideMark/>
                          </w:tcPr>
                          <w:p w14:paraId="5D8295E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14.6 </w:t>
                            </w:r>
                          </w:p>
                        </w:tc>
                        <w:tc>
                          <w:tcPr>
                            <w:tcW w:w="576" w:type="pct"/>
                            <w:tcBorders>
                              <w:top w:val="nil"/>
                              <w:left w:val="nil"/>
                              <w:bottom w:val="nil"/>
                              <w:right w:val="nil"/>
                            </w:tcBorders>
                            <w:hideMark/>
                          </w:tcPr>
                          <w:p w14:paraId="75BCFF8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27.5 </w:t>
                            </w:r>
                          </w:p>
                        </w:tc>
                        <w:tc>
                          <w:tcPr>
                            <w:tcW w:w="576" w:type="pct"/>
                            <w:tcBorders>
                              <w:top w:val="nil"/>
                              <w:left w:val="nil"/>
                              <w:bottom w:val="nil"/>
                              <w:right w:val="nil"/>
                            </w:tcBorders>
                            <w:hideMark/>
                          </w:tcPr>
                          <w:p w14:paraId="6EA3C49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27.6 </w:t>
                            </w:r>
                          </w:p>
                        </w:tc>
                        <w:tc>
                          <w:tcPr>
                            <w:tcW w:w="576" w:type="pct"/>
                            <w:tcBorders>
                              <w:top w:val="nil"/>
                              <w:left w:val="nil"/>
                              <w:bottom w:val="nil"/>
                              <w:right w:val="nil"/>
                            </w:tcBorders>
                            <w:hideMark/>
                          </w:tcPr>
                          <w:p w14:paraId="1BBAD4D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25.2 </w:t>
                            </w:r>
                          </w:p>
                        </w:tc>
                        <w:tc>
                          <w:tcPr>
                            <w:tcW w:w="576" w:type="pct"/>
                            <w:tcBorders>
                              <w:top w:val="nil"/>
                              <w:left w:val="nil"/>
                              <w:bottom w:val="nil"/>
                              <w:right w:val="nil"/>
                            </w:tcBorders>
                            <w:hideMark/>
                          </w:tcPr>
                          <w:p w14:paraId="6984F8A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24.8 </w:t>
                            </w:r>
                          </w:p>
                        </w:tc>
                        <w:tc>
                          <w:tcPr>
                            <w:tcW w:w="576" w:type="pct"/>
                            <w:tcBorders>
                              <w:top w:val="nil"/>
                              <w:left w:val="nil"/>
                              <w:bottom w:val="nil"/>
                              <w:right w:val="nil"/>
                            </w:tcBorders>
                            <w:hideMark/>
                          </w:tcPr>
                          <w:p w14:paraId="2D44EF3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r>
                      <w:tr w:rsidR="00B43A9E" w:rsidRPr="00B43A9E" w14:paraId="54C27D6B" w14:textId="77777777" w:rsidTr="00B43A9E">
                        <w:trPr>
                          <w:trHeight w:val="204"/>
                        </w:trPr>
                        <w:tc>
                          <w:tcPr>
                            <w:tcW w:w="965" w:type="pct"/>
                            <w:tcBorders>
                              <w:top w:val="nil"/>
                              <w:left w:val="nil"/>
                              <w:bottom w:val="nil"/>
                              <w:right w:val="nil"/>
                            </w:tcBorders>
                            <w:noWrap/>
                            <w:hideMark/>
                          </w:tcPr>
                          <w:p w14:paraId="0168BEE7"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Current Liabilities</w:t>
                            </w:r>
                          </w:p>
                        </w:tc>
                        <w:tc>
                          <w:tcPr>
                            <w:tcW w:w="576" w:type="pct"/>
                            <w:tcBorders>
                              <w:top w:val="single" w:sz="4" w:space="0" w:color="000000"/>
                              <w:left w:val="nil"/>
                              <w:bottom w:val="nil"/>
                              <w:right w:val="nil"/>
                            </w:tcBorders>
                            <w:hideMark/>
                          </w:tcPr>
                          <w:p w14:paraId="2A7051D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30.9 </w:t>
                            </w:r>
                          </w:p>
                        </w:tc>
                        <w:tc>
                          <w:tcPr>
                            <w:tcW w:w="576" w:type="pct"/>
                            <w:tcBorders>
                              <w:top w:val="single" w:sz="4" w:space="0" w:color="000000"/>
                              <w:left w:val="nil"/>
                              <w:bottom w:val="nil"/>
                              <w:right w:val="nil"/>
                            </w:tcBorders>
                            <w:hideMark/>
                          </w:tcPr>
                          <w:p w14:paraId="3200D8F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34.2 </w:t>
                            </w:r>
                          </w:p>
                        </w:tc>
                        <w:tc>
                          <w:tcPr>
                            <w:tcW w:w="576" w:type="pct"/>
                            <w:tcBorders>
                              <w:top w:val="single" w:sz="4" w:space="0" w:color="000000"/>
                              <w:left w:val="nil"/>
                              <w:bottom w:val="nil"/>
                              <w:right w:val="nil"/>
                            </w:tcBorders>
                            <w:hideMark/>
                          </w:tcPr>
                          <w:p w14:paraId="658F2BC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57.6 </w:t>
                            </w:r>
                          </w:p>
                        </w:tc>
                        <w:tc>
                          <w:tcPr>
                            <w:tcW w:w="576" w:type="pct"/>
                            <w:tcBorders>
                              <w:top w:val="single" w:sz="4" w:space="0" w:color="000000"/>
                              <w:left w:val="nil"/>
                              <w:bottom w:val="nil"/>
                              <w:right w:val="nil"/>
                            </w:tcBorders>
                            <w:hideMark/>
                          </w:tcPr>
                          <w:p w14:paraId="408EE5B8"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60.5 </w:t>
                            </w:r>
                          </w:p>
                        </w:tc>
                        <w:tc>
                          <w:tcPr>
                            <w:tcW w:w="576" w:type="pct"/>
                            <w:tcBorders>
                              <w:top w:val="single" w:sz="4" w:space="0" w:color="000000"/>
                              <w:left w:val="nil"/>
                              <w:bottom w:val="nil"/>
                              <w:right w:val="nil"/>
                            </w:tcBorders>
                            <w:hideMark/>
                          </w:tcPr>
                          <w:p w14:paraId="450F8807"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56.1 </w:t>
                            </w:r>
                          </w:p>
                        </w:tc>
                        <w:tc>
                          <w:tcPr>
                            <w:tcW w:w="576" w:type="pct"/>
                            <w:tcBorders>
                              <w:top w:val="single" w:sz="4" w:space="0" w:color="000000"/>
                              <w:left w:val="nil"/>
                              <w:bottom w:val="nil"/>
                              <w:right w:val="nil"/>
                            </w:tcBorders>
                            <w:hideMark/>
                          </w:tcPr>
                          <w:p w14:paraId="7FE2599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58.4 </w:t>
                            </w:r>
                          </w:p>
                        </w:tc>
                        <w:tc>
                          <w:tcPr>
                            <w:tcW w:w="576" w:type="pct"/>
                            <w:tcBorders>
                              <w:top w:val="single" w:sz="4" w:space="0" w:color="000000"/>
                              <w:left w:val="nil"/>
                              <w:bottom w:val="nil"/>
                              <w:right w:val="nil"/>
                            </w:tcBorders>
                            <w:hideMark/>
                          </w:tcPr>
                          <w:p w14:paraId="299503E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62.7 </w:t>
                            </w:r>
                          </w:p>
                        </w:tc>
                      </w:tr>
                      <w:tr w:rsidR="00B43A9E" w:rsidRPr="00B43A9E" w14:paraId="1EAB1396" w14:textId="77777777" w:rsidTr="00B43A9E">
                        <w:trPr>
                          <w:trHeight w:val="204"/>
                        </w:trPr>
                        <w:tc>
                          <w:tcPr>
                            <w:tcW w:w="965" w:type="pct"/>
                            <w:tcBorders>
                              <w:top w:val="nil"/>
                              <w:left w:val="nil"/>
                              <w:bottom w:val="nil"/>
                              <w:right w:val="nil"/>
                            </w:tcBorders>
                            <w:noWrap/>
                            <w:hideMark/>
                          </w:tcPr>
                          <w:p w14:paraId="445251EE"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Debt</w:t>
                            </w:r>
                          </w:p>
                        </w:tc>
                        <w:tc>
                          <w:tcPr>
                            <w:tcW w:w="576" w:type="pct"/>
                            <w:tcBorders>
                              <w:top w:val="nil"/>
                              <w:left w:val="nil"/>
                              <w:bottom w:val="nil"/>
                              <w:right w:val="nil"/>
                            </w:tcBorders>
                            <w:hideMark/>
                          </w:tcPr>
                          <w:p w14:paraId="251DEC0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16.7 </w:t>
                            </w:r>
                          </w:p>
                        </w:tc>
                        <w:tc>
                          <w:tcPr>
                            <w:tcW w:w="576" w:type="pct"/>
                            <w:tcBorders>
                              <w:top w:val="nil"/>
                              <w:left w:val="nil"/>
                              <w:bottom w:val="nil"/>
                              <w:right w:val="nil"/>
                            </w:tcBorders>
                            <w:hideMark/>
                          </w:tcPr>
                          <w:p w14:paraId="07F5B1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17.0 </w:t>
                            </w:r>
                          </w:p>
                        </w:tc>
                        <w:tc>
                          <w:tcPr>
                            <w:tcW w:w="576" w:type="pct"/>
                            <w:tcBorders>
                              <w:top w:val="nil"/>
                              <w:left w:val="nil"/>
                              <w:bottom w:val="nil"/>
                              <w:right w:val="nil"/>
                            </w:tcBorders>
                            <w:hideMark/>
                          </w:tcPr>
                          <w:p w14:paraId="77AEE6F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20.7 </w:t>
                            </w:r>
                          </w:p>
                        </w:tc>
                        <w:tc>
                          <w:tcPr>
                            <w:tcW w:w="576" w:type="pct"/>
                            <w:tcBorders>
                              <w:top w:val="nil"/>
                              <w:left w:val="nil"/>
                              <w:bottom w:val="nil"/>
                              <w:right w:val="nil"/>
                            </w:tcBorders>
                            <w:hideMark/>
                          </w:tcPr>
                          <w:p w14:paraId="0BE02BE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20.9 </w:t>
                            </w:r>
                          </w:p>
                        </w:tc>
                        <w:tc>
                          <w:tcPr>
                            <w:tcW w:w="576" w:type="pct"/>
                            <w:tcBorders>
                              <w:top w:val="nil"/>
                              <w:left w:val="nil"/>
                              <w:bottom w:val="nil"/>
                              <w:right w:val="nil"/>
                            </w:tcBorders>
                            <w:hideMark/>
                          </w:tcPr>
                          <w:p w14:paraId="320165E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21.7 </w:t>
                            </w:r>
                          </w:p>
                        </w:tc>
                        <w:tc>
                          <w:tcPr>
                            <w:tcW w:w="576" w:type="pct"/>
                            <w:tcBorders>
                              <w:top w:val="nil"/>
                              <w:left w:val="nil"/>
                              <w:bottom w:val="nil"/>
                              <w:right w:val="nil"/>
                            </w:tcBorders>
                            <w:hideMark/>
                          </w:tcPr>
                          <w:p w14:paraId="7AAE599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19.6 </w:t>
                            </w:r>
                          </w:p>
                        </w:tc>
                        <w:tc>
                          <w:tcPr>
                            <w:tcW w:w="576" w:type="pct"/>
                            <w:tcBorders>
                              <w:top w:val="nil"/>
                              <w:left w:val="nil"/>
                              <w:bottom w:val="nil"/>
                              <w:right w:val="nil"/>
                            </w:tcBorders>
                            <w:hideMark/>
                          </w:tcPr>
                          <w:p w14:paraId="0DAF71B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28.8 </w:t>
                            </w:r>
                          </w:p>
                        </w:tc>
                      </w:tr>
                      <w:tr w:rsidR="00B43A9E" w:rsidRPr="00B43A9E" w14:paraId="7831A981" w14:textId="77777777" w:rsidTr="00B43A9E">
                        <w:trPr>
                          <w:trHeight w:val="204"/>
                        </w:trPr>
                        <w:tc>
                          <w:tcPr>
                            <w:tcW w:w="965" w:type="pct"/>
                            <w:tcBorders>
                              <w:top w:val="nil"/>
                              <w:left w:val="nil"/>
                              <w:bottom w:val="nil"/>
                              <w:right w:val="nil"/>
                            </w:tcBorders>
                            <w:noWrap/>
                            <w:hideMark/>
                          </w:tcPr>
                          <w:p w14:paraId="241B369D"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Long-Term Leases</w:t>
                            </w:r>
                          </w:p>
                        </w:tc>
                        <w:tc>
                          <w:tcPr>
                            <w:tcW w:w="576" w:type="pct"/>
                            <w:tcBorders>
                              <w:top w:val="nil"/>
                              <w:left w:val="nil"/>
                              <w:bottom w:val="nil"/>
                              <w:right w:val="nil"/>
                            </w:tcBorders>
                            <w:hideMark/>
                          </w:tcPr>
                          <w:p w14:paraId="430AE5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141AD48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2.7 </w:t>
                            </w:r>
                          </w:p>
                        </w:tc>
                        <w:tc>
                          <w:tcPr>
                            <w:tcW w:w="576" w:type="pct"/>
                            <w:tcBorders>
                              <w:top w:val="nil"/>
                              <w:left w:val="nil"/>
                              <w:bottom w:val="nil"/>
                              <w:right w:val="nil"/>
                            </w:tcBorders>
                            <w:hideMark/>
                          </w:tcPr>
                          <w:p w14:paraId="64570F7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4.3 </w:t>
                            </w:r>
                          </w:p>
                        </w:tc>
                        <w:tc>
                          <w:tcPr>
                            <w:tcW w:w="576" w:type="pct"/>
                            <w:tcBorders>
                              <w:top w:val="nil"/>
                              <w:left w:val="nil"/>
                              <w:bottom w:val="nil"/>
                              <w:right w:val="nil"/>
                            </w:tcBorders>
                            <w:hideMark/>
                          </w:tcPr>
                          <w:p w14:paraId="7AF9F1D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 </w:t>
                            </w:r>
                          </w:p>
                        </w:tc>
                        <w:tc>
                          <w:tcPr>
                            <w:tcW w:w="576" w:type="pct"/>
                            <w:tcBorders>
                              <w:top w:val="nil"/>
                              <w:left w:val="nil"/>
                              <w:bottom w:val="nil"/>
                              <w:right w:val="nil"/>
                            </w:tcBorders>
                            <w:hideMark/>
                          </w:tcPr>
                          <w:p w14:paraId="61BFD79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17BE99E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4.0 </w:t>
                            </w:r>
                          </w:p>
                        </w:tc>
                        <w:tc>
                          <w:tcPr>
                            <w:tcW w:w="576" w:type="pct"/>
                            <w:tcBorders>
                              <w:top w:val="nil"/>
                              <w:left w:val="nil"/>
                              <w:bottom w:val="nil"/>
                              <w:right w:val="nil"/>
                            </w:tcBorders>
                            <w:hideMark/>
                          </w:tcPr>
                          <w:p w14:paraId="0622981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4.5 </w:t>
                            </w:r>
                          </w:p>
                        </w:tc>
                      </w:tr>
                      <w:tr w:rsidR="00B43A9E" w:rsidRPr="00B43A9E" w14:paraId="7C0355D7" w14:textId="77777777" w:rsidTr="00B43A9E">
                        <w:trPr>
                          <w:trHeight w:val="204"/>
                        </w:trPr>
                        <w:tc>
                          <w:tcPr>
                            <w:tcW w:w="965" w:type="pct"/>
                            <w:tcBorders>
                              <w:top w:val="nil"/>
                              <w:left w:val="nil"/>
                              <w:bottom w:val="nil"/>
                              <w:right w:val="nil"/>
                            </w:tcBorders>
                            <w:noWrap/>
                            <w:hideMark/>
                          </w:tcPr>
                          <w:p w14:paraId="2440C36F"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Unearned Revenue, Non-Current</w:t>
                            </w:r>
                          </w:p>
                        </w:tc>
                        <w:tc>
                          <w:tcPr>
                            <w:tcW w:w="576" w:type="pct"/>
                            <w:tcBorders>
                              <w:top w:val="nil"/>
                              <w:left w:val="nil"/>
                              <w:bottom w:val="nil"/>
                              <w:right w:val="nil"/>
                            </w:tcBorders>
                            <w:hideMark/>
                          </w:tcPr>
                          <w:p w14:paraId="63963FA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0.2 </w:t>
                            </w:r>
                          </w:p>
                        </w:tc>
                        <w:tc>
                          <w:tcPr>
                            <w:tcW w:w="576" w:type="pct"/>
                            <w:tcBorders>
                              <w:top w:val="nil"/>
                              <w:left w:val="nil"/>
                              <w:bottom w:val="nil"/>
                              <w:right w:val="nil"/>
                            </w:tcBorders>
                            <w:hideMark/>
                          </w:tcPr>
                          <w:p w14:paraId="1615E58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61144F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633236B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18695E0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1D49D73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c>
                          <w:tcPr>
                            <w:tcW w:w="576" w:type="pct"/>
                            <w:tcBorders>
                              <w:top w:val="nil"/>
                              <w:left w:val="nil"/>
                              <w:bottom w:val="nil"/>
                              <w:right w:val="nil"/>
                            </w:tcBorders>
                            <w:hideMark/>
                          </w:tcPr>
                          <w:p w14:paraId="34D21F3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0.6 </w:t>
                            </w:r>
                          </w:p>
                        </w:tc>
                      </w:tr>
                      <w:tr w:rsidR="00B43A9E" w:rsidRPr="00B43A9E" w14:paraId="1BB76B78" w14:textId="77777777" w:rsidTr="00B43A9E">
                        <w:trPr>
                          <w:trHeight w:val="204"/>
                        </w:trPr>
                        <w:tc>
                          <w:tcPr>
                            <w:tcW w:w="965" w:type="pct"/>
                            <w:tcBorders>
                              <w:top w:val="nil"/>
                              <w:left w:val="nil"/>
                              <w:bottom w:val="nil"/>
                              <w:right w:val="nil"/>
                            </w:tcBorders>
                            <w:noWrap/>
                            <w:hideMark/>
                          </w:tcPr>
                          <w:p w14:paraId="27011E68"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Def. Tax Liability, Non-Curr.</w:t>
                            </w:r>
                          </w:p>
                        </w:tc>
                        <w:tc>
                          <w:tcPr>
                            <w:tcW w:w="576" w:type="pct"/>
                            <w:tcBorders>
                              <w:top w:val="nil"/>
                              <w:left w:val="nil"/>
                              <w:bottom w:val="nil"/>
                              <w:right w:val="nil"/>
                            </w:tcBorders>
                            <w:hideMark/>
                          </w:tcPr>
                          <w:p w14:paraId="70F834A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 </w:t>
                            </w:r>
                          </w:p>
                        </w:tc>
                        <w:tc>
                          <w:tcPr>
                            <w:tcW w:w="576" w:type="pct"/>
                            <w:tcBorders>
                              <w:top w:val="nil"/>
                              <w:left w:val="nil"/>
                              <w:bottom w:val="nil"/>
                              <w:right w:val="nil"/>
                            </w:tcBorders>
                            <w:hideMark/>
                          </w:tcPr>
                          <w:p w14:paraId="7D08BF5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6.2 </w:t>
                            </w:r>
                          </w:p>
                        </w:tc>
                        <w:tc>
                          <w:tcPr>
                            <w:tcW w:w="576" w:type="pct"/>
                            <w:tcBorders>
                              <w:top w:val="nil"/>
                              <w:left w:val="nil"/>
                              <w:bottom w:val="nil"/>
                              <w:right w:val="nil"/>
                            </w:tcBorders>
                            <w:hideMark/>
                          </w:tcPr>
                          <w:p w14:paraId="53A129F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9.1 </w:t>
                            </w:r>
                          </w:p>
                        </w:tc>
                        <w:tc>
                          <w:tcPr>
                            <w:tcW w:w="576" w:type="pct"/>
                            <w:tcBorders>
                              <w:top w:val="nil"/>
                              <w:left w:val="nil"/>
                              <w:bottom w:val="nil"/>
                              <w:right w:val="nil"/>
                            </w:tcBorders>
                            <w:hideMark/>
                          </w:tcPr>
                          <w:p w14:paraId="68D4064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9.7 </w:t>
                            </w:r>
                          </w:p>
                        </w:tc>
                        <w:tc>
                          <w:tcPr>
                            <w:tcW w:w="576" w:type="pct"/>
                            <w:tcBorders>
                              <w:top w:val="nil"/>
                              <w:left w:val="nil"/>
                              <w:bottom w:val="nil"/>
                              <w:right w:val="nil"/>
                            </w:tcBorders>
                            <w:hideMark/>
                          </w:tcPr>
                          <w:p w14:paraId="2902B7C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9.0 </w:t>
                            </w:r>
                          </w:p>
                        </w:tc>
                        <w:tc>
                          <w:tcPr>
                            <w:tcW w:w="576" w:type="pct"/>
                            <w:tcBorders>
                              <w:top w:val="nil"/>
                              <w:left w:val="nil"/>
                              <w:bottom w:val="nil"/>
                              <w:right w:val="nil"/>
                            </w:tcBorders>
                            <w:hideMark/>
                          </w:tcPr>
                          <w:p w14:paraId="685208A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7.3 </w:t>
                            </w:r>
                          </w:p>
                        </w:tc>
                        <w:tc>
                          <w:tcPr>
                            <w:tcW w:w="576" w:type="pct"/>
                            <w:tcBorders>
                              <w:top w:val="nil"/>
                              <w:left w:val="nil"/>
                              <w:bottom w:val="nil"/>
                              <w:right w:val="nil"/>
                            </w:tcBorders>
                            <w:hideMark/>
                          </w:tcPr>
                          <w:p w14:paraId="2E234FC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7.6 </w:t>
                            </w:r>
                          </w:p>
                        </w:tc>
                      </w:tr>
                      <w:tr w:rsidR="00B43A9E" w:rsidRPr="00B43A9E" w14:paraId="2D757E3E" w14:textId="77777777" w:rsidTr="00B43A9E">
                        <w:trPr>
                          <w:trHeight w:val="204"/>
                        </w:trPr>
                        <w:tc>
                          <w:tcPr>
                            <w:tcW w:w="965" w:type="pct"/>
                            <w:tcBorders>
                              <w:top w:val="nil"/>
                              <w:left w:val="nil"/>
                              <w:bottom w:val="nil"/>
                              <w:right w:val="nil"/>
                            </w:tcBorders>
                            <w:noWrap/>
                            <w:hideMark/>
                          </w:tcPr>
                          <w:p w14:paraId="66A2919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Other Non-Current Liabilities</w:t>
                            </w:r>
                          </w:p>
                        </w:tc>
                        <w:tc>
                          <w:tcPr>
                            <w:tcW w:w="576" w:type="pct"/>
                            <w:tcBorders>
                              <w:top w:val="nil"/>
                              <w:left w:val="nil"/>
                              <w:bottom w:val="nil"/>
                              <w:right w:val="nil"/>
                            </w:tcBorders>
                            <w:hideMark/>
                          </w:tcPr>
                          <w:p w14:paraId="05B834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 </w:t>
                            </w:r>
                          </w:p>
                        </w:tc>
                        <w:tc>
                          <w:tcPr>
                            <w:tcW w:w="576" w:type="pct"/>
                            <w:tcBorders>
                              <w:top w:val="nil"/>
                              <w:left w:val="nil"/>
                              <w:bottom w:val="nil"/>
                              <w:right w:val="nil"/>
                            </w:tcBorders>
                            <w:hideMark/>
                          </w:tcPr>
                          <w:p w14:paraId="06B4D3D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0.9 </w:t>
                            </w:r>
                          </w:p>
                        </w:tc>
                        <w:tc>
                          <w:tcPr>
                            <w:tcW w:w="576" w:type="pct"/>
                            <w:tcBorders>
                              <w:top w:val="nil"/>
                              <w:left w:val="nil"/>
                              <w:bottom w:val="nil"/>
                              <w:right w:val="nil"/>
                            </w:tcBorders>
                            <w:hideMark/>
                          </w:tcPr>
                          <w:p w14:paraId="6230CB7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4FB13B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2F30FC4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0.3 </w:t>
                            </w:r>
                          </w:p>
                        </w:tc>
                        <w:tc>
                          <w:tcPr>
                            <w:tcW w:w="576" w:type="pct"/>
                            <w:tcBorders>
                              <w:top w:val="nil"/>
                              <w:left w:val="nil"/>
                              <w:bottom w:val="nil"/>
                              <w:right w:val="nil"/>
                            </w:tcBorders>
                            <w:hideMark/>
                          </w:tcPr>
                          <w:p w14:paraId="054ACF4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21FE224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r>
                      <w:tr w:rsidR="00B43A9E" w:rsidRPr="00B43A9E" w14:paraId="4CDAEB9D" w14:textId="77777777" w:rsidTr="00B43A9E">
                        <w:trPr>
                          <w:trHeight w:val="204"/>
                        </w:trPr>
                        <w:tc>
                          <w:tcPr>
                            <w:tcW w:w="965" w:type="pct"/>
                            <w:tcBorders>
                              <w:top w:val="nil"/>
                              <w:left w:val="nil"/>
                              <w:bottom w:val="nil"/>
                              <w:right w:val="nil"/>
                            </w:tcBorders>
                            <w:noWrap/>
                            <w:hideMark/>
                          </w:tcPr>
                          <w:p w14:paraId="0F78EDD0"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Liabilities</w:t>
                            </w:r>
                          </w:p>
                        </w:tc>
                        <w:tc>
                          <w:tcPr>
                            <w:tcW w:w="576" w:type="pct"/>
                            <w:tcBorders>
                              <w:top w:val="single" w:sz="4" w:space="0" w:color="000000"/>
                              <w:left w:val="nil"/>
                              <w:bottom w:val="nil"/>
                              <w:right w:val="nil"/>
                            </w:tcBorders>
                            <w:hideMark/>
                          </w:tcPr>
                          <w:p w14:paraId="2D47FD8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53.1 </w:t>
                            </w:r>
                          </w:p>
                        </w:tc>
                        <w:tc>
                          <w:tcPr>
                            <w:tcW w:w="576" w:type="pct"/>
                            <w:tcBorders>
                              <w:top w:val="single" w:sz="4" w:space="0" w:color="000000"/>
                              <w:left w:val="nil"/>
                              <w:bottom w:val="nil"/>
                              <w:right w:val="nil"/>
                            </w:tcBorders>
                            <w:hideMark/>
                          </w:tcPr>
                          <w:p w14:paraId="3DD53FDD"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61.2 </w:t>
                            </w:r>
                          </w:p>
                        </w:tc>
                        <w:tc>
                          <w:tcPr>
                            <w:tcW w:w="576" w:type="pct"/>
                            <w:tcBorders>
                              <w:top w:val="single" w:sz="4" w:space="0" w:color="000000"/>
                              <w:left w:val="nil"/>
                              <w:bottom w:val="nil"/>
                              <w:right w:val="nil"/>
                            </w:tcBorders>
                            <w:hideMark/>
                          </w:tcPr>
                          <w:p w14:paraId="38FFE0BF"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92.6 </w:t>
                            </w:r>
                          </w:p>
                        </w:tc>
                        <w:tc>
                          <w:tcPr>
                            <w:tcW w:w="576" w:type="pct"/>
                            <w:tcBorders>
                              <w:top w:val="single" w:sz="4" w:space="0" w:color="000000"/>
                              <w:left w:val="nil"/>
                              <w:bottom w:val="nil"/>
                              <w:right w:val="nil"/>
                            </w:tcBorders>
                            <w:hideMark/>
                          </w:tcPr>
                          <w:p w14:paraId="4B5DC29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96.7 </w:t>
                            </w:r>
                          </w:p>
                        </w:tc>
                        <w:tc>
                          <w:tcPr>
                            <w:tcW w:w="576" w:type="pct"/>
                            <w:tcBorders>
                              <w:top w:val="single" w:sz="4" w:space="0" w:color="000000"/>
                              <w:left w:val="nil"/>
                              <w:bottom w:val="nil"/>
                              <w:right w:val="nil"/>
                            </w:tcBorders>
                            <w:hideMark/>
                          </w:tcPr>
                          <w:p w14:paraId="66FF3EC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91.7 </w:t>
                            </w:r>
                          </w:p>
                        </w:tc>
                        <w:tc>
                          <w:tcPr>
                            <w:tcW w:w="576" w:type="pct"/>
                            <w:tcBorders>
                              <w:top w:val="single" w:sz="4" w:space="0" w:color="000000"/>
                              <w:left w:val="nil"/>
                              <w:bottom w:val="nil"/>
                              <w:right w:val="nil"/>
                            </w:tcBorders>
                            <w:hideMark/>
                          </w:tcPr>
                          <w:p w14:paraId="6919026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90.3 </w:t>
                            </w:r>
                          </w:p>
                        </w:tc>
                        <w:tc>
                          <w:tcPr>
                            <w:tcW w:w="576" w:type="pct"/>
                            <w:tcBorders>
                              <w:top w:val="single" w:sz="4" w:space="0" w:color="000000"/>
                              <w:left w:val="nil"/>
                              <w:bottom w:val="nil"/>
                              <w:right w:val="nil"/>
                            </w:tcBorders>
                            <w:hideMark/>
                          </w:tcPr>
                          <w:p w14:paraId="7F7F2C7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104.1 </w:t>
                            </w:r>
                          </w:p>
                        </w:tc>
                      </w:tr>
                      <w:tr w:rsidR="00B43A9E" w:rsidRPr="00B43A9E" w14:paraId="6EA76C11" w14:textId="77777777" w:rsidTr="00B43A9E">
                        <w:trPr>
                          <w:trHeight w:val="204"/>
                        </w:trPr>
                        <w:tc>
                          <w:tcPr>
                            <w:tcW w:w="965" w:type="pct"/>
                            <w:tcBorders>
                              <w:top w:val="nil"/>
                              <w:left w:val="nil"/>
                              <w:bottom w:val="nil"/>
                              <w:right w:val="nil"/>
                            </w:tcBorders>
                            <w:noWrap/>
                            <w:hideMark/>
                          </w:tcPr>
                          <w:p w14:paraId="058DBA0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Common Stock</w:t>
                            </w:r>
                          </w:p>
                        </w:tc>
                        <w:tc>
                          <w:tcPr>
                            <w:tcW w:w="576" w:type="pct"/>
                            <w:tcBorders>
                              <w:top w:val="nil"/>
                              <w:left w:val="nil"/>
                              <w:bottom w:val="nil"/>
                              <w:right w:val="nil"/>
                            </w:tcBorders>
                            <w:hideMark/>
                          </w:tcPr>
                          <w:p w14:paraId="2926902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4774504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54388B29"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83F75C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5596B4A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119E391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c>
                          <w:tcPr>
                            <w:tcW w:w="576" w:type="pct"/>
                            <w:tcBorders>
                              <w:top w:val="nil"/>
                              <w:left w:val="nil"/>
                              <w:bottom w:val="nil"/>
                              <w:right w:val="nil"/>
                            </w:tcBorders>
                            <w:hideMark/>
                          </w:tcPr>
                          <w:p w14:paraId="7E005AC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0.0 </w:t>
                            </w:r>
                          </w:p>
                        </w:tc>
                      </w:tr>
                      <w:tr w:rsidR="00B43A9E" w:rsidRPr="00B43A9E" w14:paraId="2C170851" w14:textId="77777777" w:rsidTr="00B43A9E">
                        <w:trPr>
                          <w:trHeight w:val="204"/>
                        </w:trPr>
                        <w:tc>
                          <w:tcPr>
                            <w:tcW w:w="965" w:type="pct"/>
                            <w:tcBorders>
                              <w:top w:val="nil"/>
                              <w:left w:val="nil"/>
                              <w:bottom w:val="nil"/>
                              <w:right w:val="nil"/>
                            </w:tcBorders>
                            <w:noWrap/>
                            <w:hideMark/>
                          </w:tcPr>
                          <w:p w14:paraId="27E9B80C"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Additional Paid In Capital</w:t>
                            </w:r>
                          </w:p>
                        </w:tc>
                        <w:tc>
                          <w:tcPr>
                            <w:tcW w:w="576" w:type="pct"/>
                            <w:tcBorders>
                              <w:top w:val="nil"/>
                              <w:left w:val="nil"/>
                              <w:bottom w:val="nil"/>
                              <w:right w:val="nil"/>
                            </w:tcBorders>
                            <w:hideMark/>
                          </w:tcPr>
                          <w:p w14:paraId="4C465F2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34.5 </w:t>
                            </w:r>
                          </w:p>
                        </w:tc>
                        <w:tc>
                          <w:tcPr>
                            <w:tcW w:w="576" w:type="pct"/>
                            <w:tcBorders>
                              <w:top w:val="nil"/>
                              <w:left w:val="nil"/>
                              <w:bottom w:val="nil"/>
                              <w:right w:val="nil"/>
                            </w:tcBorders>
                            <w:hideMark/>
                          </w:tcPr>
                          <w:p w14:paraId="42BE31B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48.5 </w:t>
                            </w:r>
                          </w:p>
                        </w:tc>
                        <w:tc>
                          <w:tcPr>
                            <w:tcW w:w="576" w:type="pct"/>
                            <w:tcBorders>
                              <w:top w:val="nil"/>
                              <w:left w:val="nil"/>
                              <w:bottom w:val="nil"/>
                              <w:right w:val="nil"/>
                            </w:tcBorders>
                            <w:hideMark/>
                          </w:tcPr>
                          <w:p w14:paraId="15870B2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60.2 </w:t>
                            </w:r>
                          </w:p>
                        </w:tc>
                        <w:tc>
                          <w:tcPr>
                            <w:tcW w:w="576" w:type="pct"/>
                            <w:tcBorders>
                              <w:top w:val="nil"/>
                              <w:left w:val="nil"/>
                              <w:bottom w:val="nil"/>
                              <w:right w:val="nil"/>
                            </w:tcBorders>
                            <w:hideMark/>
                          </w:tcPr>
                          <w:p w14:paraId="78C4D6A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64.7 </w:t>
                            </w:r>
                          </w:p>
                        </w:tc>
                        <w:tc>
                          <w:tcPr>
                            <w:tcW w:w="576" w:type="pct"/>
                            <w:tcBorders>
                              <w:top w:val="nil"/>
                              <w:left w:val="nil"/>
                              <w:bottom w:val="nil"/>
                              <w:right w:val="nil"/>
                            </w:tcBorders>
                            <w:hideMark/>
                          </w:tcPr>
                          <w:p w14:paraId="326B909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60.7 </w:t>
                            </w:r>
                          </w:p>
                        </w:tc>
                        <w:tc>
                          <w:tcPr>
                            <w:tcW w:w="576" w:type="pct"/>
                            <w:tcBorders>
                              <w:top w:val="nil"/>
                              <w:left w:val="nil"/>
                              <w:bottom w:val="nil"/>
                              <w:right w:val="nil"/>
                            </w:tcBorders>
                            <w:hideMark/>
                          </w:tcPr>
                          <w:p w14:paraId="63960B0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55.1 </w:t>
                            </w:r>
                          </w:p>
                        </w:tc>
                        <w:tc>
                          <w:tcPr>
                            <w:tcW w:w="576" w:type="pct"/>
                            <w:tcBorders>
                              <w:top w:val="nil"/>
                              <w:left w:val="nil"/>
                              <w:bottom w:val="nil"/>
                              <w:right w:val="nil"/>
                            </w:tcBorders>
                            <w:hideMark/>
                          </w:tcPr>
                          <w:p w14:paraId="0E31EB28"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52.1 </w:t>
                            </w:r>
                          </w:p>
                        </w:tc>
                      </w:tr>
                      <w:tr w:rsidR="00B43A9E" w:rsidRPr="00B43A9E" w14:paraId="16782B82" w14:textId="77777777" w:rsidTr="00B43A9E">
                        <w:trPr>
                          <w:trHeight w:val="204"/>
                        </w:trPr>
                        <w:tc>
                          <w:tcPr>
                            <w:tcW w:w="965" w:type="pct"/>
                            <w:tcBorders>
                              <w:top w:val="nil"/>
                              <w:left w:val="nil"/>
                              <w:bottom w:val="nil"/>
                              <w:right w:val="nil"/>
                            </w:tcBorders>
                            <w:noWrap/>
                            <w:hideMark/>
                          </w:tcPr>
                          <w:p w14:paraId="0AA6DA67"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Retained Earnings</w:t>
                            </w:r>
                          </w:p>
                        </w:tc>
                        <w:tc>
                          <w:tcPr>
                            <w:tcW w:w="576" w:type="pct"/>
                            <w:tcBorders>
                              <w:top w:val="nil"/>
                              <w:left w:val="nil"/>
                              <w:bottom w:val="nil"/>
                              <w:right w:val="nil"/>
                            </w:tcBorders>
                            <w:hideMark/>
                          </w:tcPr>
                          <w:p w14:paraId="3E15662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39.2 </w:t>
                            </w:r>
                          </w:p>
                        </w:tc>
                        <w:tc>
                          <w:tcPr>
                            <w:tcW w:w="576" w:type="pct"/>
                            <w:tcBorders>
                              <w:top w:val="nil"/>
                              <w:left w:val="nil"/>
                              <w:bottom w:val="nil"/>
                              <w:right w:val="nil"/>
                            </w:tcBorders>
                            <w:hideMark/>
                          </w:tcPr>
                          <w:p w14:paraId="55FBC91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58.2 </w:t>
                            </w:r>
                          </w:p>
                        </w:tc>
                        <w:tc>
                          <w:tcPr>
                            <w:tcW w:w="576" w:type="pct"/>
                            <w:tcBorders>
                              <w:top w:val="nil"/>
                              <w:left w:val="nil"/>
                              <w:bottom w:val="nil"/>
                              <w:right w:val="nil"/>
                            </w:tcBorders>
                            <w:hideMark/>
                          </w:tcPr>
                          <w:p w14:paraId="375F688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85.8 </w:t>
                            </w:r>
                          </w:p>
                        </w:tc>
                        <w:tc>
                          <w:tcPr>
                            <w:tcW w:w="576" w:type="pct"/>
                            <w:tcBorders>
                              <w:top w:val="nil"/>
                              <w:left w:val="nil"/>
                              <w:bottom w:val="nil"/>
                              <w:right w:val="nil"/>
                            </w:tcBorders>
                            <w:hideMark/>
                          </w:tcPr>
                          <w:p w14:paraId="6239DAB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90.4 </w:t>
                            </w:r>
                          </w:p>
                        </w:tc>
                        <w:tc>
                          <w:tcPr>
                            <w:tcW w:w="576" w:type="pct"/>
                            <w:tcBorders>
                              <w:top w:val="nil"/>
                              <w:left w:val="nil"/>
                              <w:bottom w:val="nil"/>
                              <w:right w:val="nil"/>
                            </w:tcBorders>
                            <w:hideMark/>
                          </w:tcPr>
                          <w:p w14:paraId="60883F86"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89.1 </w:t>
                            </w:r>
                          </w:p>
                        </w:tc>
                        <w:tc>
                          <w:tcPr>
                            <w:tcW w:w="576" w:type="pct"/>
                            <w:tcBorders>
                              <w:top w:val="nil"/>
                              <w:left w:val="nil"/>
                              <w:bottom w:val="nil"/>
                              <w:right w:val="nil"/>
                            </w:tcBorders>
                            <w:hideMark/>
                          </w:tcPr>
                          <w:p w14:paraId="65F9D57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84.8 </w:t>
                            </w:r>
                          </w:p>
                        </w:tc>
                        <w:tc>
                          <w:tcPr>
                            <w:tcW w:w="576" w:type="pct"/>
                            <w:tcBorders>
                              <w:top w:val="nil"/>
                              <w:left w:val="nil"/>
                              <w:bottom w:val="nil"/>
                              <w:right w:val="nil"/>
                            </w:tcBorders>
                            <w:hideMark/>
                          </w:tcPr>
                          <w:p w14:paraId="3C80062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89.4 </w:t>
                            </w:r>
                          </w:p>
                        </w:tc>
                      </w:tr>
                      <w:tr w:rsidR="00B43A9E" w:rsidRPr="00B43A9E" w14:paraId="13B010AB" w14:textId="77777777" w:rsidTr="00B43A9E">
                        <w:trPr>
                          <w:trHeight w:val="204"/>
                        </w:trPr>
                        <w:tc>
                          <w:tcPr>
                            <w:tcW w:w="965" w:type="pct"/>
                            <w:tcBorders>
                              <w:top w:val="nil"/>
                              <w:left w:val="nil"/>
                              <w:bottom w:val="nil"/>
                              <w:right w:val="nil"/>
                            </w:tcBorders>
                            <w:noWrap/>
                            <w:hideMark/>
                          </w:tcPr>
                          <w:p w14:paraId="1B29D5F2"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Treasury Stock</w:t>
                            </w:r>
                          </w:p>
                        </w:tc>
                        <w:tc>
                          <w:tcPr>
                            <w:tcW w:w="576" w:type="pct"/>
                            <w:tcBorders>
                              <w:top w:val="nil"/>
                              <w:left w:val="nil"/>
                              <w:bottom w:val="nil"/>
                              <w:right w:val="nil"/>
                            </w:tcBorders>
                            <w:hideMark/>
                          </w:tcPr>
                          <w:p w14:paraId="2F0175D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612732C"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CD9566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w:t>
                            </w:r>
                          </w:p>
                        </w:tc>
                        <w:tc>
                          <w:tcPr>
                            <w:tcW w:w="576" w:type="pct"/>
                            <w:tcBorders>
                              <w:top w:val="nil"/>
                              <w:left w:val="nil"/>
                              <w:bottom w:val="nil"/>
                              <w:right w:val="nil"/>
                            </w:tcBorders>
                            <w:hideMark/>
                          </w:tcPr>
                          <w:p w14:paraId="68D5353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5668546D"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(4.2)  </w:t>
                            </w:r>
                          </w:p>
                        </w:tc>
                        <w:tc>
                          <w:tcPr>
                            <w:tcW w:w="576" w:type="pct"/>
                            <w:tcBorders>
                              <w:top w:val="nil"/>
                              <w:left w:val="nil"/>
                              <w:bottom w:val="nil"/>
                              <w:right w:val="nil"/>
                            </w:tcBorders>
                            <w:hideMark/>
                          </w:tcPr>
                          <w:p w14:paraId="7B7BCFA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(3.8)  </w:t>
                            </w:r>
                          </w:p>
                        </w:tc>
                        <w:tc>
                          <w:tcPr>
                            <w:tcW w:w="576" w:type="pct"/>
                            <w:tcBorders>
                              <w:top w:val="nil"/>
                              <w:left w:val="nil"/>
                              <w:bottom w:val="nil"/>
                              <w:right w:val="nil"/>
                            </w:tcBorders>
                            <w:hideMark/>
                          </w:tcPr>
                          <w:p w14:paraId="57DB509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(5.0)  </w:t>
                            </w:r>
                          </w:p>
                        </w:tc>
                      </w:tr>
                      <w:tr w:rsidR="00B43A9E" w:rsidRPr="00B43A9E" w14:paraId="1C158008" w14:textId="77777777" w:rsidTr="00B43A9E">
                        <w:trPr>
                          <w:trHeight w:val="204"/>
                        </w:trPr>
                        <w:tc>
                          <w:tcPr>
                            <w:tcW w:w="965" w:type="pct"/>
                            <w:tcBorders>
                              <w:top w:val="nil"/>
                              <w:left w:val="nil"/>
                              <w:bottom w:val="nil"/>
                              <w:right w:val="nil"/>
                            </w:tcBorders>
                            <w:noWrap/>
                            <w:hideMark/>
                          </w:tcPr>
                          <w:p w14:paraId="647C3919"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Comprehensive Inc. and Other</w:t>
                            </w:r>
                          </w:p>
                        </w:tc>
                        <w:tc>
                          <w:tcPr>
                            <w:tcW w:w="576" w:type="pct"/>
                            <w:tcBorders>
                              <w:top w:val="nil"/>
                              <w:left w:val="nil"/>
                              <w:bottom w:val="nil"/>
                              <w:right w:val="nil"/>
                            </w:tcBorders>
                            <w:hideMark/>
                          </w:tcPr>
                          <w:p w14:paraId="0CA77124"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(0.4)  </w:t>
                            </w:r>
                          </w:p>
                        </w:tc>
                        <w:tc>
                          <w:tcPr>
                            <w:tcW w:w="576" w:type="pct"/>
                            <w:tcBorders>
                              <w:top w:val="nil"/>
                              <w:left w:val="nil"/>
                              <w:bottom w:val="nil"/>
                              <w:right w:val="nil"/>
                            </w:tcBorders>
                            <w:hideMark/>
                          </w:tcPr>
                          <w:p w14:paraId="0EAC2BA0"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(0.1)  </w:t>
                            </w:r>
                          </w:p>
                        </w:tc>
                        <w:tc>
                          <w:tcPr>
                            <w:tcW w:w="576" w:type="pct"/>
                            <w:tcBorders>
                              <w:top w:val="nil"/>
                              <w:left w:val="nil"/>
                              <w:bottom w:val="nil"/>
                              <w:right w:val="nil"/>
                            </w:tcBorders>
                            <w:hideMark/>
                          </w:tcPr>
                          <w:p w14:paraId="7E125FC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(2.9)  </w:t>
                            </w:r>
                          </w:p>
                        </w:tc>
                        <w:tc>
                          <w:tcPr>
                            <w:tcW w:w="576" w:type="pct"/>
                            <w:tcBorders>
                              <w:top w:val="nil"/>
                              <w:left w:val="nil"/>
                              <w:bottom w:val="nil"/>
                              <w:right w:val="nil"/>
                            </w:tcBorders>
                            <w:hideMark/>
                          </w:tcPr>
                          <w:p w14:paraId="21F1608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(5.2)  </w:t>
                            </w:r>
                          </w:p>
                        </w:tc>
                        <w:tc>
                          <w:tcPr>
                            <w:tcW w:w="576" w:type="pct"/>
                            <w:tcBorders>
                              <w:top w:val="nil"/>
                              <w:left w:val="nil"/>
                              <w:bottom w:val="nil"/>
                              <w:right w:val="nil"/>
                            </w:tcBorders>
                            <w:hideMark/>
                          </w:tcPr>
                          <w:p w14:paraId="441047F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(1.5)  </w:t>
                            </w:r>
                          </w:p>
                        </w:tc>
                        <w:tc>
                          <w:tcPr>
                            <w:tcW w:w="576" w:type="pct"/>
                            <w:tcBorders>
                              <w:top w:val="nil"/>
                              <w:left w:val="nil"/>
                              <w:bottom w:val="nil"/>
                              <w:right w:val="nil"/>
                            </w:tcBorders>
                            <w:hideMark/>
                          </w:tcPr>
                          <w:p w14:paraId="3FA4FE42"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0.5 </w:t>
                            </w:r>
                          </w:p>
                        </w:tc>
                        <w:tc>
                          <w:tcPr>
                            <w:tcW w:w="576" w:type="pct"/>
                            <w:tcBorders>
                              <w:top w:val="nil"/>
                              <w:left w:val="nil"/>
                              <w:bottom w:val="nil"/>
                              <w:right w:val="nil"/>
                            </w:tcBorders>
                            <w:hideMark/>
                          </w:tcPr>
                          <w:p w14:paraId="37BB00AB"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0.7 </w:t>
                            </w:r>
                          </w:p>
                        </w:tc>
                      </w:tr>
                      <w:tr w:rsidR="00B43A9E" w:rsidRPr="00B43A9E" w14:paraId="38326798" w14:textId="77777777" w:rsidTr="00B43A9E">
                        <w:trPr>
                          <w:trHeight w:val="204"/>
                        </w:trPr>
                        <w:tc>
                          <w:tcPr>
                            <w:tcW w:w="965" w:type="pct"/>
                            <w:tcBorders>
                              <w:top w:val="nil"/>
                              <w:left w:val="nil"/>
                              <w:bottom w:val="nil"/>
                              <w:right w:val="nil"/>
                            </w:tcBorders>
                            <w:noWrap/>
                            <w:hideMark/>
                          </w:tcPr>
                          <w:p w14:paraId="7FDD798F"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Total Common Equity</w:t>
                            </w:r>
                          </w:p>
                        </w:tc>
                        <w:tc>
                          <w:tcPr>
                            <w:tcW w:w="576" w:type="pct"/>
                            <w:tcBorders>
                              <w:top w:val="single" w:sz="4" w:space="0" w:color="000000"/>
                              <w:left w:val="nil"/>
                              <w:bottom w:val="nil"/>
                              <w:right w:val="nil"/>
                            </w:tcBorders>
                            <w:hideMark/>
                          </w:tcPr>
                          <w:p w14:paraId="6E8D6E2A"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73.3 </w:t>
                            </w:r>
                          </w:p>
                        </w:tc>
                        <w:tc>
                          <w:tcPr>
                            <w:tcW w:w="576" w:type="pct"/>
                            <w:tcBorders>
                              <w:top w:val="single" w:sz="4" w:space="0" w:color="000000"/>
                              <w:left w:val="nil"/>
                              <w:bottom w:val="nil"/>
                              <w:right w:val="nil"/>
                            </w:tcBorders>
                            <w:hideMark/>
                          </w:tcPr>
                          <w:p w14:paraId="42C82DF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106.7 </w:t>
                            </w:r>
                          </w:p>
                        </w:tc>
                        <w:tc>
                          <w:tcPr>
                            <w:tcW w:w="576" w:type="pct"/>
                            <w:tcBorders>
                              <w:top w:val="single" w:sz="4" w:space="0" w:color="000000"/>
                              <w:left w:val="nil"/>
                              <w:bottom w:val="nil"/>
                              <w:right w:val="nil"/>
                            </w:tcBorders>
                            <w:hideMark/>
                          </w:tcPr>
                          <w:p w14:paraId="1498BF3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143.1 </w:t>
                            </w:r>
                          </w:p>
                        </w:tc>
                        <w:tc>
                          <w:tcPr>
                            <w:tcW w:w="576" w:type="pct"/>
                            <w:tcBorders>
                              <w:top w:val="single" w:sz="4" w:space="0" w:color="000000"/>
                              <w:left w:val="nil"/>
                              <w:bottom w:val="nil"/>
                              <w:right w:val="nil"/>
                            </w:tcBorders>
                            <w:hideMark/>
                          </w:tcPr>
                          <w:p w14:paraId="42ED64D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149.6 </w:t>
                            </w:r>
                          </w:p>
                        </w:tc>
                        <w:tc>
                          <w:tcPr>
                            <w:tcW w:w="576" w:type="pct"/>
                            <w:tcBorders>
                              <w:top w:val="single" w:sz="4" w:space="0" w:color="000000"/>
                              <w:left w:val="nil"/>
                              <w:bottom w:val="nil"/>
                              <w:right w:val="nil"/>
                            </w:tcBorders>
                            <w:hideMark/>
                          </w:tcPr>
                          <w:p w14:paraId="2841A81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144.1 </w:t>
                            </w:r>
                          </w:p>
                        </w:tc>
                        <w:tc>
                          <w:tcPr>
                            <w:tcW w:w="576" w:type="pct"/>
                            <w:tcBorders>
                              <w:top w:val="single" w:sz="4" w:space="0" w:color="000000"/>
                              <w:left w:val="nil"/>
                              <w:bottom w:val="nil"/>
                              <w:right w:val="nil"/>
                            </w:tcBorders>
                            <w:hideMark/>
                          </w:tcPr>
                          <w:p w14:paraId="79D9CE4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136.6 </w:t>
                            </w:r>
                          </w:p>
                        </w:tc>
                        <w:tc>
                          <w:tcPr>
                            <w:tcW w:w="576" w:type="pct"/>
                            <w:tcBorders>
                              <w:top w:val="single" w:sz="4" w:space="0" w:color="000000"/>
                              <w:left w:val="nil"/>
                              <w:bottom w:val="nil"/>
                              <w:right w:val="nil"/>
                            </w:tcBorders>
                            <w:hideMark/>
                          </w:tcPr>
                          <w:p w14:paraId="33CC1AF1"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 xml:space="preserve">                       137.2 </w:t>
                            </w:r>
                          </w:p>
                        </w:tc>
                      </w:tr>
                      <w:tr w:rsidR="00B43A9E" w:rsidRPr="00B43A9E" w14:paraId="14843EB0" w14:textId="77777777" w:rsidTr="00B43A9E">
                        <w:trPr>
                          <w:trHeight w:val="204"/>
                        </w:trPr>
                        <w:tc>
                          <w:tcPr>
                            <w:tcW w:w="965" w:type="pct"/>
                            <w:tcBorders>
                              <w:top w:val="nil"/>
                              <w:left w:val="nil"/>
                              <w:bottom w:val="nil"/>
                              <w:right w:val="nil"/>
                            </w:tcBorders>
                            <w:noWrap/>
                            <w:hideMark/>
                          </w:tcPr>
                          <w:p w14:paraId="00BCF61C" w14:textId="77777777" w:rsidR="00B43A9E" w:rsidRPr="00B43A9E" w:rsidRDefault="00B43A9E" w:rsidP="00B43A9E">
                            <w:pPr>
                              <w:spacing w:after="0" w:line="240" w:lineRule="auto"/>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Minority Interest</w:t>
                            </w:r>
                          </w:p>
                        </w:tc>
                        <w:tc>
                          <w:tcPr>
                            <w:tcW w:w="576" w:type="pct"/>
                            <w:tcBorders>
                              <w:top w:val="nil"/>
                              <w:left w:val="nil"/>
                              <w:bottom w:val="nil"/>
                              <w:right w:val="nil"/>
                            </w:tcBorders>
                            <w:hideMark/>
                          </w:tcPr>
                          <w:p w14:paraId="6C3A3303"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17.3 </w:t>
                            </w:r>
                          </w:p>
                        </w:tc>
                        <w:tc>
                          <w:tcPr>
                            <w:tcW w:w="576" w:type="pct"/>
                            <w:tcBorders>
                              <w:top w:val="nil"/>
                              <w:left w:val="nil"/>
                              <w:bottom w:val="nil"/>
                              <w:right w:val="nil"/>
                            </w:tcBorders>
                            <w:hideMark/>
                          </w:tcPr>
                          <w:p w14:paraId="0FC3E5B1"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17.5 </w:t>
                            </w:r>
                          </w:p>
                        </w:tc>
                        <w:tc>
                          <w:tcPr>
                            <w:tcW w:w="576" w:type="pct"/>
                            <w:tcBorders>
                              <w:top w:val="nil"/>
                              <w:left w:val="nil"/>
                              <w:bottom w:val="nil"/>
                              <w:right w:val="nil"/>
                            </w:tcBorders>
                            <w:hideMark/>
                          </w:tcPr>
                          <w:p w14:paraId="694F7005"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22.3 </w:t>
                            </w:r>
                          </w:p>
                        </w:tc>
                        <w:tc>
                          <w:tcPr>
                            <w:tcW w:w="576" w:type="pct"/>
                            <w:tcBorders>
                              <w:top w:val="nil"/>
                              <w:left w:val="nil"/>
                              <w:bottom w:val="nil"/>
                              <w:right w:val="nil"/>
                            </w:tcBorders>
                            <w:hideMark/>
                          </w:tcPr>
                          <w:p w14:paraId="27895CEA"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21.1 </w:t>
                            </w:r>
                          </w:p>
                        </w:tc>
                        <w:tc>
                          <w:tcPr>
                            <w:tcW w:w="576" w:type="pct"/>
                            <w:tcBorders>
                              <w:top w:val="nil"/>
                              <w:left w:val="nil"/>
                              <w:bottom w:val="nil"/>
                              <w:right w:val="nil"/>
                            </w:tcBorders>
                            <w:hideMark/>
                          </w:tcPr>
                          <w:p w14:paraId="5BBE4277"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19.4 </w:t>
                            </w:r>
                          </w:p>
                        </w:tc>
                        <w:tc>
                          <w:tcPr>
                            <w:tcW w:w="576" w:type="pct"/>
                            <w:tcBorders>
                              <w:top w:val="nil"/>
                              <w:left w:val="nil"/>
                              <w:bottom w:val="nil"/>
                              <w:right w:val="nil"/>
                            </w:tcBorders>
                            <w:hideMark/>
                          </w:tcPr>
                          <w:p w14:paraId="2D08B7AF"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17.5 </w:t>
                            </w:r>
                          </w:p>
                        </w:tc>
                        <w:tc>
                          <w:tcPr>
                            <w:tcW w:w="576" w:type="pct"/>
                            <w:tcBorders>
                              <w:top w:val="nil"/>
                              <w:left w:val="nil"/>
                              <w:bottom w:val="nil"/>
                              <w:right w:val="nil"/>
                            </w:tcBorders>
                            <w:hideMark/>
                          </w:tcPr>
                          <w:p w14:paraId="427B6FFE" w14:textId="77777777" w:rsidR="00B43A9E" w:rsidRPr="00B43A9E" w:rsidRDefault="00B43A9E" w:rsidP="00B43A9E">
                            <w:pPr>
                              <w:spacing w:after="0" w:line="240" w:lineRule="auto"/>
                              <w:jc w:val="right"/>
                              <w:rPr>
                                <w:rFonts w:ascii="Cambria" w:eastAsia="Times New Roman" w:hAnsi="Cambria" w:cs="Arial"/>
                                <w:color w:val="000000"/>
                                <w:kern w:val="0"/>
                                <w:sz w:val="12"/>
                                <w:szCs w:val="12"/>
                                <w:lang w:eastAsia="en-IN"/>
                                <w14:ligatures w14:val="none"/>
                              </w:rPr>
                            </w:pPr>
                            <w:r w:rsidRPr="00B43A9E">
                              <w:rPr>
                                <w:rFonts w:ascii="Cambria" w:eastAsia="Times New Roman" w:hAnsi="Cambria" w:cs="Arial"/>
                                <w:color w:val="000000"/>
                                <w:kern w:val="0"/>
                                <w:sz w:val="12"/>
                                <w:szCs w:val="12"/>
                                <w:lang w:eastAsia="en-IN"/>
                                <w14:ligatures w14:val="none"/>
                              </w:rPr>
                              <w:t xml:space="preserve">                        12.8 </w:t>
                            </w:r>
                          </w:p>
                        </w:tc>
                      </w:tr>
                      <w:tr w:rsidR="00B43A9E" w:rsidRPr="00B43A9E" w14:paraId="130029D3" w14:textId="77777777" w:rsidTr="00B43A9E">
                        <w:trPr>
                          <w:trHeight w:val="204"/>
                        </w:trPr>
                        <w:tc>
                          <w:tcPr>
                            <w:tcW w:w="965" w:type="pct"/>
                            <w:tcBorders>
                              <w:top w:val="nil"/>
                              <w:left w:val="nil"/>
                              <w:bottom w:val="nil"/>
                              <w:right w:val="nil"/>
                            </w:tcBorders>
                            <w:noWrap/>
                            <w:hideMark/>
                          </w:tcPr>
                          <w:p w14:paraId="3065B07E"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Equity</w:t>
                            </w:r>
                          </w:p>
                        </w:tc>
                        <w:tc>
                          <w:tcPr>
                            <w:tcW w:w="576" w:type="pct"/>
                            <w:tcBorders>
                              <w:top w:val="nil"/>
                              <w:left w:val="nil"/>
                              <w:bottom w:val="nil"/>
                              <w:right w:val="nil"/>
                            </w:tcBorders>
                            <w:hideMark/>
                          </w:tcPr>
                          <w:p w14:paraId="4830A15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90.7 </w:t>
                            </w:r>
                          </w:p>
                        </w:tc>
                        <w:tc>
                          <w:tcPr>
                            <w:tcW w:w="576" w:type="pct"/>
                            <w:tcBorders>
                              <w:top w:val="nil"/>
                              <w:left w:val="nil"/>
                              <w:bottom w:val="nil"/>
                              <w:right w:val="nil"/>
                            </w:tcBorders>
                            <w:hideMark/>
                          </w:tcPr>
                          <w:p w14:paraId="0CAAA96E"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124.2 </w:t>
                            </w:r>
                          </w:p>
                        </w:tc>
                        <w:tc>
                          <w:tcPr>
                            <w:tcW w:w="576" w:type="pct"/>
                            <w:tcBorders>
                              <w:top w:val="nil"/>
                              <w:left w:val="nil"/>
                              <w:bottom w:val="nil"/>
                              <w:right w:val="nil"/>
                            </w:tcBorders>
                            <w:hideMark/>
                          </w:tcPr>
                          <w:p w14:paraId="0A328920"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165.4 </w:t>
                            </w:r>
                          </w:p>
                        </w:tc>
                        <w:tc>
                          <w:tcPr>
                            <w:tcW w:w="576" w:type="pct"/>
                            <w:tcBorders>
                              <w:top w:val="nil"/>
                              <w:left w:val="nil"/>
                              <w:bottom w:val="nil"/>
                              <w:right w:val="nil"/>
                            </w:tcBorders>
                            <w:hideMark/>
                          </w:tcPr>
                          <w:p w14:paraId="4FC351E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170.7 </w:t>
                            </w:r>
                          </w:p>
                        </w:tc>
                        <w:tc>
                          <w:tcPr>
                            <w:tcW w:w="576" w:type="pct"/>
                            <w:tcBorders>
                              <w:top w:val="nil"/>
                              <w:left w:val="nil"/>
                              <w:bottom w:val="nil"/>
                              <w:right w:val="nil"/>
                            </w:tcBorders>
                            <w:hideMark/>
                          </w:tcPr>
                          <w:p w14:paraId="1329535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163.5 </w:t>
                            </w:r>
                          </w:p>
                        </w:tc>
                        <w:tc>
                          <w:tcPr>
                            <w:tcW w:w="576" w:type="pct"/>
                            <w:tcBorders>
                              <w:top w:val="nil"/>
                              <w:left w:val="nil"/>
                              <w:bottom w:val="nil"/>
                              <w:right w:val="nil"/>
                            </w:tcBorders>
                            <w:hideMark/>
                          </w:tcPr>
                          <w:p w14:paraId="336E532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154.1 </w:t>
                            </w:r>
                          </w:p>
                        </w:tc>
                        <w:tc>
                          <w:tcPr>
                            <w:tcW w:w="576" w:type="pct"/>
                            <w:tcBorders>
                              <w:top w:val="nil"/>
                              <w:left w:val="nil"/>
                              <w:bottom w:val="nil"/>
                              <w:right w:val="nil"/>
                            </w:tcBorders>
                            <w:hideMark/>
                          </w:tcPr>
                          <w:p w14:paraId="2A79856B"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single"/>
                                <w:lang w:eastAsia="en-IN"/>
                                <w14:ligatures w14:val="none"/>
                              </w:rPr>
                            </w:pPr>
                            <w:r w:rsidRPr="00B43A9E">
                              <w:rPr>
                                <w:rFonts w:ascii="Cambria" w:eastAsia="Times New Roman" w:hAnsi="Cambria" w:cs="Arial"/>
                                <w:b/>
                                <w:bCs/>
                                <w:color w:val="000000"/>
                                <w:kern w:val="0"/>
                                <w:sz w:val="12"/>
                                <w:szCs w:val="12"/>
                                <w:u w:val="single"/>
                                <w:lang w:eastAsia="en-IN"/>
                                <w14:ligatures w14:val="none"/>
                              </w:rPr>
                              <w:t xml:space="preserve">                       150.0 </w:t>
                            </w:r>
                          </w:p>
                        </w:tc>
                      </w:tr>
                      <w:tr w:rsidR="00B43A9E" w:rsidRPr="00B43A9E" w14:paraId="1DE835CB" w14:textId="77777777" w:rsidTr="00B43A9E">
                        <w:trPr>
                          <w:trHeight w:val="204"/>
                        </w:trPr>
                        <w:tc>
                          <w:tcPr>
                            <w:tcW w:w="965" w:type="pct"/>
                            <w:tcBorders>
                              <w:top w:val="nil"/>
                              <w:left w:val="nil"/>
                              <w:bottom w:val="nil"/>
                              <w:right w:val="nil"/>
                            </w:tcBorders>
                            <w:noWrap/>
                            <w:hideMark/>
                          </w:tcPr>
                          <w:p w14:paraId="08512FDD" w14:textId="77777777" w:rsidR="00B43A9E" w:rsidRPr="00B43A9E" w:rsidRDefault="00B43A9E" w:rsidP="00B43A9E">
                            <w:pPr>
                              <w:spacing w:after="0" w:line="240" w:lineRule="auto"/>
                              <w:rPr>
                                <w:rFonts w:ascii="Cambria" w:eastAsia="Times New Roman" w:hAnsi="Cambria" w:cs="Arial"/>
                                <w:b/>
                                <w:bCs/>
                                <w:color w:val="000000"/>
                                <w:kern w:val="0"/>
                                <w:sz w:val="12"/>
                                <w:szCs w:val="12"/>
                                <w:lang w:eastAsia="en-IN"/>
                                <w14:ligatures w14:val="none"/>
                              </w:rPr>
                            </w:pPr>
                            <w:r w:rsidRPr="00B43A9E">
                              <w:rPr>
                                <w:rFonts w:ascii="Cambria" w:eastAsia="Times New Roman" w:hAnsi="Cambria" w:cs="Arial"/>
                                <w:b/>
                                <w:bCs/>
                                <w:color w:val="000000"/>
                                <w:kern w:val="0"/>
                                <w:sz w:val="12"/>
                                <w:szCs w:val="12"/>
                                <w:lang w:eastAsia="en-IN"/>
                                <w14:ligatures w14:val="none"/>
                              </w:rPr>
                              <w:t>Total Liabilities And Equity</w:t>
                            </w:r>
                          </w:p>
                        </w:tc>
                        <w:tc>
                          <w:tcPr>
                            <w:tcW w:w="576" w:type="pct"/>
                            <w:tcBorders>
                              <w:top w:val="nil"/>
                              <w:left w:val="nil"/>
                              <w:bottom w:val="nil"/>
                              <w:right w:val="nil"/>
                            </w:tcBorders>
                            <w:hideMark/>
                          </w:tcPr>
                          <w:p w14:paraId="2DA5EB35"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143.8 </w:t>
                            </w:r>
                          </w:p>
                        </w:tc>
                        <w:tc>
                          <w:tcPr>
                            <w:tcW w:w="576" w:type="pct"/>
                            <w:tcBorders>
                              <w:top w:val="nil"/>
                              <w:left w:val="nil"/>
                              <w:bottom w:val="nil"/>
                              <w:right w:val="nil"/>
                            </w:tcBorders>
                            <w:hideMark/>
                          </w:tcPr>
                          <w:p w14:paraId="513D136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185.4 </w:t>
                            </w:r>
                          </w:p>
                        </w:tc>
                        <w:tc>
                          <w:tcPr>
                            <w:tcW w:w="576" w:type="pct"/>
                            <w:tcBorders>
                              <w:top w:val="nil"/>
                              <w:left w:val="nil"/>
                              <w:bottom w:val="nil"/>
                              <w:right w:val="nil"/>
                            </w:tcBorders>
                            <w:hideMark/>
                          </w:tcPr>
                          <w:p w14:paraId="2F1DB394"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257.9 </w:t>
                            </w:r>
                          </w:p>
                        </w:tc>
                        <w:tc>
                          <w:tcPr>
                            <w:tcW w:w="576" w:type="pct"/>
                            <w:tcBorders>
                              <w:top w:val="nil"/>
                              <w:left w:val="nil"/>
                              <w:bottom w:val="nil"/>
                              <w:right w:val="nil"/>
                            </w:tcBorders>
                            <w:hideMark/>
                          </w:tcPr>
                          <w:p w14:paraId="217EFCD9"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267.4 </w:t>
                            </w:r>
                          </w:p>
                        </w:tc>
                        <w:tc>
                          <w:tcPr>
                            <w:tcW w:w="576" w:type="pct"/>
                            <w:tcBorders>
                              <w:top w:val="nil"/>
                              <w:left w:val="nil"/>
                              <w:bottom w:val="nil"/>
                              <w:right w:val="nil"/>
                            </w:tcBorders>
                            <w:hideMark/>
                          </w:tcPr>
                          <w:p w14:paraId="1FB6E0A2"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255.2 </w:t>
                            </w:r>
                          </w:p>
                        </w:tc>
                        <w:tc>
                          <w:tcPr>
                            <w:tcW w:w="576" w:type="pct"/>
                            <w:tcBorders>
                              <w:top w:val="nil"/>
                              <w:left w:val="nil"/>
                              <w:bottom w:val="nil"/>
                              <w:right w:val="nil"/>
                            </w:tcBorders>
                            <w:hideMark/>
                          </w:tcPr>
                          <w:p w14:paraId="45D46B7C"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244.4 </w:t>
                            </w:r>
                          </w:p>
                        </w:tc>
                        <w:tc>
                          <w:tcPr>
                            <w:tcW w:w="576" w:type="pct"/>
                            <w:tcBorders>
                              <w:top w:val="nil"/>
                              <w:left w:val="nil"/>
                              <w:bottom w:val="nil"/>
                              <w:right w:val="nil"/>
                            </w:tcBorders>
                            <w:hideMark/>
                          </w:tcPr>
                          <w:p w14:paraId="012C5C93" w14:textId="77777777" w:rsidR="00B43A9E" w:rsidRPr="00B43A9E" w:rsidRDefault="00B43A9E" w:rsidP="00B43A9E">
                            <w:pPr>
                              <w:spacing w:after="0" w:line="240" w:lineRule="auto"/>
                              <w:jc w:val="right"/>
                              <w:rPr>
                                <w:rFonts w:ascii="Cambria" w:eastAsia="Times New Roman" w:hAnsi="Cambria" w:cs="Arial"/>
                                <w:b/>
                                <w:bCs/>
                                <w:color w:val="000000"/>
                                <w:kern w:val="0"/>
                                <w:sz w:val="12"/>
                                <w:szCs w:val="12"/>
                                <w:u w:val="double"/>
                                <w:lang w:eastAsia="en-IN"/>
                                <w14:ligatures w14:val="none"/>
                              </w:rPr>
                            </w:pPr>
                            <w:r w:rsidRPr="00B43A9E">
                              <w:rPr>
                                <w:rFonts w:ascii="Cambria" w:eastAsia="Times New Roman" w:hAnsi="Cambria" w:cs="Arial"/>
                                <w:b/>
                                <w:bCs/>
                                <w:color w:val="000000"/>
                                <w:kern w:val="0"/>
                                <w:sz w:val="12"/>
                                <w:szCs w:val="12"/>
                                <w:u w:val="double"/>
                                <w:lang w:eastAsia="en-IN"/>
                                <w14:ligatures w14:val="none"/>
                              </w:rPr>
                              <w:t xml:space="preserve">                       254.1 </w:t>
                            </w:r>
                          </w:p>
                        </w:tc>
                      </w:tr>
                    </w:tbl>
                    <w:p w14:paraId="34773E8A" w14:textId="7201490D" w:rsidR="00B43A9E" w:rsidRDefault="00B43A9E"/>
                  </w:txbxContent>
                </v:textbox>
                <w10:wrap type="square" anchorx="margin"/>
              </v:shape>
            </w:pict>
          </mc:Fallback>
        </mc:AlternateContent>
      </w:r>
    </w:p>
    <w:p w14:paraId="2CFBB388" w14:textId="0E9128EC" w:rsidR="00466D79" w:rsidRPr="00456405" w:rsidRDefault="00466D79" w:rsidP="00730709">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726848" behindDoc="0" locked="0" layoutInCell="1" allowOverlap="1" wp14:anchorId="3C9A3144" wp14:editId="71DB9DC7">
                <wp:simplePos x="0" y="0"/>
                <wp:positionH relativeFrom="margin">
                  <wp:align>right</wp:align>
                </wp:positionH>
                <wp:positionV relativeFrom="paragraph">
                  <wp:posOffset>0</wp:posOffset>
                </wp:positionV>
                <wp:extent cx="6172200" cy="1404620"/>
                <wp:effectExtent l="0" t="0" r="0" b="0"/>
                <wp:wrapSquare wrapText="bothSides"/>
                <wp:docPr id="1730314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774"/>
                              <w:gridCol w:w="951"/>
                              <w:gridCol w:w="951"/>
                              <w:gridCol w:w="951"/>
                              <w:gridCol w:w="951"/>
                              <w:gridCol w:w="951"/>
                              <w:gridCol w:w="951"/>
                              <w:gridCol w:w="953"/>
                            </w:tblGrid>
                            <w:tr w:rsidR="00F00A1A" w:rsidRPr="00F00A1A" w14:paraId="6011CF8C" w14:textId="77777777" w:rsidTr="00F00A1A">
                              <w:trPr>
                                <w:trHeight w:val="336"/>
                              </w:trPr>
                              <w:tc>
                                <w:tcPr>
                                  <w:tcW w:w="5000" w:type="pct"/>
                                  <w:gridSpan w:val="8"/>
                                  <w:tcBorders>
                                    <w:top w:val="nil"/>
                                    <w:left w:val="nil"/>
                                    <w:bottom w:val="nil"/>
                                    <w:right w:val="nil"/>
                                  </w:tcBorders>
                                  <w:noWrap/>
                                  <w:vAlign w:val="bottom"/>
                                  <w:hideMark/>
                                </w:tcPr>
                                <w:p w14:paraId="74544617"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Alibaba Group Holding Limited (</w:t>
                                  </w:r>
                                  <w:r w:rsidRPr="00F00A1A">
                                    <w:rPr>
                                      <w:rFonts w:ascii="Cambria" w:eastAsia="Times New Roman" w:hAnsi="Cambria" w:cs="Arial"/>
                                      <w:b/>
                                      <w:bCs/>
                                      <w:color w:val="000000"/>
                                      <w:kern w:val="0"/>
                                      <w:sz w:val="14"/>
                                      <w:szCs w:val="14"/>
                                      <w:lang w:eastAsia="en-IN"/>
                                      <w14:ligatures w14:val="none"/>
                                    </w:rPr>
                                    <w:t>NYSE:BABA) &gt; Financials &gt; Cash Flow</w:t>
                                  </w:r>
                                </w:p>
                              </w:tc>
                            </w:tr>
                            <w:tr w:rsidR="00F00A1A" w:rsidRPr="00F00A1A" w14:paraId="50AC9295" w14:textId="77777777" w:rsidTr="00F00A1A">
                              <w:trPr>
                                <w:trHeight w:val="204"/>
                              </w:trPr>
                              <w:tc>
                                <w:tcPr>
                                  <w:tcW w:w="1471" w:type="pct"/>
                                  <w:tcBorders>
                                    <w:top w:val="nil"/>
                                    <w:left w:val="nil"/>
                                    <w:bottom w:val="nil"/>
                                    <w:right w:val="nil"/>
                                  </w:tcBorders>
                                  <w:shd w:val="clear" w:color="000000" w:fill="003366"/>
                                  <w:noWrap/>
                                  <w:vAlign w:val="bottom"/>
                                  <w:hideMark/>
                                </w:tcPr>
                                <w:p w14:paraId="26541CFB"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Cash Flow</w:t>
                                  </w:r>
                                </w:p>
                              </w:tc>
                              <w:tc>
                                <w:tcPr>
                                  <w:tcW w:w="504" w:type="pct"/>
                                  <w:tcBorders>
                                    <w:top w:val="nil"/>
                                    <w:left w:val="nil"/>
                                    <w:bottom w:val="nil"/>
                                    <w:right w:val="nil"/>
                                  </w:tcBorders>
                                  <w:shd w:val="clear" w:color="000000" w:fill="003366"/>
                                  <w:noWrap/>
                                  <w:vAlign w:val="bottom"/>
                                  <w:hideMark/>
                                </w:tcPr>
                                <w:p w14:paraId="03E88AFA"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0B28385E"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210733AF"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2C5689A1"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0EEAC327"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5F4D6497"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3718E240"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r>
                            <w:tr w:rsidR="00F00A1A" w:rsidRPr="00F00A1A" w14:paraId="5F533056" w14:textId="77777777" w:rsidTr="00F00A1A">
                              <w:trPr>
                                <w:trHeight w:val="612"/>
                              </w:trPr>
                              <w:tc>
                                <w:tcPr>
                                  <w:tcW w:w="1471" w:type="pct"/>
                                  <w:tcBorders>
                                    <w:top w:val="nil"/>
                                    <w:left w:val="nil"/>
                                    <w:bottom w:val="nil"/>
                                    <w:right w:val="nil"/>
                                  </w:tcBorders>
                                  <w:shd w:val="clear" w:color="000000" w:fill="F0F0DC"/>
                                  <w:vAlign w:val="bottom"/>
                                  <w:hideMark/>
                                </w:tcPr>
                                <w:p w14:paraId="07803619"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For the Fiscal Period Ending</w:t>
                                  </w:r>
                                </w:p>
                              </w:tc>
                              <w:tc>
                                <w:tcPr>
                                  <w:tcW w:w="504" w:type="pct"/>
                                  <w:tcBorders>
                                    <w:top w:val="nil"/>
                                    <w:left w:val="nil"/>
                                    <w:bottom w:val="nil"/>
                                    <w:right w:val="nil"/>
                                  </w:tcBorders>
                                  <w:shd w:val="clear" w:color="000000" w:fill="F0F0DC"/>
                                  <w:vAlign w:val="bottom"/>
                                  <w:hideMark/>
                                </w:tcPr>
                                <w:p w14:paraId="5CA819F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Mar-31-2019</w:t>
                                  </w:r>
                                </w:p>
                              </w:tc>
                              <w:tc>
                                <w:tcPr>
                                  <w:tcW w:w="504" w:type="pct"/>
                                  <w:tcBorders>
                                    <w:top w:val="nil"/>
                                    <w:left w:val="nil"/>
                                    <w:bottom w:val="nil"/>
                                    <w:right w:val="nil"/>
                                  </w:tcBorders>
                                  <w:shd w:val="clear" w:color="000000" w:fill="F0F0DC"/>
                                  <w:vAlign w:val="bottom"/>
                                  <w:hideMark/>
                                </w:tcPr>
                                <w:p w14:paraId="37FA3F5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Mar-31-2020</w:t>
                                  </w:r>
                                </w:p>
                              </w:tc>
                              <w:tc>
                                <w:tcPr>
                                  <w:tcW w:w="504" w:type="pct"/>
                                  <w:tcBorders>
                                    <w:top w:val="nil"/>
                                    <w:left w:val="nil"/>
                                    <w:bottom w:val="nil"/>
                                    <w:right w:val="nil"/>
                                  </w:tcBorders>
                                  <w:shd w:val="clear" w:color="000000" w:fill="F0F0DC"/>
                                  <w:vAlign w:val="bottom"/>
                                  <w:hideMark/>
                                </w:tcPr>
                                <w:p w14:paraId="165C3E6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Mar-31-2021</w:t>
                                  </w:r>
                                </w:p>
                              </w:tc>
                              <w:tc>
                                <w:tcPr>
                                  <w:tcW w:w="504" w:type="pct"/>
                                  <w:tcBorders>
                                    <w:top w:val="nil"/>
                                    <w:left w:val="nil"/>
                                    <w:bottom w:val="nil"/>
                                    <w:right w:val="nil"/>
                                  </w:tcBorders>
                                  <w:shd w:val="clear" w:color="000000" w:fill="F0F0DC"/>
                                  <w:vAlign w:val="bottom"/>
                                  <w:hideMark/>
                                </w:tcPr>
                                <w:p w14:paraId="6BD1BFF0"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Mar-31-2022</w:t>
                                  </w:r>
                                </w:p>
                              </w:tc>
                              <w:tc>
                                <w:tcPr>
                                  <w:tcW w:w="504" w:type="pct"/>
                                  <w:tcBorders>
                                    <w:top w:val="nil"/>
                                    <w:left w:val="nil"/>
                                    <w:bottom w:val="nil"/>
                                    <w:right w:val="nil"/>
                                  </w:tcBorders>
                                  <w:shd w:val="clear" w:color="000000" w:fill="F0F0DC"/>
                                  <w:vAlign w:val="bottom"/>
                                  <w:hideMark/>
                                </w:tcPr>
                                <w:p w14:paraId="68BD5CE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Mar-31-2023</w:t>
                                  </w:r>
                                </w:p>
                              </w:tc>
                              <w:tc>
                                <w:tcPr>
                                  <w:tcW w:w="504" w:type="pct"/>
                                  <w:tcBorders>
                                    <w:top w:val="nil"/>
                                    <w:left w:val="nil"/>
                                    <w:bottom w:val="nil"/>
                                    <w:right w:val="nil"/>
                                  </w:tcBorders>
                                  <w:shd w:val="clear" w:color="000000" w:fill="F0F0DC"/>
                                  <w:vAlign w:val="bottom"/>
                                  <w:hideMark/>
                                </w:tcPr>
                                <w:p w14:paraId="43A33BA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Mar-31-2024</w:t>
                                  </w:r>
                                </w:p>
                              </w:tc>
                              <w:tc>
                                <w:tcPr>
                                  <w:tcW w:w="504" w:type="pct"/>
                                  <w:tcBorders>
                                    <w:top w:val="nil"/>
                                    <w:left w:val="nil"/>
                                    <w:bottom w:val="nil"/>
                                    <w:right w:val="nil"/>
                                  </w:tcBorders>
                                  <w:shd w:val="clear" w:color="000000" w:fill="F0F0DC"/>
                                  <w:vAlign w:val="bottom"/>
                                  <w:hideMark/>
                                </w:tcPr>
                                <w:p w14:paraId="6835498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LTM</w:t>
                                  </w:r>
                                  <w:r w:rsidRPr="00F00A1A">
                                    <w:rPr>
                                      <w:rFonts w:ascii="Cambria" w:eastAsia="Times New Roman" w:hAnsi="Cambria" w:cs="Arial"/>
                                      <w:b/>
                                      <w:bCs/>
                                      <w:color w:val="000000"/>
                                      <w:kern w:val="0"/>
                                      <w:sz w:val="14"/>
                                      <w:szCs w:val="14"/>
                                      <w:lang w:eastAsia="en-IN"/>
                                      <w14:ligatures w14:val="none"/>
                                    </w:rPr>
                                    <w:br/>
                                    <w:t>12 months</w:t>
                                  </w:r>
                                  <w:r w:rsidRPr="00F00A1A">
                                    <w:rPr>
                                      <w:rFonts w:ascii="Cambria" w:eastAsia="Times New Roman" w:hAnsi="Cambria" w:cs="Arial"/>
                                      <w:b/>
                                      <w:bCs/>
                                      <w:color w:val="000000"/>
                                      <w:kern w:val="0"/>
                                      <w:sz w:val="14"/>
                                      <w:szCs w:val="14"/>
                                      <w:lang w:eastAsia="en-IN"/>
                                      <w14:ligatures w14:val="none"/>
                                    </w:rPr>
                                    <w:br/>
                                    <w:t>Dec-31-2024</w:t>
                                  </w:r>
                                </w:p>
                              </w:tc>
                            </w:tr>
                            <w:tr w:rsidR="00F00A1A" w:rsidRPr="00F00A1A" w14:paraId="611382A6" w14:textId="77777777" w:rsidTr="00F00A1A">
                              <w:trPr>
                                <w:trHeight w:val="204"/>
                              </w:trPr>
                              <w:tc>
                                <w:tcPr>
                                  <w:tcW w:w="1471" w:type="pct"/>
                                  <w:tcBorders>
                                    <w:top w:val="nil"/>
                                    <w:left w:val="nil"/>
                                    <w:bottom w:val="nil"/>
                                    <w:right w:val="nil"/>
                                  </w:tcBorders>
                                  <w:shd w:val="clear" w:color="000000" w:fill="F0F0DC"/>
                                  <w:vAlign w:val="bottom"/>
                                  <w:hideMark/>
                                </w:tcPr>
                                <w:p w14:paraId="15724117" w14:textId="77777777" w:rsidR="00F00A1A" w:rsidRPr="00F00A1A" w:rsidRDefault="00F00A1A" w:rsidP="00F00A1A">
                                  <w:pPr>
                                    <w:spacing w:after="0" w:line="240" w:lineRule="auto"/>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Currency</w:t>
                                  </w:r>
                                </w:p>
                              </w:tc>
                              <w:tc>
                                <w:tcPr>
                                  <w:tcW w:w="504" w:type="pct"/>
                                  <w:tcBorders>
                                    <w:top w:val="nil"/>
                                    <w:left w:val="nil"/>
                                    <w:bottom w:val="nil"/>
                                    <w:right w:val="nil"/>
                                  </w:tcBorders>
                                  <w:shd w:val="clear" w:color="000000" w:fill="F0F0DC"/>
                                  <w:vAlign w:val="bottom"/>
                                  <w:hideMark/>
                                </w:tcPr>
                                <w:p w14:paraId="5B37CDC5"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6DDE42C"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9872B27"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218F2F5E"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D18E578"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F27E88A"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910B59A"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r>
                            <w:tr w:rsidR="00F00A1A" w:rsidRPr="00F00A1A" w14:paraId="0F97BCBF" w14:textId="77777777" w:rsidTr="00F00A1A">
                              <w:trPr>
                                <w:trHeight w:val="204"/>
                              </w:trPr>
                              <w:tc>
                                <w:tcPr>
                                  <w:tcW w:w="1471" w:type="pct"/>
                                  <w:tcBorders>
                                    <w:top w:val="nil"/>
                                    <w:left w:val="nil"/>
                                    <w:bottom w:val="nil"/>
                                    <w:right w:val="nil"/>
                                  </w:tcBorders>
                                  <w:noWrap/>
                                  <w:hideMark/>
                                </w:tcPr>
                                <w:p w14:paraId="448812DD"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Net Income</w:t>
                                  </w:r>
                                </w:p>
                              </w:tc>
                              <w:tc>
                                <w:tcPr>
                                  <w:tcW w:w="504" w:type="pct"/>
                                  <w:tcBorders>
                                    <w:top w:val="nil"/>
                                    <w:left w:val="nil"/>
                                    <w:bottom w:val="nil"/>
                                    <w:right w:val="nil"/>
                                  </w:tcBorders>
                                  <w:hideMark/>
                                </w:tcPr>
                                <w:p w14:paraId="33488C17"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13.1 </w:t>
                                  </w:r>
                                </w:p>
                              </w:tc>
                              <w:tc>
                                <w:tcPr>
                                  <w:tcW w:w="504" w:type="pct"/>
                                  <w:tcBorders>
                                    <w:top w:val="nil"/>
                                    <w:left w:val="nil"/>
                                    <w:bottom w:val="nil"/>
                                    <w:right w:val="nil"/>
                                  </w:tcBorders>
                                  <w:hideMark/>
                                </w:tcPr>
                                <w:p w14:paraId="0133261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21.1 </w:t>
                                  </w:r>
                                </w:p>
                              </w:tc>
                              <w:tc>
                                <w:tcPr>
                                  <w:tcW w:w="504" w:type="pct"/>
                                  <w:tcBorders>
                                    <w:top w:val="nil"/>
                                    <w:left w:val="nil"/>
                                    <w:bottom w:val="nil"/>
                                    <w:right w:val="nil"/>
                                  </w:tcBorders>
                                  <w:hideMark/>
                                </w:tcPr>
                                <w:p w14:paraId="22495B7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23.0 </w:t>
                                  </w:r>
                                </w:p>
                              </w:tc>
                              <w:tc>
                                <w:tcPr>
                                  <w:tcW w:w="504" w:type="pct"/>
                                  <w:tcBorders>
                                    <w:top w:val="nil"/>
                                    <w:left w:val="nil"/>
                                    <w:bottom w:val="nil"/>
                                    <w:right w:val="nil"/>
                                  </w:tcBorders>
                                  <w:hideMark/>
                                </w:tcPr>
                                <w:p w14:paraId="7346713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9.8 </w:t>
                                  </w:r>
                                </w:p>
                              </w:tc>
                              <w:tc>
                                <w:tcPr>
                                  <w:tcW w:w="504" w:type="pct"/>
                                  <w:tcBorders>
                                    <w:top w:val="nil"/>
                                    <w:left w:val="nil"/>
                                    <w:bottom w:val="nil"/>
                                    <w:right w:val="nil"/>
                                  </w:tcBorders>
                                  <w:hideMark/>
                                </w:tcPr>
                                <w:p w14:paraId="70715A6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10.6 </w:t>
                                  </w:r>
                                </w:p>
                              </w:tc>
                              <w:tc>
                                <w:tcPr>
                                  <w:tcW w:w="504" w:type="pct"/>
                                  <w:tcBorders>
                                    <w:top w:val="nil"/>
                                    <w:left w:val="nil"/>
                                    <w:bottom w:val="nil"/>
                                    <w:right w:val="nil"/>
                                  </w:tcBorders>
                                  <w:hideMark/>
                                </w:tcPr>
                                <w:p w14:paraId="47A5EB5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11.1 </w:t>
                                  </w:r>
                                </w:p>
                              </w:tc>
                              <w:tc>
                                <w:tcPr>
                                  <w:tcW w:w="504" w:type="pct"/>
                                  <w:tcBorders>
                                    <w:top w:val="nil"/>
                                    <w:left w:val="nil"/>
                                    <w:bottom w:val="nil"/>
                                    <w:right w:val="nil"/>
                                  </w:tcBorders>
                                  <w:hideMark/>
                                </w:tcPr>
                                <w:p w14:paraId="4343802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16.6 </w:t>
                                  </w:r>
                                </w:p>
                              </w:tc>
                            </w:tr>
                            <w:tr w:rsidR="00F00A1A" w:rsidRPr="00F00A1A" w14:paraId="0C07CB82" w14:textId="77777777" w:rsidTr="00F00A1A">
                              <w:trPr>
                                <w:trHeight w:val="204"/>
                              </w:trPr>
                              <w:tc>
                                <w:tcPr>
                                  <w:tcW w:w="1471" w:type="pct"/>
                                  <w:tcBorders>
                                    <w:top w:val="nil"/>
                                    <w:left w:val="nil"/>
                                    <w:bottom w:val="nil"/>
                                    <w:right w:val="nil"/>
                                  </w:tcBorders>
                                  <w:noWrap/>
                                  <w:hideMark/>
                                </w:tcPr>
                                <w:p w14:paraId="4B30B2CB"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Depreciation &amp; Amort.</w:t>
                                  </w:r>
                                </w:p>
                              </w:tc>
                              <w:tc>
                                <w:tcPr>
                                  <w:tcW w:w="504" w:type="pct"/>
                                  <w:tcBorders>
                                    <w:top w:val="nil"/>
                                    <w:left w:val="nil"/>
                                    <w:bottom w:val="nil"/>
                                    <w:right w:val="nil"/>
                                  </w:tcBorders>
                                  <w:hideMark/>
                                </w:tcPr>
                                <w:p w14:paraId="2647F38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315778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2.9 </w:t>
                                  </w:r>
                                </w:p>
                              </w:tc>
                              <w:tc>
                                <w:tcPr>
                                  <w:tcW w:w="504" w:type="pct"/>
                                  <w:tcBorders>
                                    <w:top w:val="nil"/>
                                    <w:left w:val="nil"/>
                                    <w:bottom w:val="nil"/>
                                    <w:right w:val="nil"/>
                                  </w:tcBorders>
                                  <w:hideMark/>
                                </w:tcPr>
                                <w:p w14:paraId="03AF53D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4.0 </w:t>
                                  </w:r>
                                </w:p>
                              </w:tc>
                              <w:tc>
                                <w:tcPr>
                                  <w:tcW w:w="504" w:type="pct"/>
                                  <w:tcBorders>
                                    <w:top w:val="nil"/>
                                    <w:left w:val="nil"/>
                                    <w:bottom w:val="nil"/>
                                    <w:right w:val="nil"/>
                                  </w:tcBorders>
                                  <w:hideMark/>
                                </w:tcPr>
                                <w:p w14:paraId="7830B44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c>
                                <w:tcPr>
                                  <w:tcW w:w="504" w:type="pct"/>
                                  <w:tcBorders>
                                    <w:top w:val="nil"/>
                                    <w:left w:val="nil"/>
                                    <w:bottom w:val="nil"/>
                                    <w:right w:val="nil"/>
                                  </w:tcBorders>
                                  <w:hideMark/>
                                </w:tcPr>
                                <w:p w14:paraId="7F80D8B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4.0 </w:t>
                                  </w:r>
                                </w:p>
                              </w:tc>
                              <w:tc>
                                <w:tcPr>
                                  <w:tcW w:w="504" w:type="pct"/>
                                  <w:tcBorders>
                                    <w:top w:val="nil"/>
                                    <w:left w:val="nil"/>
                                    <w:bottom w:val="nil"/>
                                    <w:right w:val="nil"/>
                                  </w:tcBorders>
                                  <w:hideMark/>
                                </w:tcPr>
                                <w:p w14:paraId="0D06C4E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3.7 </w:t>
                                  </w:r>
                                </w:p>
                              </w:tc>
                              <w:tc>
                                <w:tcPr>
                                  <w:tcW w:w="504" w:type="pct"/>
                                  <w:tcBorders>
                                    <w:top w:val="nil"/>
                                    <w:left w:val="nil"/>
                                    <w:bottom w:val="nil"/>
                                    <w:right w:val="nil"/>
                                  </w:tcBorders>
                                  <w:hideMark/>
                                </w:tcPr>
                                <w:p w14:paraId="57BD16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3.7 </w:t>
                                  </w:r>
                                </w:p>
                              </w:tc>
                            </w:tr>
                            <w:tr w:rsidR="00F00A1A" w:rsidRPr="00F00A1A" w14:paraId="175246DF" w14:textId="77777777" w:rsidTr="00F00A1A">
                              <w:trPr>
                                <w:trHeight w:val="204"/>
                              </w:trPr>
                              <w:tc>
                                <w:tcPr>
                                  <w:tcW w:w="1471" w:type="pct"/>
                                  <w:tcBorders>
                                    <w:top w:val="nil"/>
                                    <w:left w:val="nil"/>
                                    <w:bottom w:val="nil"/>
                                    <w:right w:val="nil"/>
                                  </w:tcBorders>
                                  <w:noWrap/>
                                  <w:hideMark/>
                                </w:tcPr>
                                <w:p w14:paraId="2216FEF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Amort. of Goodwill and Intangibles</w:t>
                                  </w:r>
                                </w:p>
                              </w:tc>
                              <w:tc>
                                <w:tcPr>
                                  <w:tcW w:w="504" w:type="pct"/>
                                  <w:tcBorders>
                                    <w:top w:val="nil"/>
                                    <w:left w:val="nil"/>
                                    <w:bottom w:val="nil"/>
                                    <w:right w:val="nil"/>
                                  </w:tcBorders>
                                  <w:hideMark/>
                                </w:tcPr>
                                <w:p w14:paraId="673F065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77E2360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3C408EC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13B149A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3.2 </w:t>
                                  </w:r>
                                </w:p>
                              </w:tc>
                              <w:tc>
                                <w:tcPr>
                                  <w:tcW w:w="504" w:type="pct"/>
                                  <w:tcBorders>
                                    <w:top w:val="nil"/>
                                    <w:left w:val="nil"/>
                                    <w:bottom w:val="nil"/>
                                    <w:right w:val="nil"/>
                                  </w:tcBorders>
                                  <w:hideMark/>
                                </w:tcPr>
                                <w:p w14:paraId="136410D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2.8 </w:t>
                                  </w:r>
                                </w:p>
                              </w:tc>
                              <w:tc>
                                <w:tcPr>
                                  <w:tcW w:w="504" w:type="pct"/>
                                  <w:tcBorders>
                                    <w:top w:val="nil"/>
                                    <w:left w:val="nil"/>
                                    <w:bottom w:val="nil"/>
                                    <w:right w:val="nil"/>
                                  </w:tcBorders>
                                  <w:hideMark/>
                                </w:tcPr>
                                <w:p w14:paraId="00E7F62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c>
                                <w:tcPr>
                                  <w:tcW w:w="504" w:type="pct"/>
                                  <w:tcBorders>
                                    <w:top w:val="nil"/>
                                    <w:left w:val="nil"/>
                                    <w:bottom w:val="nil"/>
                                    <w:right w:val="nil"/>
                                  </w:tcBorders>
                                  <w:hideMark/>
                                </w:tcPr>
                                <w:p w14:paraId="5DDA35E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r>
                            <w:tr w:rsidR="00F00A1A" w:rsidRPr="00F00A1A" w14:paraId="0982FFDA" w14:textId="77777777" w:rsidTr="00F00A1A">
                              <w:trPr>
                                <w:trHeight w:val="204"/>
                              </w:trPr>
                              <w:tc>
                                <w:tcPr>
                                  <w:tcW w:w="1471" w:type="pct"/>
                                  <w:tcBorders>
                                    <w:top w:val="nil"/>
                                    <w:left w:val="nil"/>
                                    <w:bottom w:val="nil"/>
                                    <w:right w:val="nil"/>
                                  </w:tcBorders>
                                  <w:noWrap/>
                                  <w:hideMark/>
                                </w:tcPr>
                                <w:p w14:paraId="4A758C3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Depreciation &amp; Amort., Total</w:t>
                                  </w:r>
                                </w:p>
                              </w:tc>
                              <w:tc>
                                <w:tcPr>
                                  <w:tcW w:w="504" w:type="pct"/>
                                  <w:tcBorders>
                                    <w:top w:val="single" w:sz="4" w:space="0" w:color="000000"/>
                                    <w:left w:val="nil"/>
                                    <w:bottom w:val="nil"/>
                                    <w:right w:val="nil"/>
                                  </w:tcBorders>
                                  <w:hideMark/>
                                </w:tcPr>
                                <w:p w14:paraId="1A8FE99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5.5 </w:t>
                                  </w:r>
                                </w:p>
                              </w:tc>
                              <w:tc>
                                <w:tcPr>
                                  <w:tcW w:w="504" w:type="pct"/>
                                  <w:tcBorders>
                                    <w:top w:val="single" w:sz="4" w:space="0" w:color="000000"/>
                                    <w:left w:val="nil"/>
                                    <w:bottom w:val="nil"/>
                                    <w:right w:val="nil"/>
                                  </w:tcBorders>
                                  <w:hideMark/>
                                </w:tcPr>
                                <w:p w14:paraId="1E017C7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6.0 </w:t>
                                  </w:r>
                                </w:p>
                              </w:tc>
                              <w:tc>
                                <w:tcPr>
                                  <w:tcW w:w="504" w:type="pct"/>
                                  <w:tcBorders>
                                    <w:top w:val="single" w:sz="4" w:space="0" w:color="000000"/>
                                    <w:left w:val="nil"/>
                                    <w:bottom w:val="nil"/>
                                    <w:right w:val="nil"/>
                                  </w:tcBorders>
                                  <w:hideMark/>
                                </w:tcPr>
                                <w:p w14:paraId="3A10613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7.3 </w:t>
                                  </w:r>
                                </w:p>
                              </w:tc>
                              <w:tc>
                                <w:tcPr>
                                  <w:tcW w:w="504" w:type="pct"/>
                                  <w:tcBorders>
                                    <w:top w:val="single" w:sz="4" w:space="0" w:color="000000"/>
                                    <w:left w:val="nil"/>
                                    <w:bottom w:val="nil"/>
                                    <w:right w:val="nil"/>
                                  </w:tcBorders>
                                  <w:hideMark/>
                                </w:tcPr>
                                <w:p w14:paraId="216EEE4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7.6 </w:t>
                                  </w:r>
                                </w:p>
                              </w:tc>
                              <w:tc>
                                <w:tcPr>
                                  <w:tcW w:w="504" w:type="pct"/>
                                  <w:tcBorders>
                                    <w:top w:val="single" w:sz="4" w:space="0" w:color="000000"/>
                                    <w:left w:val="nil"/>
                                    <w:bottom w:val="nil"/>
                                    <w:right w:val="nil"/>
                                  </w:tcBorders>
                                  <w:hideMark/>
                                </w:tcPr>
                                <w:p w14:paraId="37B7C51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6.8 </w:t>
                                  </w:r>
                                </w:p>
                              </w:tc>
                              <w:tc>
                                <w:tcPr>
                                  <w:tcW w:w="504" w:type="pct"/>
                                  <w:tcBorders>
                                    <w:top w:val="single" w:sz="4" w:space="0" w:color="000000"/>
                                    <w:left w:val="nil"/>
                                    <w:bottom w:val="nil"/>
                                    <w:right w:val="nil"/>
                                  </w:tcBorders>
                                  <w:hideMark/>
                                </w:tcPr>
                                <w:p w14:paraId="20114FD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6.2 </w:t>
                                  </w:r>
                                </w:p>
                              </w:tc>
                              <w:tc>
                                <w:tcPr>
                                  <w:tcW w:w="504" w:type="pct"/>
                                  <w:tcBorders>
                                    <w:top w:val="single" w:sz="4" w:space="0" w:color="000000"/>
                                    <w:left w:val="nil"/>
                                    <w:bottom w:val="nil"/>
                                    <w:right w:val="nil"/>
                                  </w:tcBorders>
                                  <w:hideMark/>
                                </w:tcPr>
                                <w:p w14:paraId="533092F7"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5.8 </w:t>
                                  </w:r>
                                </w:p>
                              </w:tc>
                            </w:tr>
                            <w:tr w:rsidR="00F00A1A" w:rsidRPr="00F00A1A" w14:paraId="3927EE1D" w14:textId="77777777" w:rsidTr="00F00A1A">
                              <w:trPr>
                                <w:trHeight w:val="204"/>
                              </w:trPr>
                              <w:tc>
                                <w:tcPr>
                                  <w:tcW w:w="1471" w:type="pct"/>
                                  <w:tcBorders>
                                    <w:top w:val="nil"/>
                                    <w:left w:val="nil"/>
                                    <w:bottom w:val="nil"/>
                                    <w:right w:val="nil"/>
                                  </w:tcBorders>
                                  <w:noWrap/>
                                  <w:hideMark/>
                                </w:tcPr>
                                <w:p w14:paraId="019DF3D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Amortization</w:t>
                                  </w:r>
                                </w:p>
                              </w:tc>
                              <w:tc>
                                <w:tcPr>
                                  <w:tcW w:w="504" w:type="pct"/>
                                  <w:tcBorders>
                                    <w:top w:val="nil"/>
                                    <w:left w:val="nil"/>
                                    <w:bottom w:val="nil"/>
                                    <w:right w:val="nil"/>
                                  </w:tcBorders>
                                  <w:hideMark/>
                                </w:tcPr>
                                <w:p w14:paraId="239F2D1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2C9153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5E2FB9F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67FD790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217F5B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6C3ABCA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24645BF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462E03FF" w14:textId="77777777" w:rsidTr="00F00A1A">
                              <w:trPr>
                                <w:trHeight w:val="204"/>
                              </w:trPr>
                              <w:tc>
                                <w:tcPr>
                                  <w:tcW w:w="1471" w:type="pct"/>
                                  <w:tcBorders>
                                    <w:top w:val="nil"/>
                                    <w:left w:val="nil"/>
                                    <w:bottom w:val="nil"/>
                                    <w:right w:val="nil"/>
                                  </w:tcBorders>
                                  <w:noWrap/>
                                  <w:hideMark/>
                                </w:tcPr>
                                <w:p w14:paraId="4BE6A5E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(Gain) Loss From Sale Of Assets</w:t>
                                  </w:r>
                                </w:p>
                              </w:tc>
                              <w:tc>
                                <w:tcPr>
                                  <w:tcW w:w="504" w:type="pct"/>
                                  <w:tcBorders>
                                    <w:top w:val="nil"/>
                                    <w:left w:val="nil"/>
                                    <w:bottom w:val="nil"/>
                                    <w:right w:val="nil"/>
                                  </w:tcBorders>
                                  <w:hideMark/>
                                </w:tcPr>
                                <w:p w14:paraId="6A7760D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00C9F9D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c>
                                <w:tcPr>
                                  <w:tcW w:w="504" w:type="pct"/>
                                  <w:tcBorders>
                                    <w:top w:val="nil"/>
                                    <w:left w:val="nil"/>
                                    <w:bottom w:val="nil"/>
                                    <w:right w:val="nil"/>
                                  </w:tcBorders>
                                  <w:hideMark/>
                                </w:tcPr>
                                <w:p w14:paraId="5F832EC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46A6A1E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19DC16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C1280B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CE19C1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r>
                            <w:tr w:rsidR="00F00A1A" w:rsidRPr="00F00A1A" w14:paraId="0FF02BD1" w14:textId="77777777" w:rsidTr="00F00A1A">
                              <w:trPr>
                                <w:trHeight w:val="204"/>
                              </w:trPr>
                              <w:tc>
                                <w:tcPr>
                                  <w:tcW w:w="1471" w:type="pct"/>
                                  <w:tcBorders>
                                    <w:top w:val="nil"/>
                                    <w:left w:val="nil"/>
                                    <w:bottom w:val="nil"/>
                                    <w:right w:val="nil"/>
                                  </w:tcBorders>
                                  <w:noWrap/>
                                  <w:hideMark/>
                                </w:tcPr>
                                <w:p w14:paraId="6E5C237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(Gain) Loss On Sale Of Invest.</w:t>
                                  </w:r>
                                </w:p>
                              </w:tc>
                              <w:tc>
                                <w:tcPr>
                                  <w:tcW w:w="504" w:type="pct"/>
                                  <w:tcBorders>
                                    <w:top w:val="nil"/>
                                    <w:left w:val="nil"/>
                                    <w:bottom w:val="nil"/>
                                    <w:right w:val="nil"/>
                                  </w:tcBorders>
                                  <w:hideMark/>
                                </w:tcPr>
                                <w:p w14:paraId="5FC97BD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4FA20CB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 </w:t>
                                  </w:r>
                                </w:p>
                              </w:tc>
                              <w:tc>
                                <w:tcPr>
                                  <w:tcW w:w="504" w:type="pct"/>
                                  <w:tcBorders>
                                    <w:top w:val="nil"/>
                                    <w:left w:val="nil"/>
                                    <w:bottom w:val="nil"/>
                                    <w:right w:val="nil"/>
                                  </w:tcBorders>
                                  <w:hideMark/>
                                </w:tcPr>
                                <w:p w14:paraId="16CF18E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(9.1)  </w:t>
                                  </w:r>
                                </w:p>
                              </w:tc>
                              <w:tc>
                                <w:tcPr>
                                  <w:tcW w:w="504" w:type="pct"/>
                                  <w:tcBorders>
                                    <w:top w:val="nil"/>
                                    <w:left w:val="nil"/>
                                    <w:bottom w:val="nil"/>
                                    <w:right w:val="nil"/>
                                  </w:tcBorders>
                                  <w:hideMark/>
                                </w:tcPr>
                                <w:p w14:paraId="21FC48B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4.6 </w:t>
                                  </w:r>
                                </w:p>
                              </w:tc>
                              <w:tc>
                                <w:tcPr>
                                  <w:tcW w:w="504" w:type="pct"/>
                                  <w:tcBorders>
                                    <w:top w:val="nil"/>
                                    <w:left w:val="nil"/>
                                    <w:bottom w:val="nil"/>
                                    <w:right w:val="nil"/>
                                  </w:tcBorders>
                                  <w:hideMark/>
                                </w:tcPr>
                                <w:p w14:paraId="667F522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4.1 </w:t>
                                  </w:r>
                                </w:p>
                              </w:tc>
                              <w:tc>
                                <w:tcPr>
                                  <w:tcW w:w="504" w:type="pct"/>
                                  <w:tcBorders>
                                    <w:top w:val="nil"/>
                                    <w:left w:val="nil"/>
                                    <w:bottom w:val="nil"/>
                                    <w:right w:val="nil"/>
                                  </w:tcBorders>
                                  <w:hideMark/>
                                </w:tcPr>
                                <w:p w14:paraId="3D80682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c>
                                <w:tcPr>
                                  <w:tcW w:w="504" w:type="pct"/>
                                  <w:tcBorders>
                                    <w:top w:val="nil"/>
                                    <w:left w:val="nil"/>
                                    <w:bottom w:val="nil"/>
                                    <w:right w:val="nil"/>
                                  </w:tcBorders>
                                  <w:hideMark/>
                                </w:tcPr>
                                <w:p w14:paraId="022992C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r>
                            <w:tr w:rsidR="00F00A1A" w:rsidRPr="00F00A1A" w14:paraId="1AFF9FF9" w14:textId="77777777" w:rsidTr="00F00A1A">
                              <w:trPr>
                                <w:trHeight w:val="204"/>
                              </w:trPr>
                              <w:tc>
                                <w:tcPr>
                                  <w:tcW w:w="1471" w:type="pct"/>
                                  <w:tcBorders>
                                    <w:top w:val="nil"/>
                                    <w:left w:val="nil"/>
                                    <w:bottom w:val="nil"/>
                                    <w:right w:val="nil"/>
                                  </w:tcBorders>
                                  <w:noWrap/>
                                  <w:hideMark/>
                                </w:tcPr>
                                <w:p w14:paraId="0BCDB6C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Asset </w:t>
                                  </w:r>
                                  <w:r w:rsidRPr="00F00A1A">
                                    <w:rPr>
                                      <w:rFonts w:ascii="Cambria" w:eastAsia="Times New Roman" w:hAnsi="Cambria" w:cs="Arial"/>
                                      <w:color w:val="000000"/>
                                      <w:kern w:val="0"/>
                                      <w:sz w:val="14"/>
                                      <w:szCs w:val="14"/>
                                      <w:lang w:eastAsia="en-IN"/>
                                      <w14:ligatures w14:val="none"/>
                                    </w:rPr>
                                    <w:t>Writedown &amp; Restructuring Costs</w:t>
                                  </w:r>
                                </w:p>
                              </w:tc>
                              <w:tc>
                                <w:tcPr>
                                  <w:tcW w:w="504" w:type="pct"/>
                                  <w:tcBorders>
                                    <w:top w:val="nil"/>
                                    <w:left w:val="nil"/>
                                    <w:bottom w:val="nil"/>
                                    <w:right w:val="nil"/>
                                  </w:tcBorders>
                                  <w:hideMark/>
                                </w:tcPr>
                                <w:p w14:paraId="6DE92C6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25597C4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7500A7C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353223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4.3 </w:t>
                                  </w:r>
                                </w:p>
                              </w:tc>
                              <w:tc>
                                <w:tcPr>
                                  <w:tcW w:w="504" w:type="pct"/>
                                  <w:tcBorders>
                                    <w:top w:val="nil"/>
                                    <w:left w:val="nil"/>
                                    <w:bottom w:val="nil"/>
                                    <w:right w:val="nil"/>
                                  </w:tcBorders>
                                  <w:hideMark/>
                                </w:tcPr>
                                <w:p w14:paraId="5F81849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06C938A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3.0 </w:t>
                                  </w:r>
                                </w:p>
                              </w:tc>
                              <w:tc>
                                <w:tcPr>
                                  <w:tcW w:w="504" w:type="pct"/>
                                  <w:tcBorders>
                                    <w:top w:val="nil"/>
                                    <w:left w:val="nil"/>
                                    <w:bottom w:val="nil"/>
                                    <w:right w:val="nil"/>
                                  </w:tcBorders>
                                  <w:hideMark/>
                                </w:tcPr>
                                <w:p w14:paraId="708E37C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r>
                            <w:tr w:rsidR="00F00A1A" w:rsidRPr="00F00A1A" w14:paraId="270ED165" w14:textId="77777777" w:rsidTr="00F00A1A">
                              <w:trPr>
                                <w:trHeight w:val="204"/>
                              </w:trPr>
                              <w:tc>
                                <w:tcPr>
                                  <w:tcW w:w="1471" w:type="pct"/>
                                  <w:tcBorders>
                                    <w:top w:val="nil"/>
                                    <w:left w:val="nil"/>
                                    <w:bottom w:val="nil"/>
                                    <w:right w:val="nil"/>
                                  </w:tcBorders>
                                  <w:noWrap/>
                                  <w:hideMark/>
                                </w:tcPr>
                                <w:p w14:paraId="5BA8C78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(Income) Loss on Equity Invest.</w:t>
                                  </w:r>
                                </w:p>
                              </w:tc>
                              <w:tc>
                                <w:tcPr>
                                  <w:tcW w:w="504" w:type="pct"/>
                                  <w:tcBorders>
                                    <w:top w:val="nil"/>
                                    <w:left w:val="nil"/>
                                    <w:bottom w:val="nil"/>
                                    <w:right w:val="nil"/>
                                  </w:tcBorders>
                                  <w:hideMark/>
                                </w:tcPr>
                                <w:p w14:paraId="74FB8F7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71BB80A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414357F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4F927BB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  </w:t>
                                  </w:r>
                                </w:p>
                              </w:tc>
                              <w:tc>
                                <w:tcPr>
                                  <w:tcW w:w="504" w:type="pct"/>
                                  <w:tcBorders>
                                    <w:top w:val="nil"/>
                                    <w:left w:val="nil"/>
                                    <w:bottom w:val="nil"/>
                                    <w:right w:val="nil"/>
                                  </w:tcBorders>
                                  <w:hideMark/>
                                </w:tcPr>
                                <w:p w14:paraId="41A1054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 </w:t>
                                  </w:r>
                                </w:p>
                              </w:tc>
                              <w:tc>
                                <w:tcPr>
                                  <w:tcW w:w="504" w:type="pct"/>
                                  <w:tcBorders>
                                    <w:top w:val="nil"/>
                                    <w:left w:val="nil"/>
                                    <w:bottom w:val="nil"/>
                                    <w:right w:val="nil"/>
                                  </w:tcBorders>
                                  <w:hideMark/>
                                </w:tcPr>
                                <w:p w14:paraId="595460E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1516CEF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r>
                            <w:tr w:rsidR="00F00A1A" w:rsidRPr="00F00A1A" w14:paraId="1C803848" w14:textId="77777777" w:rsidTr="00F00A1A">
                              <w:trPr>
                                <w:trHeight w:val="204"/>
                              </w:trPr>
                              <w:tc>
                                <w:tcPr>
                                  <w:tcW w:w="1471" w:type="pct"/>
                                  <w:tcBorders>
                                    <w:top w:val="nil"/>
                                    <w:left w:val="nil"/>
                                    <w:bottom w:val="nil"/>
                                    <w:right w:val="nil"/>
                                  </w:tcBorders>
                                  <w:noWrap/>
                                  <w:hideMark/>
                                </w:tcPr>
                                <w:p w14:paraId="7E83C63C"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Stock-Based Compensation</w:t>
                                  </w:r>
                                </w:p>
                              </w:tc>
                              <w:tc>
                                <w:tcPr>
                                  <w:tcW w:w="504" w:type="pct"/>
                                  <w:tcBorders>
                                    <w:top w:val="nil"/>
                                    <w:left w:val="nil"/>
                                    <w:bottom w:val="nil"/>
                                    <w:right w:val="nil"/>
                                  </w:tcBorders>
                                  <w:hideMark/>
                                </w:tcPr>
                                <w:p w14:paraId="2058F4F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5.6 </w:t>
                                  </w:r>
                                </w:p>
                              </w:tc>
                              <w:tc>
                                <w:tcPr>
                                  <w:tcW w:w="504" w:type="pct"/>
                                  <w:tcBorders>
                                    <w:top w:val="nil"/>
                                    <w:left w:val="nil"/>
                                    <w:bottom w:val="nil"/>
                                    <w:right w:val="nil"/>
                                  </w:tcBorders>
                                  <w:hideMark/>
                                </w:tcPr>
                                <w:p w14:paraId="0FBB7E3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26E65BA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7.6 </w:t>
                                  </w:r>
                                </w:p>
                              </w:tc>
                              <w:tc>
                                <w:tcPr>
                                  <w:tcW w:w="504" w:type="pct"/>
                                  <w:tcBorders>
                                    <w:top w:val="nil"/>
                                    <w:left w:val="nil"/>
                                    <w:bottom w:val="nil"/>
                                    <w:right w:val="nil"/>
                                  </w:tcBorders>
                                  <w:hideMark/>
                                </w:tcPr>
                                <w:p w14:paraId="6E55D9D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3.8 </w:t>
                                  </w:r>
                                </w:p>
                              </w:tc>
                              <w:tc>
                                <w:tcPr>
                                  <w:tcW w:w="504" w:type="pct"/>
                                  <w:tcBorders>
                                    <w:top w:val="nil"/>
                                    <w:left w:val="nil"/>
                                    <w:bottom w:val="nil"/>
                                    <w:right w:val="nil"/>
                                  </w:tcBorders>
                                  <w:hideMark/>
                                </w:tcPr>
                                <w:p w14:paraId="6E923F2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7B8EA52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2A6269C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r>
                            <w:tr w:rsidR="00F00A1A" w:rsidRPr="00F00A1A" w14:paraId="38B5F898" w14:textId="77777777" w:rsidTr="00F00A1A">
                              <w:trPr>
                                <w:trHeight w:val="204"/>
                              </w:trPr>
                              <w:tc>
                                <w:tcPr>
                                  <w:tcW w:w="1471" w:type="pct"/>
                                  <w:tcBorders>
                                    <w:top w:val="nil"/>
                                    <w:left w:val="nil"/>
                                    <w:bottom w:val="nil"/>
                                    <w:right w:val="nil"/>
                                  </w:tcBorders>
                                  <w:noWrap/>
                                  <w:hideMark/>
                                </w:tcPr>
                                <w:p w14:paraId="7DFBDED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Provision &amp; Write-off of Bad debts</w:t>
                                  </w:r>
                                </w:p>
                              </w:tc>
                              <w:tc>
                                <w:tcPr>
                                  <w:tcW w:w="504" w:type="pct"/>
                                  <w:tcBorders>
                                    <w:top w:val="nil"/>
                                    <w:left w:val="nil"/>
                                    <w:bottom w:val="nil"/>
                                    <w:right w:val="nil"/>
                                  </w:tcBorders>
                                  <w:hideMark/>
                                </w:tcPr>
                                <w:p w14:paraId="42A1099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36FAC3B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4D32609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20AFCA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12EE29A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0.4 </w:t>
                                  </w:r>
                                </w:p>
                              </w:tc>
                              <w:tc>
                                <w:tcPr>
                                  <w:tcW w:w="504" w:type="pct"/>
                                  <w:tcBorders>
                                    <w:top w:val="nil"/>
                                    <w:left w:val="nil"/>
                                    <w:bottom w:val="nil"/>
                                    <w:right w:val="nil"/>
                                  </w:tcBorders>
                                  <w:hideMark/>
                                </w:tcPr>
                                <w:p w14:paraId="55C1AF6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02740A2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r>
                            <w:tr w:rsidR="00F00A1A" w:rsidRPr="00F00A1A" w14:paraId="50F154EA" w14:textId="77777777" w:rsidTr="00F00A1A">
                              <w:trPr>
                                <w:trHeight w:val="204"/>
                              </w:trPr>
                              <w:tc>
                                <w:tcPr>
                                  <w:tcW w:w="1471" w:type="pct"/>
                                  <w:tcBorders>
                                    <w:top w:val="nil"/>
                                    <w:left w:val="nil"/>
                                    <w:bottom w:val="nil"/>
                                    <w:right w:val="nil"/>
                                  </w:tcBorders>
                                  <w:noWrap/>
                                  <w:hideMark/>
                                </w:tcPr>
                                <w:p w14:paraId="380EC02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Operating Activities</w:t>
                                  </w:r>
                                </w:p>
                              </w:tc>
                              <w:tc>
                                <w:tcPr>
                                  <w:tcW w:w="504" w:type="pct"/>
                                  <w:tcBorders>
                                    <w:top w:val="nil"/>
                                    <w:left w:val="nil"/>
                                    <w:bottom w:val="nil"/>
                                    <w:right w:val="nil"/>
                                  </w:tcBorders>
                                  <w:hideMark/>
                                </w:tcPr>
                                <w:p w14:paraId="28EF70D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04C8B09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(11.9)  </w:t>
                                  </w:r>
                                </w:p>
                              </w:tc>
                              <w:tc>
                                <w:tcPr>
                                  <w:tcW w:w="504" w:type="pct"/>
                                  <w:tcBorders>
                                    <w:top w:val="nil"/>
                                    <w:left w:val="nil"/>
                                    <w:bottom w:val="nil"/>
                                    <w:right w:val="nil"/>
                                  </w:tcBorders>
                                  <w:hideMark/>
                                </w:tcPr>
                                <w:p w14:paraId="222A509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4C62873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7AEB664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  </w:t>
                                  </w:r>
                                </w:p>
                              </w:tc>
                              <w:tc>
                                <w:tcPr>
                                  <w:tcW w:w="504" w:type="pct"/>
                                  <w:tcBorders>
                                    <w:top w:val="nil"/>
                                    <w:left w:val="nil"/>
                                    <w:bottom w:val="nil"/>
                                    <w:right w:val="nil"/>
                                  </w:tcBorders>
                                  <w:hideMark/>
                                </w:tcPr>
                                <w:p w14:paraId="33BFD5A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(1.9)  </w:t>
                                  </w:r>
                                </w:p>
                              </w:tc>
                              <w:tc>
                                <w:tcPr>
                                  <w:tcW w:w="504" w:type="pct"/>
                                  <w:tcBorders>
                                    <w:top w:val="nil"/>
                                    <w:left w:val="nil"/>
                                    <w:bottom w:val="nil"/>
                                    <w:right w:val="nil"/>
                                  </w:tcBorders>
                                  <w:hideMark/>
                                </w:tcPr>
                                <w:p w14:paraId="617497D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(8.8)  </w:t>
                                  </w:r>
                                </w:p>
                              </w:tc>
                            </w:tr>
                            <w:tr w:rsidR="00F00A1A" w:rsidRPr="00F00A1A" w14:paraId="38C83BF9" w14:textId="77777777" w:rsidTr="00F00A1A">
                              <w:trPr>
                                <w:trHeight w:val="204"/>
                              </w:trPr>
                              <w:tc>
                                <w:tcPr>
                                  <w:tcW w:w="1471" w:type="pct"/>
                                  <w:tcBorders>
                                    <w:top w:val="nil"/>
                                    <w:left w:val="nil"/>
                                    <w:bottom w:val="nil"/>
                                    <w:right w:val="nil"/>
                                  </w:tcBorders>
                                  <w:noWrap/>
                                  <w:hideMark/>
                                </w:tcPr>
                                <w:p w14:paraId="555377FD"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Unearned Rev.</w:t>
                                  </w:r>
                                </w:p>
                              </w:tc>
                              <w:tc>
                                <w:tcPr>
                                  <w:tcW w:w="504" w:type="pct"/>
                                  <w:tcBorders>
                                    <w:top w:val="nil"/>
                                    <w:left w:val="nil"/>
                                    <w:bottom w:val="nil"/>
                                    <w:right w:val="nil"/>
                                  </w:tcBorders>
                                  <w:hideMark/>
                                </w:tcPr>
                                <w:p w14:paraId="7E2EFCB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1.3 </w:t>
                                  </w:r>
                                </w:p>
                              </w:tc>
                              <w:tc>
                                <w:tcPr>
                                  <w:tcW w:w="504" w:type="pct"/>
                                  <w:tcBorders>
                                    <w:top w:val="nil"/>
                                    <w:left w:val="nil"/>
                                    <w:bottom w:val="nil"/>
                                    <w:right w:val="nil"/>
                                  </w:tcBorders>
                                  <w:hideMark/>
                                </w:tcPr>
                                <w:p w14:paraId="6BA240E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4AA126A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23549FD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00841C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673C785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15E2CC6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r>
                            <w:tr w:rsidR="00F00A1A" w:rsidRPr="00F00A1A" w14:paraId="36C30B00" w14:textId="77777777" w:rsidTr="00F00A1A">
                              <w:trPr>
                                <w:trHeight w:val="204"/>
                              </w:trPr>
                              <w:tc>
                                <w:tcPr>
                                  <w:tcW w:w="1471" w:type="pct"/>
                                  <w:tcBorders>
                                    <w:top w:val="nil"/>
                                    <w:left w:val="nil"/>
                                    <w:bottom w:val="nil"/>
                                    <w:right w:val="nil"/>
                                  </w:tcBorders>
                                  <w:noWrap/>
                                  <w:hideMark/>
                                </w:tcPr>
                                <w:p w14:paraId="74B18DE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Inc. Taxes</w:t>
                                  </w:r>
                                </w:p>
                              </w:tc>
                              <w:tc>
                                <w:tcPr>
                                  <w:tcW w:w="504" w:type="pct"/>
                                  <w:tcBorders>
                                    <w:top w:val="nil"/>
                                    <w:left w:val="nil"/>
                                    <w:bottom w:val="nil"/>
                                    <w:right w:val="nil"/>
                                  </w:tcBorders>
                                  <w:hideMark/>
                                </w:tcPr>
                                <w:p w14:paraId="5A9DDDF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755826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0.4 </w:t>
                                  </w:r>
                                </w:p>
                              </w:tc>
                              <w:tc>
                                <w:tcPr>
                                  <w:tcW w:w="504" w:type="pct"/>
                                  <w:tcBorders>
                                    <w:top w:val="nil"/>
                                    <w:left w:val="nil"/>
                                    <w:bottom w:val="nil"/>
                                    <w:right w:val="nil"/>
                                  </w:tcBorders>
                                  <w:hideMark/>
                                </w:tcPr>
                                <w:p w14:paraId="51C2BB0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368CFD9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59E956B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(1.3)  </w:t>
                                  </w:r>
                                </w:p>
                              </w:tc>
                              <w:tc>
                                <w:tcPr>
                                  <w:tcW w:w="504" w:type="pct"/>
                                  <w:tcBorders>
                                    <w:top w:val="nil"/>
                                    <w:left w:val="nil"/>
                                    <w:bottom w:val="nil"/>
                                    <w:right w:val="nil"/>
                                  </w:tcBorders>
                                  <w:hideMark/>
                                </w:tcPr>
                                <w:p w14:paraId="67B12BB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12E6AE8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r>
                            <w:tr w:rsidR="00F00A1A" w:rsidRPr="00F00A1A" w14:paraId="1B29C823" w14:textId="77777777" w:rsidTr="00F00A1A">
                              <w:trPr>
                                <w:trHeight w:val="204"/>
                              </w:trPr>
                              <w:tc>
                                <w:tcPr>
                                  <w:tcW w:w="1471" w:type="pct"/>
                                  <w:tcBorders>
                                    <w:top w:val="nil"/>
                                    <w:left w:val="nil"/>
                                    <w:bottom w:val="nil"/>
                                    <w:right w:val="nil"/>
                                  </w:tcBorders>
                                  <w:noWrap/>
                                  <w:hideMark/>
                                </w:tcPr>
                                <w:p w14:paraId="7389C62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Other Net Operating Assets</w:t>
                                  </w:r>
                                </w:p>
                              </w:tc>
                              <w:tc>
                                <w:tcPr>
                                  <w:tcW w:w="504" w:type="pct"/>
                                  <w:tcBorders>
                                    <w:top w:val="nil"/>
                                    <w:left w:val="nil"/>
                                    <w:bottom w:val="nil"/>
                                    <w:right w:val="nil"/>
                                  </w:tcBorders>
                                  <w:hideMark/>
                                </w:tcPr>
                                <w:p w14:paraId="0784C1F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0B1289F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61444D2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c>
                                <w:tcPr>
                                  <w:tcW w:w="504" w:type="pct"/>
                                  <w:tcBorders>
                                    <w:top w:val="nil"/>
                                    <w:left w:val="nil"/>
                                    <w:bottom w:val="nil"/>
                                    <w:right w:val="nil"/>
                                  </w:tcBorders>
                                  <w:hideMark/>
                                </w:tcPr>
                                <w:p w14:paraId="1451C63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202ED48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2.7 </w:t>
                                  </w:r>
                                </w:p>
                              </w:tc>
                              <w:tc>
                                <w:tcPr>
                                  <w:tcW w:w="504" w:type="pct"/>
                                  <w:tcBorders>
                                    <w:top w:val="nil"/>
                                    <w:left w:val="nil"/>
                                    <w:bottom w:val="nil"/>
                                    <w:right w:val="nil"/>
                                  </w:tcBorders>
                                  <w:hideMark/>
                                </w:tcPr>
                                <w:p w14:paraId="3F9CD6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7ED0611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r>
                            <w:tr w:rsidR="00F00A1A" w:rsidRPr="00F00A1A" w14:paraId="45D7660F" w14:textId="77777777" w:rsidTr="00F00A1A">
                              <w:trPr>
                                <w:trHeight w:val="204"/>
                              </w:trPr>
                              <w:tc>
                                <w:tcPr>
                                  <w:tcW w:w="1471" w:type="pct"/>
                                  <w:tcBorders>
                                    <w:top w:val="nil"/>
                                    <w:left w:val="nil"/>
                                    <w:bottom w:val="nil"/>
                                    <w:right w:val="nil"/>
                                  </w:tcBorders>
                                  <w:noWrap/>
                                  <w:hideMark/>
                                </w:tcPr>
                                <w:p w14:paraId="2CEFA847"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Ops.</w:t>
                                  </w:r>
                                </w:p>
                              </w:tc>
                              <w:tc>
                                <w:tcPr>
                                  <w:tcW w:w="504" w:type="pct"/>
                                  <w:tcBorders>
                                    <w:top w:val="single" w:sz="4" w:space="0" w:color="000000"/>
                                    <w:left w:val="nil"/>
                                    <w:bottom w:val="nil"/>
                                    <w:right w:val="nil"/>
                                  </w:tcBorders>
                                  <w:hideMark/>
                                </w:tcPr>
                                <w:p w14:paraId="0117832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7E0F8DC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25.5 </w:t>
                                  </w:r>
                                </w:p>
                              </w:tc>
                              <w:tc>
                                <w:tcPr>
                                  <w:tcW w:w="504" w:type="pct"/>
                                  <w:tcBorders>
                                    <w:top w:val="single" w:sz="4" w:space="0" w:color="000000"/>
                                    <w:left w:val="nil"/>
                                    <w:bottom w:val="nil"/>
                                    <w:right w:val="nil"/>
                                  </w:tcBorders>
                                  <w:hideMark/>
                                </w:tcPr>
                                <w:p w14:paraId="35BF6CA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35.4 </w:t>
                                  </w:r>
                                </w:p>
                              </w:tc>
                              <w:tc>
                                <w:tcPr>
                                  <w:tcW w:w="504" w:type="pct"/>
                                  <w:tcBorders>
                                    <w:top w:val="single" w:sz="4" w:space="0" w:color="000000"/>
                                    <w:left w:val="nil"/>
                                    <w:bottom w:val="nil"/>
                                    <w:right w:val="nil"/>
                                  </w:tcBorders>
                                  <w:hideMark/>
                                </w:tcPr>
                                <w:p w14:paraId="0BB91C9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578B7E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29.1 </w:t>
                                  </w:r>
                                </w:p>
                              </w:tc>
                              <w:tc>
                                <w:tcPr>
                                  <w:tcW w:w="504" w:type="pct"/>
                                  <w:tcBorders>
                                    <w:top w:val="single" w:sz="4" w:space="0" w:color="000000"/>
                                    <w:left w:val="nil"/>
                                    <w:bottom w:val="nil"/>
                                    <w:right w:val="nil"/>
                                  </w:tcBorders>
                                  <w:hideMark/>
                                </w:tcPr>
                                <w:p w14:paraId="1D8EB73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25.3 </w:t>
                                  </w:r>
                                </w:p>
                              </w:tc>
                              <w:tc>
                                <w:tcPr>
                                  <w:tcW w:w="504" w:type="pct"/>
                                  <w:tcBorders>
                                    <w:top w:val="single" w:sz="4" w:space="0" w:color="000000"/>
                                    <w:left w:val="nil"/>
                                    <w:bottom w:val="nil"/>
                                    <w:right w:val="nil"/>
                                  </w:tcBorders>
                                  <w:hideMark/>
                                </w:tcPr>
                                <w:p w14:paraId="07182F3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21.8 </w:t>
                                  </w:r>
                                </w:p>
                              </w:tc>
                            </w:tr>
                            <w:tr w:rsidR="00F00A1A" w:rsidRPr="00F00A1A" w14:paraId="7F0B34F0" w14:textId="77777777" w:rsidTr="00F00A1A">
                              <w:trPr>
                                <w:trHeight w:val="204"/>
                              </w:trPr>
                              <w:tc>
                                <w:tcPr>
                                  <w:tcW w:w="1471" w:type="pct"/>
                                  <w:tcBorders>
                                    <w:top w:val="nil"/>
                                    <w:left w:val="nil"/>
                                    <w:bottom w:val="nil"/>
                                    <w:right w:val="nil"/>
                                  </w:tcBorders>
                                  <w:noWrap/>
                                  <w:hideMark/>
                                </w:tcPr>
                                <w:p w14:paraId="73731F91"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Capital Expenditure</w:t>
                                  </w:r>
                                </w:p>
                              </w:tc>
                              <w:tc>
                                <w:tcPr>
                                  <w:tcW w:w="504" w:type="pct"/>
                                  <w:tcBorders>
                                    <w:top w:val="nil"/>
                                    <w:left w:val="nil"/>
                                    <w:bottom w:val="nil"/>
                                    <w:right w:val="nil"/>
                                  </w:tcBorders>
                                  <w:hideMark/>
                                </w:tcPr>
                                <w:p w14:paraId="228F00E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63216D4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(4.6)  </w:t>
                                  </w:r>
                                </w:p>
                              </w:tc>
                              <w:tc>
                                <w:tcPr>
                                  <w:tcW w:w="504" w:type="pct"/>
                                  <w:tcBorders>
                                    <w:top w:val="nil"/>
                                    <w:left w:val="nil"/>
                                    <w:bottom w:val="nil"/>
                                    <w:right w:val="nil"/>
                                  </w:tcBorders>
                                  <w:hideMark/>
                                </w:tcPr>
                                <w:p w14:paraId="146B6B0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(6.3)  </w:t>
                                  </w:r>
                                </w:p>
                              </w:tc>
                              <w:tc>
                                <w:tcPr>
                                  <w:tcW w:w="504" w:type="pct"/>
                                  <w:tcBorders>
                                    <w:top w:val="nil"/>
                                    <w:left w:val="nil"/>
                                    <w:bottom w:val="nil"/>
                                    <w:right w:val="nil"/>
                                  </w:tcBorders>
                                  <w:hideMark/>
                                </w:tcPr>
                                <w:p w14:paraId="77F5EAF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(8.4)  </w:t>
                                  </w:r>
                                </w:p>
                              </w:tc>
                              <w:tc>
                                <w:tcPr>
                                  <w:tcW w:w="504" w:type="pct"/>
                                  <w:tcBorders>
                                    <w:top w:val="nil"/>
                                    <w:left w:val="nil"/>
                                    <w:bottom w:val="nil"/>
                                    <w:right w:val="nil"/>
                                  </w:tcBorders>
                                  <w:hideMark/>
                                </w:tcPr>
                                <w:p w14:paraId="3045115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(5.0)  </w:t>
                                  </w:r>
                                </w:p>
                              </w:tc>
                              <w:tc>
                                <w:tcPr>
                                  <w:tcW w:w="504" w:type="pct"/>
                                  <w:tcBorders>
                                    <w:top w:val="nil"/>
                                    <w:left w:val="nil"/>
                                    <w:bottom w:val="nil"/>
                                    <w:right w:val="nil"/>
                                  </w:tcBorders>
                                  <w:hideMark/>
                                </w:tcPr>
                                <w:p w14:paraId="64B785E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c>
                                <w:tcPr>
                                  <w:tcW w:w="504" w:type="pct"/>
                                  <w:tcBorders>
                                    <w:top w:val="nil"/>
                                    <w:left w:val="nil"/>
                                    <w:bottom w:val="nil"/>
                                    <w:right w:val="nil"/>
                                  </w:tcBorders>
                                  <w:hideMark/>
                                </w:tcPr>
                                <w:p w14:paraId="6F99EC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r>
                            <w:tr w:rsidR="00F00A1A" w:rsidRPr="00F00A1A" w14:paraId="3D4D3E62" w14:textId="77777777" w:rsidTr="00F00A1A">
                              <w:trPr>
                                <w:trHeight w:val="204"/>
                              </w:trPr>
                              <w:tc>
                                <w:tcPr>
                                  <w:tcW w:w="1471" w:type="pct"/>
                                  <w:tcBorders>
                                    <w:top w:val="nil"/>
                                    <w:left w:val="nil"/>
                                    <w:bottom w:val="nil"/>
                                    <w:right w:val="nil"/>
                                  </w:tcBorders>
                                  <w:noWrap/>
                                  <w:hideMark/>
                                </w:tcPr>
                                <w:p w14:paraId="6BFADBD6"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Sale of Property, Plant, and Equipment</w:t>
                                  </w:r>
                                </w:p>
                              </w:tc>
                              <w:tc>
                                <w:tcPr>
                                  <w:tcW w:w="504" w:type="pct"/>
                                  <w:tcBorders>
                                    <w:top w:val="nil"/>
                                    <w:left w:val="nil"/>
                                    <w:bottom w:val="nil"/>
                                    <w:right w:val="nil"/>
                                  </w:tcBorders>
                                  <w:hideMark/>
                                </w:tcPr>
                                <w:p w14:paraId="11D09C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B08FDA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72F8CF8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4E3E6DA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4C0139A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660E301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4957831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4E824592" w14:textId="77777777" w:rsidTr="00F00A1A">
                              <w:trPr>
                                <w:trHeight w:val="204"/>
                              </w:trPr>
                              <w:tc>
                                <w:tcPr>
                                  <w:tcW w:w="1471" w:type="pct"/>
                                  <w:tcBorders>
                                    <w:top w:val="nil"/>
                                    <w:left w:val="nil"/>
                                    <w:bottom w:val="nil"/>
                                    <w:right w:val="nil"/>
                                  </w:tcBorders>
                                  <w:noWrap/>
                                  <w:hideMark/>
                                </w:tcPr>
                                <w:p w14:paraId="575F0972"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Cash Acquisitions</w:t>
                                  </w:r>
                                </w:p>
                              </w:tc>
                              <w:tc>
                                <w:tcPr>
                                  <w:tcW w:w="504" w:type="pct"/>
                                  <w:tcBorders>
                                    <w:top w:val="nil"/>
                                    <w:left w:val="nil"/>
                                    <w:bottom w:val="nil"/>
                                    <w:right w:val="nil"/>
                                  </w:tcBorders>
                                  <w:hideMark/>
                                </w:tcPr>
                                <w:p w14:paraId="73FA3E1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622C025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c>
                                <w:tcPr>
                                  <w:tcW w:w="504" w:type="pct"/>
                                  <w:tcBorders>
                                    <w:top w:val="nil"/>
                                    <w:left w:val="nil"/>
                                    <w:bottom w:val="nil"/>
                                    <w:right w:val="nil"/>
                                  </w:tcBorders>
                                  <w:hideMark/>
                                </w:tcPr>
                                <w:p w14:paraId="4D62C0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(2.9)  </w:t>
                                  </w:r>
                                </w:p>
                              </w:tc>
                              <w:tc>
                                <w:tcPr>
                                  <w:tcW w:w="504" w:type="pct"/>
                                  <w:tcBorders>
                                    <w:top w:val="nil"/>
                                    <w:left w:val="nil"/>
                                    <w:bottom w:val="nil"/>
                                    <w:right w:val="nil"/>
                                  </w:tcBorders>
                                  <w:hideMark/>
                                </w:tcPr>
                                <w:p w14:paraId="6085F3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0DD3BDF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F2C9E2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3DBB1E3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r>
                            <w:tr w:rsidR="00F00A1A" w:rsidRPr="00F00A1A" w14:paraId="2099A266" w14:textId="77777777" w:rsidTr="00F00A1A">
                              <w:trPr>
                                <w:trHeight w:val="204"/>
                              </w:trPr>
                              <w:tc>
                                <w:tcPr>
                                  <w:tcW w:w="1471" w:type="pct"/>
                                  <w:tcBorders>
                                    <w:top w:val="nil"/>
                                    <w:left w:val="nil"/>
                                    <w:bottom w:val="nil"/>
                                    <w:right w:val="nil"/>
                                  </w:tcBorders>
                                  <w:noWrap/>
                                  <w:hideMark/>
                                </w:tcPr>
                                <w:p w14:paraId="76B3D0F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Divestitures</w:t>
                                  </w:r>
                                </w:p>
                              </w:tc>
                              <w:tc>
                                <w:tcPr>
                                  <w:tcW w:w="504" w:type="pct"/>
                                  <w:tcBorders>
                                    <w:top w:val="nil"/>
                                    <w:left w:val="nil"/>
                                    <w:bottom w:val="nil"/>
                                    <w:right w:val="nil"/>
                                  </w:tcBorders>
                                  <w:hideMark/>
                                </w:tcPr>
                                <w:p w14:paraId="6B64BF9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317DE4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5B60C9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040E312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2F7FC03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52FECA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13B1A1D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5AEBEF6D" w14:textId="77777777" w:rsidTr="00F00A1A">
                              <w:trPr>
                                <w:trHeight w:val="204"/>
                              </w:trPr>
                              <w:tc>
                                <w:tcPr>
                                  <w:tcW w:w="1471" w:type="pct"/>
                                  <w:tcBorders>
                                    <w:top w:val="nil"/>
                                    <w:left w:val="nil"/>
                                    <w:bottom w:val="nil"/>
                                    <w:right w:val="nil"/>
                                  </w:tcBorders>
                                  <w:noWrap/>
                                  <w:hideMark/>
                                </w:tcPr>
                                <w:p w14:paraId="40F7E3D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Sale (Purchase) of Intangible assets</w:t>
                                  </w:r>
                                </w:p>
                              </w:tc>
                              <w:tc>
                                <w:tcPr>
                                  <w:tcW w:w="504" w:type="pct"/>
                                  <w:tcBorders>
                                    <w:top w:val="nil"/>
                                    <w:left w:val="nil"/>
                                    <w:bottom w:val="nil"/>
                                    <w:right w:val="nil"/>
                                  </w:tcBorders>
                                  <w:hideMark/>
                                </w:tcPr>
                                <w:p w14:paraId="00ED9A1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c>
                                <w:tcPr>
                                  <w:tcW w:w="504" w:type="pct"/>
                                  <w:tcBorders>
                                    <w:top w:val="nil"/>
                                    <w:left w:val="nil"/>
                                    <w:bottom w:val="nil"/>
                                    <w:right w:val="nil"/>
                                  </w:tcBorders>
                                  <w:hideMark/>
                                </w:tcPr>
                                <w:p w14:paraId="363C063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7C6705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52D0F6E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59BC27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380604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EFAE9E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05DF53C8" w14:textId="77777777" w:rsidTr="00F00A1A">
                              <w:trPr>
                                <w:trHeight w:val="204"/>
                              </w:trPr>
                              <w:tc>
                                <w:tcPr>
                                  <w:tcW w:w="1471" w:type="pct"/>
                                  <w:tcBorders>
                                    <w:top w:val="nil"/>
                                    <w:left w:val="nil"/>
                                    <w:bottom w:val="nil"/>
                                    <w:right w:val="nil"/>
                                  </w:tcBorders>
                                  <w:noWrap/>
                                  <w:hideMark/>
                                </w:tcPr>
                                <w:p w14:paraId="284CFE6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Invest. in Marketable &amp; Equity Securt.</w:t>
                                  </w:r>
                                </w:p>
                              </w:tc>
                              <w:tc>
                                <w:tcPr>
                                  <w:tcW w:w="504" w:type="pct"/>
                                  <w:tcBorders>
                                    <w:top w:val="nil"/>
                                    <w:left w:val="nil"/>
                                    <w:bottom w:val="nil"/>
                                    <w:right w:val="nil"/>
                                  </w:tcBorders>
                                  <w:hideMark/>
                                </w:tcPr>
                                <w:p w14:paraId="2CC81B5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(9.8)  </w:t>
                                  </w:r>
                                </w:p>
                              </w:tc>
                              <w:tc>
                                <w:tcPr>
                                  <w:tcW w:w="504" w:type="pct"/>
                                  <w:tcBorders>
                                    <w:top w:val="nil"/>
                                    <w:left w:val="nil"/>
                                    <w:bottom w:val="nil"/>
                                    <w:right w:val="nil"/>
                                  </w:tcBorders>
                                  <w:hideMark/>
                                </w:tcPr>
                                <w:p w14:paraId="13CDD0B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(8.5)  </w:t>
                                  </w:r>
                                </w:p>
                              </w:tc>
                              <w:tc>
                                <w:tcPr>
                                  <w:tcW w:w="504" w:type="pct"/>
                                  <w:tcBorders>
                                    <w:top w:val="nil"/>
                                    <w:left w:val="nil"/>
                                    <w:bottom w:val="nil"/>
                                    <w:right w:val="nil"/>
                                  </w:tcBorders>
                                  <w:hideMark/>
                                </w:tcPr>
                                <w:p w14:paraId="59CCDCD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(27.7)  </w:t>
                                  </w:r>
                                </w:p>
                              </w:tc>
                              <w:tc>
                                <w:tcPr>
                                  <w:tcW w:w="504" w:type="pct"/>
                                  <w:tcBorders>
                                    <w:top w:val="nil"/>
                                    <w:left w:val="nil"/>
                                    <w:bottom w:val="nil"/>
                                    <w:right w:val="nil"/>
                                  </w:tcBorders>
                                  <w:hideMark/>
                                </w:tcPr>
                                <w:p w14:paraId="2340EE3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(22.1)  </w:t>
                                  </w:r>
                                </w:p>
                              </w:tc>
                              <w:tc>
                                <w:tcPr>
                                  <w:tcW w:w="504" w:type="pct"/>
                                  <w:tcBorders>
                                    <w:top w:val="nil"/>
                                    <w:left w:val="nil"/>
                                    <w:bottom w:val="nil"/>
                                    <w:right w:val="nil"/>
                                  </w:tcBorders>
                                  <w:hideMark/>
                                </w:tcPr>
                                <w:p w14:paraId="0CFF59B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(14.8)  </w:t>
                                  </w:r>
                                </w:p>
                              </w:tc>
                              <w:tc>
                                <w:tcPr>
                                  <w:tcW w:w="504" w:type="pct"/>
                                  <w:tcBorders>
                                    <w:top w:val="nil"/>
                                    <w:left w:val="nil"/>
                                    <w:bottom w:val="nil"/>
                                    <w:right w:val="nil"/>
                                  </w:tcBorders>
                                  <w:hideMark/>
                                </w:tcPr>
                                <w:p w14:paraId="3B22BCD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c>
                                <w:tcPr>
                                  <w:tcW w:w="504" w:type="pct"/>
                                  <w:tcBorders>
                                    <w:top w:val="nil"/>
                                    <w:left w:val="nil"/>
                                    <w:bottom w:val="nil"/>
                                    <w:right w:val="nil"/>
                                  </w:tcBorders>
                                  <w:hideMark/>
                                </w:tcPr>
                                <w:p w14:paraId="3EB376B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r>
                            <w:tr w:rsidR="00F00A1A" w:rsidRPr="00F00A1A" w14:paraId="5216757F" w14:textId="77777777" w:rsidTr="00F00A1A">
                              <w:trPr>
                                <w:trHeight w:val="204"/>
                              </w:trPr>
                              <w:tc>
                                <w:tcPr>
                                  <w:tcW w:w="1471" w:type="pct"/>
                                  <w:tcBorders>
                                    <w:top w:val="nil"/>
                                    <w:left w:val="nil"/>
                                    <w:bottom w:val="nil"/>
                                    <w:right w:val="nil"/>
                                  </w:tcBorders>
                                  <w:noWrap/>
                                  <w:hideMark/>
                                </w:tcPr>
                                <w:p w14:paraId="639DE3B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Net (Inc.) Dec. in Loans Originated/Sold</w:t>
                                  </w:r>
                                </w:p>
                              </w:tc>
                              <w:tc>
                                <w:tcPr>
                                  <w:tcW w:w="504" w:type="pct"/>
                                  <w:tcBorders>
                                    <w:top w:val="nil"/>
                                    <w:left w:val="nil"/>
                                    <w:bottom w:val="nil"/>
                                    <w:right w:val="nil"/>
                                  </w:tcBorders>
                                  <w:hideMark/>
                                </w:tcPr>
                                <w:p w14:paraId="3B34D47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74C6D66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B1C281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523A481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20EC05A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19A2929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CDE956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09473638" w14:textId="77777777" w:rsidTr="00F00A1A">
                              <w:trPr>
                                <w:trHeight w:val="204"/>
                              </w:trPr>
                              <w:tc>
                                <w:tcPr>
                                  <w:tcW w:w="1471" w:type="pct"/>
                                  <w:tcBorders>
                                    <w:top w:val="nil"/>
                                    <w:left w:val="nil"/>
                                    <w:bottom w:val="nil"/>
                                    <w:right w:val="nil"/>
                                  </w:tcBorders>
                                  <w:noWrap/>
                                  <w:hideMark/>
                                </w:tcPr>
                                <w:p w14:paraId="42A6644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Investing Activities</w:t>
                                  </w:r>
                                </w:p>
                              </w:tc>
                              <w:tc>
                                <w:tcPr>
                                  <w:tcW w:w="504" w:type="pct"/>
                                  <w:tcBorders>
                                    <w:top w:val="nil"/>
                                    <w:left w:val="nil"/>
                                    <w:bottom w:val="nil"/>
                                    <w:right w:val="nil"/>
                                  </w:tcBorders>
                                  <w:hideMark/>
                                </w:tcPr>
                                <w:p w14:paraId="0460C04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0EBDDD4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24DFCDE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38EC001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0CB9FD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EC0954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D2BED9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(14.1)  </w:t>
                                  </w:r>
                                </w:p>
                              </w:tc>
                            </w:tr>
                            <w:tr w:rsidR="00F00A1A" w:rsidRPr="00F00A1A" w14:paraId="2EB395C2" w14:textId="77777777" w:rsidTr="00F00A1A">
                              <w:trPr>
                                <w:trHeight w:val="204"/>
                              </w:trPr>
                              <w:tc>
                                <w:tcPr>
                                  <w:tcW w:w="1471" w:type="pct"/>
                                  <w:tcBorders>
                                    <w:top w:val="nil"/>
                                    <w:left w:val="nil"/>
                                    <w:bottom w:val="nil"/>
                                    <w:right w:val="nil"/>
                                  </w:tcBorders>
                                  <w:noWrap/>
                                  <w:hideMark/>
                                </w:tcPr>
                                <w:p w14:paraId="0BF7ACD5"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Investing</w:t>
                                  </w:r>
                                </w:p>
                              </w:tc>
                              <w:tc>
                                <w:tcPr>
                                  <w:tcW w:w="504" w:type="pct"/>
                                  <w:tcBorders>
                                    <w:top w:val="single" w:sz="4" w:space="0" w:color="000000"/>
                                    <w:left w:val="nil"/>
                                    <w:bottom w:val="nil"/>
                                    <w:right w:val="nil"/>
                                  </w:tcBorders>
                                  <w:hideMark/>
                                </w:tcPr>
                                <w:p w14:paraId="37AE1A7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2D3AB5E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(15.3)  </w:t>
                                  </w:r>
                                </w:p>
                              </w:tc>
                              <w:tc>
                                <w:tcPr>
                                  <w:tcW w:w="504" w:type="pct"/>
                                  <w:tcBorders>
                                    <w:top w:val="single" w:sz="4" w:space="0" w:color="000000"/>
                                    <w:left w:val="nil"/>
                                    <w:bottom w:val="nil"/>
                                    <w:right w:val="nil"/>
                                  </w:tcBorders>
                                  <w:hideMark/>
                                </w:tcPr>
                                <w:p w14:paraId="4060405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(37.3)  </w:t>
                                  </w:r>
                                </w:p>
                              </w:tc>
                              <w:tc>
                                <w:tcPr>
                                  <w:tcW w:w="504" w:type="pct"/>
                                  <w:tcBorders>
                                    <w:top w:val="single" w:sz="4" w:space="0" w:color="000000"/>
                                    <w:left w:val="nil"/>
                                    <w:bottom w:val="nil"/>
                                    <w:right w:val="nil"/>
                                  </w:tcBorders>
                                  <w:hideMark/>
                                </w:tcPr>
                                <w:p w14:paraId="479248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(31.3)  </w:t>
                                  </w:r>
                                </w:p>
                              </w:tc>
                              <w:tc>
                                <w:tcPr>
                                  <w:tcW w:w="504" w:type="pct"/>
                                  <w:tcBorders>
                                    <w:top w:val="single" w:sz="4" w:space="0" w:color="000000"/>
                                    <w:left w:val="nil"/>
                                    <w:bottom w:val="nil"/>
                                    <w:right w:val="nil"/>
                                  </w:tcBorders>
                                  <w:hideMark/>
                                </w:tcPr>
                                <w:p w14:paraId="520223A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(19.7)  </w:t>
                                  </w:r>
                                </w:p>
                              </w:tc>
                              <w:tc>
                                <w:tcPr>
                                  <w:tcW w:w="504" w:type="pct"/>
                                  <w:tcBorders>
                                    <w:top w:val="single" w:sz="4" w:space="0" w:color="000000"/>
                                    <w:left w:val="nil"/>
                                    <w:bottom w:val="nil"/>
                                    <w:right w:val="nil"/>
                                  </w:tcBorders>
                                  <w:hideMark/>
                                </w:tcPr>
                                <w:p w14:paraId="371E573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(3.0)  </w:t>
                                  </w:r>
                                </w:p>
                              </w:tc>
                              <w:tc>
                                <w:tcPr>
                                  <w:tcW w:w="504" w:type="pct"/>
                                  <w:tcBorders>
                                    <w:top w:val="single" w:sz="4" w:space="0" w:color="000000"/>
                                    <w:left w:val="nil"/>
                                    <w:bottom w:val="nil"/>
                                    <w:right w:val="nil"/>
                                  </w:tcBorders>
                                  <w:hideMark/>
                                </w:tcPr>
                                <w:p w14:paraId="2204D6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(17.2)  </w:t>
                                  </w:r>
                                </w:p>
                              </w:tc>
                            </w:tr>
                            <w:tr w:rsidR="00F00A1A" w:rsidRPr="00F00A1A" w14:paraId="387834ED" w14:textId="77777777" w:rsidTr="00F00A1A">
                              <w:trPr>
                                <w:trHeight w:val="204"/>
                              </w:trPr>
                              <w:tc>
                                <w:tcPr>
                                  <w:tcW w:w="1471" w:type="pct"/>
                                  <w:tcBorders>
                                    <w:top w:val="nil"/>
                                    <w:left w:val="nil"/>
                                    <w:bottom w:val="nil"/>
                                    <w:right w:val="nil"/>
                                  </w:tcBorders>
                                  <w:noWrap/>
                                  <w:hideMark/>
                                </w:tcPr>
                                <w:p w14:paraId="3A84F32B"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Long-Term Debt Issued</w:t>
                                  </w:r>
                                </w:p>
                              </w:tc>
                              <w:tc>
                                <w:tcPr>
                                  <w:tcW w:w="504" w:type="pct"/>
                                  <w:tcBorders>
                                    <w:top w:val="nil"/>
                                    <w:left w:val="nil"/>
                                    <w:bottom w:val="nil"/>
                                    <w:right w:val="nil"/>
                                  </w:tcBorders>
                                  <w:hideMark/>
                                </w:tcPr>
                                <w:p w14:paraId="19717B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1.8 </w:t>
                                  </w:r>
                                </w:p>
                              </w:tc>
                              <w:tc>
                                <w:tcPr>
                                  <w:tcW w:w="504" w:type="pct"/>
                                  <w:tcBorders>
                                    <w:top w:val="nil"/>
                                    <w:left w:val="nil"/>
                                    <w:bottom w:val="nil"/>
                                    <w:right w:val="nil"/>
                                  </w:tcBorders>
                                  <w:hideMark/>
                                </w:tcPr>
                                <w:p w14:paraId="319172A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33E76F6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5.9 </w:t>
                                  </w:r>
                                </w:p>
                              </w:tc>
                              <w:tc>
                                <w:tcPr>
                                  <w:tcW w:w="504" w:type="pct"/>
                                  <w:tcBorders>
                                    <w:top w:val="nil"/>
                                    <w:left w:val="nil"/>
                                    <w:bottom w:val="nil"/>
                                    <w:right w:val="nil"/>
                                  </w:tcBorders>
                                  <w:hideMark/>
                                </w:tcPr>
                                <w:p w14:paraId="50AA290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2AF58EA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296E2F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2.8 </w:t>
                                  </w:r>
                                </w:p>
                              </w:tc>
                              <w:tc>
                                <w:tcPr>
                                  <w:tcW w:w="504" w:type="pct"/>
                                  <w:tcBorders>
                                    <w:top w:val="nil"/>
                                    <w:left w:val="nil"/>
                                    <w:bottom w:val="nil"/>
                                    <w:right w:val="nil"/>
                                  </w:tcBorders>
                                  <w:hideMark/>
                                </w:tcPr>
                                <w:p w14:paraId="031785E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67D247A2" w14:textId="77777777" w:rsidTr="00F00A1A">
                              <w:trPr>
                                <w:trHeight w:val="204"/>
                              </w:trPr>
                              <w:tc>
                                <w:tcPr>
                                  <w:tcW w:w="1471" w:type="pct"/>
                                  <w:tcBorders>
                                    <w:top w:val="nil"/>
                                    <w:left w:val="nil"/>
                                    <w:bottom w:val="nil"/>
                                    <w:right w:val="nil"/>
                                  </w:tcBorders>
                                  <w:noWrap/>
                                  <w:hideMark/>
                                </w:tcPr>
                                <w:p w14:paraId="76932B4F"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Total Debt Issued</w:t>
                                  </w:r>
                                </w:p>
                              </w:tc>
                              <w:tc>
                                <w:tcPr>
                                  <w:tcW w:w="504" w:type="pct"/>
                                  <w:tcBorders>
                                    <w:top w:val="single" w:sz="4" w:space="0" w:color="000000"/>
                                    <w:left w:val="nil"/>
                                    <w:bottom w:val="nil"/>
                                    <w:right w:val="nil"/>
                                  </w:tcBorders>
                                  <w:hideMark/>
                                </w:tcPr>
                                <w:p w14:paraId="06F163E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1.8 </w:t>
                                  </w:r>
                                </w:p>
                              </w:tc>
                              <w:tc>
                                <w:tcPr>
                                  <w:tcW w:w="504" w:type="pct"/>
                                  <w:tcBorders>
                                    <w:top w:val="single" w:sz="4" w:space="0" w:color="000000"/>
                                    <w:left w:val="nil"/>
                                    <w:bottom w:val="nil"/>
                                    <w:right w:val="nil"/>
                                  </w:tcBorders>
                                  <w:hideMark/>
                                </w:tcPr>
                                <w:p w14:paraId="75930FB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 </w:t>
                                  </w:r>
                                </w:p>
                              </w:tc>
                              <w:tc>
                                <w:tcPr>
                                  <w:tcW w:w="504" w:type="pct"/>
                                  <w:tcBorders>
                                    <w:top w:val="single" w:sz="4" w:space="0" w:color="000000"/>
                                    <w:left w:val="nil"/>
                                    <w:bottom w:val="nil"/>
                                    <w:right w:val="nil"/>
                                  </w:tcBorders>
                                  <w:hideMark/>
                                </w:tcPr>
                                <w:p w14:paraId="25CE445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5.9 </w:t>
                                  </w:r>
                                </w:p>
                              </w:tc>
                              <w:tc>
                                <w:tcPr>
                                  <w:tcW w:w="504" w:type="pct"/>
                                  <w:tcBorders>
                                    <w:top w:val="single" w:sz="4" w:space="0" w:color="000000"/>
                                    <w:left w:val="nil"/>
                                    <w:bottom w:val="nil"/>
                                    <w:right w:val="nil"/>
                                  </w:tcBorders>
                                  <w:hideMark/>
                                </w:tcPr>
                                <w:p w14:paraId="75213A7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 </w:t>
                                  </w:r>
                                </w:p>
                              </w:tc>
                              <w:tc>
                                <w:tcPr>
                                  <w:tcW w:w="504" w:type="pct"/>
                                  <w:tcBorders>
                                    <w:top w:val="single" w:sz="4" w:space="0" w:color="000000"/>
                                    <w:left w:val="nil"/>
                                    <w:bottom w:val="nil"/>
                                    <w:right w:val="nil"/>
                                  </w:tcBorders>
                                  <w:hideMark/>
                                </w:tcPr>
                                <w:p w14:paraId="16CDA8A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3.3 </w:t>
                                  </w:r>
                                </w:p>
                              </w:tc>
                              <w:tc>
                                <w:tcPr>
                                  <w:tcW w:w="504" w:type="pct"/>
                                  <w:tcBorders>
                                    <w:top w:val="single" w:sz="4" w:space="0" w:color="000000"/>
                                    <w:left w:val="nil"/>
                                    <w:bottom w:val="nil"/>
                                    <w:right w:val="nil"/>
                                  </w:tcBorders>
                                  <w:hideMark/>
                                </w:tcPr>
                                <w:p w14:paraId="6ACCB19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2.8 </w:t>
                                  </w:r>
                                </w:p>
                              </w:tc>
                              <w:tc>
                                <w:tcPr>
                                  <w:tcW w:w="504" w:type="pct"/>
                                  <w:tcBorders>
                                    <w:top w:val="single" w:sz="4" w:space="0" w:color="000000"/>
                                    <w:left w:val="nil"/>
                                    <w:bottom w:val="nil"/>
                                    <w:right w:val="nil"/>
                                  </w:tcBorders>
                                  <w:hideMark/>
                                </w:tcPr>
                                <w:p w14:paraId="49C6B9C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7.8 </w:t>
                                  </w:r>
                                </w:p>
                              </w:tc>
                            </w:tr>
                            <w:tr w:rsidR="00F00A1A" w:rsidRPr="00F00A1A" w14:paraId="33C81CA4" w14:textId="77777777" w:rsidTr="00F00A1A">
                              <w:trPr>
                                <w:trHeight w:val="204"/>
                              </w:trPr>
                              <w:tc>
                                <w:tcPr>
                                  <w:tcW w:w="1471" w:type="pct"/>
                                  <w:tcBorders>
                                    <w:top w:val="nil"/>
                                    <w:left w:val="nil"/>
                                    <w:bottom w:val="nil"/>
                                    <w:right w:val="nil"/>
                                  </w:tcBorders>
                                  <w:noWrap/>
                                  <w:hideMark/>
                                </w:tcPr>
                                <w:p w14:paraId="0912F61C"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Long-Term Debt Repaid</w:t>
                                  </w:r>
                                </w:p>
                              </w:tc>
                              <w:tc>
                                <w:tcPr>
                                  <w:tcW w:w="504" w:type="pct"/>
                                  <w:tcBorders>
                                    <w:top w:val="nil"/>
                                    <w:left w:val="nil"/>
                                    <w:bottom w:val="nil"/>
                                    <w:right w:val="nil"/>
                                  </w:tcBorders>
                                  <w:hideMark/>
                                </w:tcPr>
                                <w:p w14:paraId="377844F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(2.4)  </w:t>
                                  </w:r>
                                </w:p>
                              </w:tc>
                              <w:tc>
                                <w:tcPr>
                                  <w:tcW w:w="504" w:type="pct"/>
                                  <w:tcBorders>
                                    <w:top w:val="nil"/>
                                    <w:left w:val="nil"/>
                                    <w:bottom w:val="nil"/>
                                    <w:right w:val="nil"/>
                                  </w:tcBorders>
                                  <w:hideMark/>
                                </w:tcPr>
                                <w:p w14:paraId="1BFBC6A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2500AA3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258FE17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1BCA77D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(1.7)  </w:t>
                                  </w:r>
                                </w:p>
                              </w:tc>
                              <w:tc>
                                <w:tcPr>
                                  <w:tcW w:w="504" w:type="pct"/>
                                  <w:tcBorders>
                                    <w:top w:val="nil"/>
                                    <w:left w:val="nil"/>
                                    <w:bottom w:val="nil"/>
                                    <w:right w:val="nil"/>
                                  </w:tcBorders>
                                  <w:hideMark/>
                                </w:tcPr>
                                <w:p w14:paraId="4165320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c>
                                <w:tcPr>
                                  <w:tcW w:w="504" w:type="pct"/>
                                  <w:tcBorders>
                                    <w:top w:val="nil"/>
                                    <w:left w:val="nil"/>
                                    <w:bottom w:val="nil"/>
                                    <w:right w:val="nil"/>
                                  </w:tcBorders>
                                  <w:hideMark/>
                                </w:tcPr>
                                <w:p w14:paraId="623C06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7DF91337" w14:textId="77777777" w:rsidTr="00F00A1A">
                              <w:trPr>
                                <w:trHeight w:val="204"/>
                              </w:trPr>
                              <w:tc>
                                <w:tcPr>
                                  <w:tcW w:w="1471" w:type="pct"/>
                                  <w:tcBorders>
                                    <w:top w:val="nil"/>
                                    <w:left w:val="nil"/>
                                    <w:bottom w:val="nil"/>
                                    <w:right w:val="nil"/>
                                  </w:tcBorders>
                                  <w:noWrap/>
                                  <w:hideMark/>
                                </w:tcPr>
                                <w:p w14:paraId="1EFF883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Total Debt Repaid</w:t>
                                  </w:r>
                                </w:p>
                              </w:tc>
                              <w:tc>
                                <w:tcPr>
                                  <w:tcW w:w="504" w:type="pct"/>
                                  <w:tcBorders>
                                    <w:top w:val="single" w:sz="4" w:space="0" w:color="000000"/>
                                    <w:left w:val="nil"/>
                                    <w:bottom w:val="nil"/>
                                    <w:right w:val="nil"/>
                                  </w:tcBorders>
                                  <w:hideMark/>
                                </w:tcPr>
                                <w:p w14:paraId="4C184D4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(2.4)  </w:t>
                                  </w:r>
                                </w:p>
                              </w:tc>
                              <w:tc>
                                <w:tcPr>
                                  <w:tcW w:w="504" w:type="pct"/>
                                  <w:tcBorders>
                                    <w:top w:val="single" w:sz="4" w:space="0" w:color="000000"/>
                                    <w:left w:val="nil"/>
                                    <w:bottom w:val="nil"/>
                                    <w:right w:val="nil"/>
                                  </w:tcBorders>
                                  <w:hideMark/>
                                </w:tcPr>
                                <w:p w14:paraId="5B59DE0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(4.5)  </w:t>
                                  </w:r>
                                </w:p>
                              </w:tc>
                              <w:tc>
                                <w:tcPr>
                                  <w:tcW w:w="504" w:type="pct"/>
                                  <w:tcBorders>
                                    <w:top w:val="single" w:sz="4" w:space="0" w:color="000000"/>
                                    <w:left w:val="nil"/>
                                    <w:bottom w:val="nil"/>
                                    <w:right w:val="nil"/>
                                  </w:tcBorders>
                                  <w:hideMark/>
                                </w:tcPr>
                                <w:p w14:paraId="21A7C40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  </w:t>
                                  </w:r>
                                </w:p>
                              </w:tc>
                              <w:tc>
                                <w:tcPr>
                                  <w:tcW w:w="504" w:type="pct"/>
                                  <w:tcBorders>
                                    <w:top w:val="single" w:sz="4" w:space="0" w:color="000000"/>
                                    <w:left w:val="nil"/>
                                    <w:bottom w:val="nil"/>
                                    <w:right w:val="nil"/>
                                  </w:tcBorders>
                                  <w:hideMark/>
                                </w:tcPr>
                                <w:p w14:paraId="3C191D2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(2.6)  </w:t>
                                  </w:r>
                                </w:p>
                              </w:tc>
                              <w:tc>
                                <w:tcPr>
                                  <w:tcW w:w="504" w:type="pct"/>
                                  <w:tcBorders>
                                    <w:top w:val="single" w:sz="4" w:space="0" w:color="000000"/>
                                    <w:left w:val="nil"/>
                                    <w:bottom w:val="nil"/>
                                    <w:right w:val="nil"/>
                                  </w:tcBorders>
                                  <w:hideMark/>
                                </w:tcPr>
                                <w:p w14:paraId="2A81749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  </w:t>
                                  </w:r>
                                </w:p>
                              </w:tc>
                              <w:tc>
                                <w:tcPr>
                                  <w:tcW w:w="504" w:type="pct"/>
                                  <w:tcBorders>
                                    <w:top w:val="single" w:sz="4" w:space="0" w:color="000000"/>
                                    <w:left w:val="nil"/>
                                    <w:bottom w:val="nil"/>
                                    <w:right w:val="nil"/>
                                  </w:tcBorders>
                                  <w:hideMark/>
                                </w:tcPr>
                                <w:p w14:paraId="4362502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  </w:t>
                                  </w:r>
                                </w:p>
                              </w:tc>
                              <w:tc>
                                <w:tcPr>
                                  <w:tcW w:w="504" w:type="pct"/>
                                  <w:tcBorders>
                                    <w:top w:val="single" w:sz="4" w:space="0" w:color="000000"/>
                                    <w:left w:val="nil"/>
                                    <w:bottom w:val="nil"/>
                                    <w:right w:val="nil"/>
                                  </w:tcBorders>
                                  <w:hideMark/>
                                </w:tcPr>
                                <w:p w14:paraId="2DAA6BD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(4.7)  </w:t>
                                  </w:r>
                                </w:p>
                              </w:tc>
                            </w:tr>
                            <w:tr w:rsidR="00F00A1A" w:rsidRPr="00F00A1A" w14:paraId="7D510B94" w14:textId="77777777" w:rsidTr="00F00A1A">
                              <w:trPr>
                                <w:trHeight w:val="204"/>
                              </w:trPr>
                              <w:tc>
                                <w:tcPr>
                                  <w:tcW w:w="1471" w:type="pct"/>
                                  <w:tcBorders>
                                    <w:top w:val="nil"/>
                                    <w:left w:val="nil"/>
                                    <w:bottom w:val="nil"/>
                                    <w:right w:val="nil"/>
                                  </w:tcBorders>
                                  <w:noWrap/>
                                  <w:hideMark/>
                                </w:tcPr>
                                <w:p w14:paraId="5763109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Issuance of Common Stock</w:t>
                                  </w:r>
                                </w:p>
                              </w:tc>
                              <w:tc>
                                <w:tcPr>
                                  <w:tcW w:w="504" w:type="pct"/>
                                  <w:tcBorders>
                                    <w:top w:val="nil"/>
                                    <w:left w:val="nil"/>
                                    <w:bottom w:val="nil"/>
                                    <w:right w:val="nil"/>
                                  </w:tcBorders>
                                  <w:hideMark/>
                                </w:tcPr>
                                <w:p w14:paraId="0E7FD1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88DB1D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12.9 </w:t>
                                  </w:r>
                                </w:p>
                              </w:tc>
                              <w:tc>
                                <w:tcPr>
                                  <w:tcW w:w="504" w:type="pct"/>
                                  <w:tcBorders>
                                    <w:top w:val="nil"/>
                                    <w:left w:val="nil"/>
                                    <w:bottom w:val="nil"/>
                                    <w:right w:val="nil"/>
                                  </w:tcBorders>
                                  <w:hideMark/>
                                </w:tcPr>
                                <w:p w14:paraId="4EEC85C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62D4389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028C06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50D86F5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1A34F96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04080F60" w14:textId="77777777" w:rsidTr="00F00A1A">
                              <w:trPr>
                                <w:trHeight w:val="204"/>
                              </w:trPr>
                              <w:tc>
                                <w:tcPr>
                                  <w:tcW w:w="1471" w:type="pct"/>
                                  <w:tcBorders>
                                    <w:top w:val="nil"/>
                                    <w:left w:val="nil"/>
                                    <w:bottom w:val="nil"/>
                                    <w:right w:val="nil"/>
                                  </w:tcBorders>
                                  <w:noWrap/>
                                  <w:hideMark/>
                                </w:tcPr>
                                <w:p w14:paraId="2936363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Repurchase of Common Stock</w:t>
                                  </w:r>
                                </w:p>
                              </w:tc>
                              <w:tc>
                                <w:tcPr>
                                  <w:tcW w:w="504" w:type="pct"/>
                                  <w:tcBorders>
                                    <w:top w:val="nil"/>
                                    <w:left w:val="nil"/>
                                    <w:bottom w:val="nil"/>
                                    <w:right w:val="nil"/>
                                  </w:tcBorders>
                                  <w:hideMark/>
                                </w:tcPr>
                                <w:p w14:paraId="1FC9880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c>
                                <w:tcPr>
                                  <w:tcW w:w="504" w:type="pct"/>
                                  <w:tcBorders>
                                    <w:top w:val="nil"/>
                                    <w:left w:val="nil"/>
                                    <w:bottom w:val="nil"/>
                                    <w:right w:val="nil"/>
                                  </w:tcBorders>
                                  <w:hideMark/>
                                </w:tcPr>
                                <w:p w14:paraId="117393E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19FD392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286E7F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(9.7)  </w:t>
                                  </w:r>
                                </w:p>
                              </w:tc>
                              <w:tc>
                                <w:tcPr>
                                  <w:tcW w:w="504" w:type="pct"/>
                                  <w:tcBorders>
                                    <w:top w:val="nil"/>
                                    <w:left w:val="nil"/>
                                    <w:bottom w:val="nil"/>
                                    <w:right w:val="nil"/>
                                  </w:tcBorders>
                                  <w:hideMark/>
                                </w:tcPr>
                                <w:p w14:paraId="2C7D8AD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(10.9)  </w:t>
                                  </w:r>
                                </w:p>
                              </w:tc>
                              <w:tc>
                                <w:tcPr>
                                  <w:tcW w:w="504" w:type="pct"/>
                                  <w:tcBorders>
                                    <w:top w:val="nil"/>
                                    <w:left w:val="nil"/>
                                    <w:bottom w:val="nil"/>
                                    <w:right w:val="nil"/>
                                  </w:tcBorders>
                                  <w:hideMark/>
                                </w:tcPr>
                                <w:p w14:paraId="6743C54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(12.3)  </w:t>
                                  </w:r>
                                </w:p>
                              </w:tc>
                              <w:tc>
                                <w:tcPr>
                                  <w:tcW w:w="504" w:type="pct"/>
                                  <w:tcBorders>
                                    <w:top w:val="nil"/>
                                    <w:left w:val="nil"/>
                                    <w:bottom w:val="nil"/>
                                    <w:right w:val="nil"/>
                                  </w:tcBorders>
                                  <w:hideMark/>
                                </w:tcPr>
                                <w:p w14:paraId="2DF3FB9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(23.4)  </w:t>
                                  </w:r>
                                </w:p>
                              </w:tc>
                            </w:tr>
                            <w:tr w:rsidR="00F00A1A" w:rsidRPr="00F00A1A" w14:paraId="78DEC1B8" w14:textId="77777777" w:rsidTr="00F00A1A">
                              <w:trPr>
                                <w:trHeight w:val="204"/>
                              </w:trPr>
                              <w:tc>
                                <w:tcPr>
                                  <w:tcW w:w="1471" w:type="pct"/>
                                  <w:tcBorders>
                                    <w:top w:val="nil"/>
                                    <w:left w:val="nil"/>
                                    <w:bottom w:val="nil"/>
                                    <w:right w:val="nil"/>
                                  </w:tcBorders>
                                  <w:noWrap/>
                                  <w:hideMark/>
                                </w:tcPr>
                                <w:p w14:paraId="444293D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Financing Activities</w:t>
                                  </w:r>
                                </w:p>
                              </w:tc>
                              <w:tc>
                                <w:tcPr>
                                  <w:tcW w:w="504" w:type="pct"/>
                                  <w:tcBorders>
                                    <w:top w:val="nil"/>
                                    <w:left w:val="nil"/>
                                    <w:bottom w:val="nil"/>
                                    <w:right w:val="nil"/>
                                  </w:tcBorders>
                                  <w:hideMark/>
                                </w:tcPr>
                                <w:p w14:paraId="492E814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1821BF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61B216B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081F6ED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38EBCC3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4906A7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1F5AC90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9.4 </w:t>
                                  </w:r>
                                </w:p>
                              </w:tc>
                            </w:tr>
                            <w:tr w:rsidR="00F00A1A" w:rsidRPr="00F00A1A" w14:paraId="3C2EB51F" w14:textId="77777777" w:rsidTr="00F00A1A">
                              <w:trPr>
                                <w:trHeight w:val="204"/>
                              </w:trPr>
                              <w:tc>
                                <w:tcPr>
                                  <w:tcW w:w="1471" w:type="pct"/>
                                  <w:tcBorders>
                                    <w:top w:val="nil"/>
                                    <w:left w:val="nil"/>
                                    <w:bottom w:val="nil"/>
                                    <w:right w:val="nil"/>
                                  </w:tcBorders>
                                  <w:noWrap/>
                                  <w:hideMark/>
                                </w:tcPr>
                                <w:p w14:paraId="14BAA82E"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Financing</w:t>
                                  </w:r>
                                </w:p>
                              </w:tc>
                              <w:tc>
                                <w:tcPr>
                                  <w:tcW w:w="504" w:type="pct"/>
                                  <w:tcBorders>
                                    <w:top w:val="single" w:sz="4" w:space="0" w:color="000000"/>
                                    <w:left w:val="nil"/>
                                    <w:bottom w:val="nil"/>
                                    <w:right w:val="nil"/>
                                  </w:tcBorders>
                                  <w:hideMark/>
                                </w:tcPr>
                                <w:p w14:paraId="57D2BBC2"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  </w:t>
                                  </w:r>
                                </w:p>
                              </w:tc>
                              <w:tc>
                                <w:tcPr>
                                  <w:tcW w:w="504" w:type="pct"/>
                                  <w:tcBorders>
                                    <w:top w:val="single" w:sz="4" w:space="0" w:color="000000"/>
                                    <w:left w:val="nil"/>
                                    <w:bottom w:val="nil"/>
                                    <w:right w:val="nil"/>
                                  </w:tcBorders>
                                  <w:hideMark/>
                                </w:tcPr>
                                <w:p w14:paraId="4A79F38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10.0 </w:t>
                                  </w:r>
                                </w:p>
                              </w:tc>
                              <w:tc>
                                <w:tcPr>
                                  <w:tcW w:w="504" w:type="pct"/>
                                  <w:tcBorders>
                                    <w:top w:val="single" w:sz="4" w:space="0" w:color="000000"/>
                                    <w:left w:val="nil"/>
                                    <w:bottom w:val="nil"/>
                                    <w:right w:val="nil"/>
                                  </w:tcBorders>
                                  <w:hideMark/>
                                </w:tcPr>
                                <w:p w14:paraId="437FFA5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4.6 </w:t>
                                  </w:r>
                                </w:p>
                              </w:tc>
                              <w:tc>
                                <w:tcPr>
                                  <w:tcW w:w="504" w:type="pct"/>
                                  <w:tcBorders>
                                    <w:top w:val="single" w:sz="4" w:space="0" w:color="000000"/>
                                    <w:left w:val="nil"/>
                                    <w:bottom w:val="nil"/>
                                    <w:right w:val="nil"/>
                                  </w:tcBorders>
                                  <w:hideMark/>
                                </w:tcPr>
                                <w:p w14:paraId="1FB3272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(10.2)  </w:t>
                                  </w:r>
                                </w:p>
                              </w:tc>
                              <w:tc>
                                <w:tcPr>
                                  <w:tcW w:w="504" w:type="pct"/>
                                  <w:tcBorders>
                                    <w:top w:val="single" w:sz="4" w:space="0" w:color="000000"/>
                                    <w:left w:val="nil"/>
                                    <w:bottom w:val="nil"/>
                                    <w:right w:val="nil"/>
                                  </w:tcBorders>
                                  <w:hideMark/>
                                </w:tcPr>
                                <w:p w14:paraId="36F1FDA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(9.6)  </w:t>
                                  </w:r>
                                </w:p>
                              </w:tc>
                              <w:tc>
                                <w:tcPr>
                                  <w:tcW w:w="504" w:type="pct"/>
                                  <w:tcBorders>
                                    <w:top w:val="single" w:sz="4" w:space="0" w:color="000000"/>
                                    <w:left w:val="nil"/>
                                    <w:bottom w:val="nil"/>
                                    <w:right w:val="nil"/>
                                  </w:tcBorders>
                                  <w:hideMark/>
                                </w:tcPr>
                                <w:p w14:paraId="7C9DAF02"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(15.0)  </w:t>
                                  </w:r>
                                </w:p>
                              </w:tc>
                              <w:tc>
                                <w:tcPr>
                                  <w:tcW w:w="504" w:type="pct"/>
                                  <w:tcBorders>
                                    <w:top w:val="single" w:sz="4" w:space="0" w:color="000000"/>
                                    <w:left w:val="nil"/>
                                    <w:bottom w:val="nil"/>
                                    <w:right w:val="nil"/>
                                  </w:tcBorders>
                                  <w:hideMark/>
                                </w:tcPr>
                                <w:p w14:paraId="484FE5C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(17.3)  </w:t>
                                  </w:r>
                                </w:p>
                              </w:tc>
                            </w:tr>
                            <w:tr w:rsidR="00F00A1A" w:rsidRPr="00F00A1A" w14:paraId="03C5F86A" w14:textId="77777777" w:rsidTr="00F00A1A">
                              <w:trPr>
                                <w:trHeight w:val="204"/>
                              </w:trPr>
                              <w:tc>
                                <w:tcPr>
                                  <w:tcW w:w="1471" w:type="pct"/>
                                  <w:tcBorders>
                                    <w:top w:val="nil"/>
                                    <w:left w:val="nil"/>
                                    <w:bottom w:val="nil"/>
                                    <w:right w:val="nil"/>
                                  </w:tcBorders>
                                  <w:noWrap/>
                                  <w:hideMark/>
                                </w:tcPr>
                                <w:p w14:paraId="66E73815"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Foreign Exchange Rate Adj.</w:t>
                                  </w:r>
                                </w:p>
                              </w:tc>
                              <w:tc>
                                <w:tcPr>
                                  <w:tcW w:w="504" w:type="pct"/>
                                  <w:tcBorders>
                                    <w:top w:val="nil"/>
                                    <w:left w:val="nil"/>
                                    <w:bottom w:val="nil"/>
                                    <w:right w:val="nil"/>
                                  </w:tcBorders>
                                  <w:hideMark/>
                                </w:tcPr>
                                <w:p w14:paraId="4F5F64F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19B0D0F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2F4E466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68F0157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c>
                                <w:tcPr>
                                  <w:tcW w:w="504" w:type="pct"/>
                                  <w:tcBorders>
                                    <w:top w:val="nil"/>
                                    <w:left w:val="nil"/>
                                    <w:bottom w:val="nil"/>
                                    <w:right w:val="nil"/>
                                  </w:tcBorders>
                                  <w:hideMark/>
                                </w:tcPr>
                                <w:p w14:paraId="5D736E1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30531A4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7F232EC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r>
                            <w:tr w:rsidR="00F00A1A" w:rsidRPr="00F00A1A" w14:paraId="0EBE6C7A" w14:textId="77777777" w:rsidTr="00F00A1A">
                              <w:trPr>
                                <w:trHeight w:val="204"/>
                              </w:trPr>
                              <w:tc>
                                <w:tcPr>
                                  <w:tcW w:w="1471" w:type="pct"/>
                                  <w:tcBorders>
                                    <w:top w:val="nil"/>
                                    <w:left w:val="nil"/>
                                    <w:bottom w:val="nil"/>
                                    <w:right w:val="nil"/>
                                  </w:tcBorders>
                                  <w:noWrap/>
                                  <w:hideMark/>
                                </w:tcPr>
                                <w:p w14:paraId="5CD79A8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Net Change in Cash</w:t>
                                  </w:r>
                                </w:p>
                              </w:tc>
                              <w:tc>
                                <w:tcPr>
                                  <w:tcW w:w="504" w:type="pct"/>
                                  <w:tcBorders>
                                    <w:top w:val="single" w:sz="4" w:space="0" w:color="000000"/>
                                    <w:left w:val="nil"/>
                                    <w:bottom w:val="nil"/>
                                    <w:right w:val="nil"/>
                                  </w:tcBorders>
                                  <w:hideMark/>
                                </w:tcPr>
                                <w:p w14:paraId="564F0FD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(0.6)  </w:t>
                                  </w:r>
                                </w:p>
                              </w:tc>
                              <w:tc>
                                <w:tcPr>
                                  <w:tcW w:w="504" w:type="pct"/>
                                  <w:tcBorders>
                                    <w:top w:val="single" w:sz="4" w:space="0" w:color="000000"/>
                                    <w:left w:val="nil"/>
                                    <w:bottom w:val="nil"/>
                                    <w:right w:val="nil"/>
                                  </w:tcBorders>
                                  <w:hideMark/>
                                </w:tcPr>
                                <w:p w14:paraId="321FA829"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20.8 </w:t>
                                  </w:r>
                                </w:p>
                              </w:tc>
                              <w:tc>
                                <w:tcPr>
                                  <w:tcW w:w="504" w:type="pct"/>
                                  <w:tcBorders>
                                    <w:top w:val="single" w:sz="4" w:space="0" w:color="000000"/>
                                    <w:left w:val="nil"/>
                                    <w:bottom w:val="nil"/>
                                    <w:right w:val="nil"/>
                                  </w:tcBorders>
                                  <w:hideMark/>
                                </w:tcPr>
                                <w:p w14:paraId="03830CC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1.6 </w:t>
                                  </w:r>
                                </w:p>
                              </w:tc>
                              <w:tc>
                                <w:tcPr>
                                  <w:tcW w:w="504" w:type="pct"/>
                                  <w:tcBorders>
                                    <w:top w:val="single" w:sz="4" w:space="0" w:color="000000"/>
                                    <w:left w:val="nil"/>
                                    <w:bottom w:val="nil"/>
                                    <w:right w:val="nil"/>
                                  </w:tcBorders>
                                  <w:hideMark/>
                                </w:tcPr>
                                <w:p w14:paraId="558F017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(20.4)  </w:t>
                                  </w:r>
                                </w:p>
                              </w:tc>
                              <w:tc>
                                <w:tcPr>
                                  <w:tcW w:w="504" w:type="pct"/>
                                  <w:tcBorders>
                                    <w:top w:val="single" w:sz="4" w:space="0" w:color="000000"/>
                                    <w:left w:val="nil"/>
                                    <w:bottom w:val="nil"/>
                                    <w:right w:val="nil"/>
                                  </w:tcBorders>
                                  <w:hideMark/>
                                </w:tcPr>
                                <w:p w14:paraId="6A3923A0"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0.3 </w:t>
                                  </w:r>
                                </w:p>
                              </w:tc>
                              <w:tc>
                                <w:tcPr>
                                  <w:tcW w:w="504" w:type="pct"/>
                                  <w:tcBorders>
                                    <w:top w:val="single" w:sz="4" w:space="0" w:color="000000"/>
                                    <w:left w:val="nil"/>
                                    <w:bottom w:val="nil"/>
                                    <w:right w:val="nil"/>
                                  </w:tcBorders>
                                  <w:hideMark/>
                                </w:tcPr>
                                <w:p w14:paraId="2D189DB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7.9 </w:t>
                                  </w:r>
                                </w:p>
                              </w:tc>
                              <w:tc>
                                <w:tcPr>
                                  <w:tcW w:w="504" w:type="pct"/>
                                  <w:tcBorders>
                                    <w:top w:val="single" w:sz="4" w:space="0" w:color="000000"/>
                                    <w:left w:val="nil"/>
                                    <w:bottom w:val="nil"/>
                                    <w:right w:val="nil"/>
                                  </w:tcBorders>
                                  <w:hideMark/>
                                </w:tcPr>
                                <w:p w14:paraId="2466971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(12.2)  </w:t>
                                  </w:r>
                                </w:p>
                              </w:tc>
                            </w:tr>
                          </w:tbl>
                          <w:p w14:paraId="31E2F2CD" w14:textId="756F50AE" w:rsidR="00F00A1A" w:rsidRDefault="00F00A1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A3144" id="_x0000_s1060" type="#_x0000_t202" style="position:absolute;left:0;text-align:left;margin-left:434.8pt;margin-top:0;width:486pt;height:110.6pt;z-index:2517268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" stroked="f">
                <v:textbox style="mso-fit-shape-to-text:t">
                  <w:txbxContent>
                    <w:tbl>
                      <w:tblPr>
                        <w:tblW w:w="5000" w:type="pct"/>
                        <w:tblLook w:val="04A0" w:firstRow="1" w:lastRow="0" w:firstColumn="1" w:lastColumn="0" w:noHBand="0" w:noVBand="1"/>
                      </w:tblPr>
                      <w:tblGrid>
                        <w:gridCol w:w="2774"/>
                        <w:gridCol w:w="951"/>
                        <w:gridCol w:w="951"/>
                        <w:gridCol w:w="951"/>
                        <w:gridCol w:w="951"/>
                        <w:gridCol w:w="951"/>
                        <w:gridCol w:w="951"/>
                        <w:gridCol w:w="953"/>
                      </w:tblGrid>
                      <w:tr w:rsidR="00F00A1A" w:rsidRPr="00F00A1A" w14:paraId="6011CF8C" w14:textId="77777777" w:rsidTr="00F00A1A">
                        <w:trPr>
                          <w:trHeight w:val="336"/>
                        </w:trPr>
                        <w:tc>
                          <w:tcPr>
                            <w:tcW w:w="5000" w:type="pct"/>
                            <w:gridSpan w:val="8"/>
                            <w:tcBorders>
                              <w:top w:val="nil"/>
                              <w:left w:val="nil"/>
                              <w:bottom w:val="nil"/>
                              <w:right w:val="nil"/>
                            </w:tcBorders>
                            <w:noWrap/>
                            <w:vAlign w:val="bottom"/>
                            <w:hideMark/>
                          </w:tcPr>
                          <w:p w14:paraId="74544617"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Alibaba Group Holding Limited (</w:t>
                            </w:r>
                            <w:r w:rsidRPr="00F00A1A">
                              <w:rPr>
                                <w:rFonts w:ascii="Cambria" w:eastAsia="Times New Roman" w:hAnsi="Cambria" w:cs="Arial"/>
                                <w:b/>
                                <w:bCs/>
                                <w:color w:val="000000"/>
                                <w:kern w:val="0"/>
                                <w:sz w:val="14"/>
                                <w:szCs w:val="14"/>
                                <w:lang w:eastAsia="en-IN"/>
                                <w14:ligatures w14:val="none"/>
                              </w:rPr>
                              <w:t>NYSE:BABA) &gt; Financials &gt; Cash Flow</w:t>
                            </w:r>
                          </w:p>
                        </w:tc>
                      </w:tr>
                      <w:tr w:rsidR="00F00A1A" w:rsidRPr="00F00A1A" w14:paraId="50AC9295" w14:textId="77777777" w:rsidTr="00F00A1A">
                        <w:trPr>
                          <w:trHeight w:val="204"/>
                        </w:trPr>
                        <w:tc>
                          <w:tcPr>
                            <w:tcW w:w="1471" w:type="pct"/>
                            <w:tcBorders>
                              <w:top w:val="nil"/>
                              <w:left w:val="nil"/>
                              <w:bottom w:val="nil"/>
                              <w:right w:val="nil"/>
                            </w:tcBorders>
                            <w:shd w:val="clear" w:color="000000" w:fill="003366"/>
                            <w:noWrap/>
                            <w:vAlign w:val="bottom"/>
                            <w:hideMark/>
                          </w:tcPr>
                          <w:p w14:paraId="26541CFB"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Cash Flow</w:t>
                            </w:r>
                          </w:p>
                        </w:tc>
                        <w:tc>
                          <w:tcPr>
                            <w:tcW w:w="504" w:type="pct"/>
                            <w:tcBorders>
                              <w:top w:val="nil"/>
                              <w:left w:val="nil"/>
                              <w:bottom w:val="nil"/>
                              <w:right w:val="nil"/>
                            </w:tcBorders>
                            <w:shd w:val="clear" w:color="000000" w:fill="003366"/>
                            <w:noWrap/>
                            <w:vAlign w:val="bottom"/>
                            <w:hideMark/>
                          </w:tcPr>
                          <w:p w14:paraId="03E88AFA"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0B28385E"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210733AF"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2C5689A1"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0EEAC327"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5F4D6497"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c>
                          <w:tcPr>
                            <w:tcW w:w="504" w:type="pct"/>
                            <w:tcBorders>
                              <w:top w:val="nil"/>
                              <w:left w:val="nil"/>
                              <w:bottom w:val="nil"/>
                              <w:right w:val="nil"/>
                            </w:tcBorders>
                            <w:shd w:val="clear" w:color="000000" w:fill="003366"/>
                            <w:noWrap/>
                            <w:vAlign w:val="bottom"/>
                            <w:hideMark/>
                          </w:tcPr>
                          <w:p w14:paraId="3718E240" w14:textId="77777777" w:rsidR="00F00A1A" w:rsidRPr="00F00A1A" w:rsidRDefault="00F00A1A" w:rsidP="00F00A1A">
                            <w:pPr>
                              <w:spacing w:after="0" w:line="240" w:lineRule="auto"/>
                              <w:rPr>
                                <w:rFonts w:ascii="Cambria" w:eastAsia="Times New Roman" w:hAnsi="Cambria" w:cs="Arial"/>
                                <w:b/>
                                <w:bCs/>
                                <w:color w:val="FFFFFF"/>
                                <w:kern w:val="0"/>
                                <w:sz w:val="14"/>
                                <w:szCs w:val="14"/>
                                <w:lang w:eastAsia="en-IN"/>
                                <w14:ligatures w14:val="none"/>
                              </w:rPr>
                            </w:pPr>
                            <w:r w:rsidRPr="00F00A1A">
                              <w:rPr>
                                <w:rFonts w:ascii="Cambria" w:eastAsia="Times New Roman" w:hAnsi="Cambria" w:cs="Arial"/>
                                <w:b/>
                                <w:bCs/>
                                <w:color w:val="FFFFFF"/>
                                <w:kern w:val="0"/>
                                <w:sz w:val="14"/>
                                <w:szCs w:val="14"/>
                                <w:lang w:eastAsia="en-IN"/>
                                <w14:ligatures w14:val="none"/>
                              </w:rPr>
                              <w:t> </w:t>
                            </w:r>
                          </w:p>
                        </w:tc>
                      </w:tr>
                      <w:tr w:rsidR="00F00A1A" w:rsidRPr="00F00A1A" w14:paraId="5F533056" w14:textId="77777777" w:rsidTr="00F00A1A">
                        <w:trPr>
                          <w:trHeight w:val="612"/>
                        </w:trPr>
                        <w:tc>
                          <w:tcPr>
                            <w:tcW w:w="1471" w:type="pct"/>
                            <w:tcBorders>
                              <w:top w:val="nil"/>
                              <w:left w:val="nil"/>
                              <w:bottom w:val="nil"/>
                              <w:right w:val="nil"/>
                            </w:tcBorders>
                            <w:shd w:val="clear" w:color="000000" w:fill="F0F0DC"/>
                            <w:vAlign w:val="bottom"/>
                            <w:hideMark/>
                          </w:tcPr>
                          <w:p w14:paraId="07803619"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For the Fiscal Period Ending</w:t>
                            </w:r>
                          </w:p>
                        </w:tc>
                        <w:tc>
                          <w:tcPr>
                            <w:tcW w:w="504" w:type="pct"/>
                            <w:tcBorders>
                              <w:top w:val="nil"/>
                              <w:left w:val="nil"/>
                              <w:bottom w:val="nil"/>
                              <w:right w:val="nil"/>
                            </w:tcBorders>
                            <w:shd w:val="clear" w:color="000000" w:fill="F0F0DC"/>
                            <w:vAlign w:val="bottom"/>
                            <w:hideMark/>
                          </w:tcPr>
                          <w:p w14:paraId="5CA819F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Mar-31-2019</w:t>
                            </w:r>
                          </w:p>
                        </w:tc>
                        <w:tc>
                          <w:tcPr>
                            <w:tcW w:w="504" w:type="pct"/>
                            <w:tcBorders>
                              <w:top w:val="nil"/>
                              <w:left w:val="nil"/>
                              <w:bottom w:val="nil"/>
                              <w:right w:val="nil"/>
                            </w:tcBorders>
                            <w:shd w:val="clear" w:color="000000" w:fill="F0F0DC"/>
                            <w:vAlign w:val="bottom"/>
                            <w:hideMark/>
                          </w:tcPr>
                          <w:p w14:paraId="37FA3F5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Mar-31-2020</w:t>
                            </w:r>
                          </w:p>
                        </w:tc>
                        <w:tc>
                          <w:tcPr>
                            <w:tcW w:w="504" w:type="pct"/>
                            <w:tcBorders>
                              <w:top w:val="nil"/>
                              <w:left w:val="nil"/>
                              <w:bottom w:val="nil"/>
                              <w:right w:val="nil"/>
                            </w:tcBorders>
                            <w:shd w:val="clear" w:color="000000" w:fill="F0F0DC"/>
                            <w:vAlign w:val="bottom"/>
                            <w:hideMark/>
                          </w:tcPr>
                          <w:p w14:paraId="165C3E6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Mar-31-2021</w:t>
                            </w:r>
                          </w:p>
                        </w:tc>
                        <w:tc>
                          <w:tcPr>
                            <w:tcW w:w="504" w:type="pct"/>
                            <w:tcBorders>
                              <w:top w:val="nil"/>
                              <w:left w:val="nil"/>
                              <w:bottom w:val="nil"/>
                              <w:right w:val="nil"/>
                            </w:tcBorders>
                            <w:shd w:val="clear" w:color="000000" w:fill="F0F0DC"/>
                            <w:vAlign w:val="bottom"/>
                            <w:hideMark/>
                          </w:tcPr>
                          <w:p w14:paraId="6BD1BFF0"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Mar-31-2022</w:t>
                            </w:r>
                          </w:p>
                        </w:tc>
                        <w:tc>
                          <w:tcPr>
                            <w:tcW w:w="504" w:type="pct"/>
                            <w:tcBorders>
                              <w:top w:val="nil"/>
                              <w:left w:val="nil"/>
                              <w:bottom w:val="nil"/>
                              <w:right w:val="nil"/>
                            </w:tcBorders>
                            <w:shd w:val="clear" w:color="000000" w:fill="F0F0DC"/>
                            <w:vAlign w:val="bottom"/>
                            <w:hideMark/>
                          </w:tcPr>
                          <w:p w14:paraId="68BD5CE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Mar-31-2023</w:t>
                            </w:r>
                          </w:p>
                        </w:tc>
                        <w:tc>
                          <w:tcPr>
                            <w:tcW w:w="504" w:type="pct"/>
                            <w:tcBorders>
                              <w:top w:val="nil"/>
                              <w:left w:val="nil"/>
                              <w:bottom w:val="nil"/>
                              <w:right w:val="nil"/>
                            </w:tcBorders>
                            <w:shd w:val="clear" w:color="000000" w:fill="F0F0DC"/>
                            <w:vAlign w:val="bottom"/>
                            <w:hideMark/>
                          </w:tcPr>
                          <w:p w14:paraId="43A33BA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12 months</w:t>
                            </w:r>
                            <w:r w:rsidRPr="00F00A1A">
                              <w:rPr>
                                <w:rFonts w:ascii="Cambria" w:eastAsia="Times New Roman" w:hAnsi="Cambria" w:cs="Arial"/>
                                <w:b/>
                                <w:bCs/>
                                <w:color w:val="000000"/>
                                <w:kern w:val="0"/>
                                <w:sz w:val="14"/>
                                <w:szCs w:val="14"/>
                                <w:lang w:eastAsia="en-IN"/>
                                <w14:ligatures w14:val="none"/>
                              </w:rPr>
                              <w:br/>
                              <w:t>Mar-31-2024</w:t>
                            </w:r>
                          </w:p>
                        </w:tc>
                        <w:tc>
                          <w:tcPr>
                            <w:tcW w:w="504" w:type="pct"/>
                            <w:tcBorders>
                              <w:top w:val="nil"/>
                              <w:left w:val="nil"/>
                              <w:bottom w:val="nil"/>
                              <w:right w:val="nil"/>
                            </w:tcBorders>
                            <w:shd w:val="clear" w:color="000000" w:fill="F0F0DC"/>
                            <w:vAlign w:val="bottom"/>
                            <w:hideMark/>
                          </w:tcPr>
                          <w:p w14:paraId="6835498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LTM</w:t>
                            </w:r>
                            <w:r w:rsidRPr="00F00A1A">
                              <w:rPr>
                                <w:rFonts w:ascii="Cambria" w:eastAsia="Times New Roman" w:hAnsi="Cambria" w:cs="Arial"/>
                                <w:b/>
                                <w:bCs/>
                                <w:color w:val="000000"/>
                                <w:kern w:val="0"/>
                                <w:sz w:val="14"/>
                                <w:szCs w:val="14"/>
                                <w:lang w:eastAsia="en-IN"/>
                                <w14:ligatures w14:val="none"/>
                              </w:rPr>
                              <w:br/>
                              <w:t>12 months</w:t>
                            </w:r>
                            <w:r w:rsidRPr="00F00A1A">
                              <w:rPr>
                                <w:rFonts w:ascii="Cambria" w:eastAsia="Times New Roman" w:hAnsi="Cambria" w:cs="Arial"/>
                                <w:b/>
                                <w:bCs/>
                                <w:color w:val="000000"/>
                                <w:kern w:val="0"/>
                                <w:sz w:val="14"/>
                                <w:szCs w:val="14"/>
                                <w:lang w:eastAsia="en-IN"/>
                                <w14:ligatures w14:val="none"/>
                              </w:rPr>
                              <w:br/>
                              <w:t>Dec-31-2024</w:t>
                            </w:r>
                          </w:p>
                        </w:tc>
                      </w:tr>
                      <w:tr w:rsidR="00F00A1A" w:rsidRPr="00F00A1A" w14:paraId="611382A6" w14:textId="77777777" w:rsidTr="00F00A1A">
                        <w:trPr>
                          <w:trHeight w:val="204"/>
                        </w:trPr>
                        <w:tc>
                          <w:tcPr>
                            <w:tcW w:w="1471" w:type="pct"/>
                            <w:tcBorders>
                              <w:top w:val="nil"/>
                              <w:left w:val="nil"/>
                              <w:bottom w:val="nil"/>
                              <w:right w:val="nil"/>
                            </w:tcBorders>
                            <w:shd w:val="clear" w:color="000000" w:fill="F0F0DC"/>
                            <w:vAlign w:val="bottom"/>
                            <w:hideMark/>
                          </w:tcPr>
                          <w:p w14:paraId="15724117" w14:textId="77777777" w:rsidR="00F00A1A" w:rsidRPr="00F00A1A" w:rsidRDefault="00F00A1A" w:rsidP="00F00A1A">
                            <w:pPr>
                              <w:spacing w:after="0" w:line="240" w:lineRule="auto"/>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Currency</w:t>
                            </w:r>
                          </w:p>
                        </w:tc>
                        <w:tc>
                          <w:tcPr>
                            <w:tcW w:w="504" w:type="pct"/>
                            <w:tcBorders>
                              <w:top w:val="nil"/>
                              <w:left w:val="nil"/>
                              <w:bottom w:val="nil"/>
                              <w:right w:val="nil"/>
                            </w:tcBorders>
                            <w:shd w:val="clear" w:color="000000" w:fill="F0F0DC"/>
                            <w:vAlign w:val="bottom"/>
                            <w:hideMark/>
                          </w:tcPr>
                          <w:p w14:paraId="5B37CDC5"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6DDE42C"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9872B27"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218F2F5E"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D18E578"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F27E88A"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c>
                          <w:tcPr>
                            <w:tcW w:w="504" w:type="pct"/>
                            <w:tcBorders>
                              <w:top w:val="nil"/>
                              <w:left w:val="nil"/>
                              <w:bottom w:val="nil"/>
                              <w:right w:val="nil"/>
                            </w:tcBorders>
                            <w:shd w:val="clear" w:color="000000" w:fill="F0F0DC"/>
                            <w:vAlign w:val="bottom"/>
                            <w:hideMark/>
                          </w:tcPr>
                          <w:p w14:paraId="0910B59A" w14:textId="77777777" w:rsidR="00F00A1A" w:rsidRPr="00F00A1A" w:rsidRDefault="00F00A1A" w:rsidP="00F00A1A">
                            <w:pPr>
                              <w:spacing w:after="0" w:line="240" w:lineRule="auto"/>
                              <w:jc w:val="right"/>
                              <w:rPr>
                                <w:rFonts w:ascii="Cambria" w:eastAsia="Times New Roman" w:hAnsi="Cambria" w:cs="Arial"/>
                                <w:b/>
                                <w:bCs/>
                                <w:i/>
                                <w:iCs/>
                                <w:color w:val="000000"/>
                                <w:kern w:val="0"/>
                                <w:sz w:val="14"/>
                                <w:szCs w:val="14"/>
                                <w:lang w:eastAsia="en-IN"/>
                                <w14:ligatures w14:val="none"/>
                              </w:rPr>
                            </w:pPr>
                            <w:r w:rsidRPr="00F00A1A">
                              <w:rPr>
                                <w:rFonts w:ascii="Cambria" w:eastAsia="Times New Roman" w:hAnsi="Cambria" w:cs="Arial"/>
                                <w:b/>
                                <w:bCs/>
                                <w:i/>
                                <w:iCs/>
                                <w:color w:val="000000"/>
                                <w:kern w:val="0"/>
                                <w:sz w:val="14"/>
                                <w:szCs w:val="14"/>
                                <w:lang w:eastAsia="en-IN"/>
                                <w14:ligatures w14:val="none"/>
                              </w:rPr>
                              <w:t>USD</w:t>
                            </w:r>
                          </w:p>
                        </w:tc>
                      </w:tr>
                      <w:tr w:rsidR="00F00A1A" w:rsidRPr="00F00A1A" w14:paraId="0F97BCBF" w14:textId="77777777" w:rsidTr="00F00A1A">
                        <w:trPr>
                          <w:trHeight w:val="204"/>
                        </w:trPr>
                        <w:tc>
                          <w:tcPr>
                            <w:tcW w:w="1471" w:type="pct"/>
                            <w:tcBorders>
                              <w:top w:val="nil"/>
                              <w:left w:val="nil"/>
                              <w:bottom w:val="nil"/>
                              <w:right w:val="nil"/>
                            </w:tcBorders>
                            <w:noWrap/>
                            <w:hideMark/>
                          </w:tcPr>
                          <w:p w14:paraId="448812DD"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Net Income</w:t>
                            </w:r>
                          </w:p>
                        </w:tc>
                        <w:tc>
                          <w:tcPr>
                            <w:tcW w:w="504" w:type="pct"/>
                            <w:tcBorders>
                              <w:top w:val="nil"/>
                              <w:left w:val="nil"/>
                              <w:bottom w:val="nil"/>
                              <w:right w:val="nil"/>
                            </w:tcBorders>
                            <w:hideMark/>
                          </w:tcPr>
                          <w:p w14:paraId="33488C17"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13.1 </w:t>
                            </w:r>
                          </w:p>
                        </w:tc>
                        <w:tc>
                          <w:tcPr>
                            <w:tcW w:w="504" w:type="pct"/>
                            <w:tcBorders>
                              <w:top w:val="nil"/>
                              <w:left w:val="nil"/>
                              <w:bottom w:val="nil"/>
                              <w:right w:val="nil"/>
                            </w:tcBorders>
                            <w:hideMark/>
                          </w:tcPr>
                          <w:p w14:paraId="0133261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21.1 </w:t>
                            </w:r>
                          </w:p>
                        </w:tc>
                        <w:tc>
                          <w:tcPr>
                            <w:tcW w:w="504" w:type="pct"/>
                            <w:tcBorders>
                              <w:top w:val="nil"/>
                              <w:left w:val="nil"/>
                              <w:bottom w:val="nil"/>
                              <w:right w:val="nil"/>
                            </w:tcBorders>
                            <w:hideMark/>
                          </w:tcPr>
                          <w:p w14:paraId="22495B7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23.0 </w:t>
                            </w:r>
                          </w:p>
                        </w:tc>
                        <w:tc>
                          <w:tcPr>
                            <w:tcW w:w="504" w:type="pct"/>
                            <w:tcBorders>
                              <w:top w:val="nil"/>
                              <w:left w:val="nil"/>
                              <w:bottom w:val="nil"/>
                              <w:right w:val="nil"/>
                            </w:tcBorders>
                            <w:hideMark/>
                          </w:tcPr>
                          <w:p w14:paraId="7346713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9.8 </w:t>
                            </w:r>
                          </w:p>
                        </w:tc>
                        <w:tc>
                          <w:tcPr>
                            <w:tcW w:w="504" w:type="pct"/>
                            <w:tcBorders>
                              <w:top w:val="nil"/>
                              <w:left w:val="nil"/>
                              <w:bottom w:val="nil"/>
                              <w:right w:val="nil"/>
                            </w:tcBorders>
                            <w:hideMark/>
                          </w:tcPr>
                          <w:p w14:paraId="70715A6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10.6 </w:t>
                            </w:r>
                          </w:p>
                        </w:tc>
                        <w:tc>
                          <w:tcPr>
                            <w:tcW w:w="504" w:type="pct"/>
                            <w:tcBorders>
                              <w:top w:val="nil"/>
                              <w:left w:val="nil"/>
                              <w:bottom w:val="nil"/>
                              <w:right w:val="nil"/>
                            </w:tcBorders>
                            <w:hideMark/>
                          </w:tcPr>
                          <w:p w14:paraId="47A5EB5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11.1 </w:t>
                            </w:r>
                          </w:p>
                        </w:tc>
                        <w:tc>
                          <w:tcPr>
                            <w:tcW w:w="504" w:type="pct"/>
                            <w:tcBorders>
                              <w:top w:val="nil"/>
                              <w:left w:val="nil"/>
                              <w:bottom w:val="nil"/>
                              <w:right w:val="nil"/>
                            </w:tcBorders>
                            <w:hideMark/>
                          </w:tcPr>
                          <w:p w14:paraId="4343802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16.6 </w:t>
                            </w:r>
                          </w:p>
                        </w:tc>
                      </w:tr>
                      <w:tr w:rsidR="00F00A1A" w:rsidRPr="00F00A1A" w14:paraId="0C07CB82" w14:textId="77777777" w:rsidTr="00F00A1A">
                        <w:trPr>
                          <w:trHeight w:val="204"/>
                        </w:trPr>
                        <w:tc>
                          <w:tcPr>
                            <w:tcW w:w="1471" w:type="pct"/>
                            <w:tcBorders>
                              <w:top w:val="nil"/>
                              <w:left w:val="nil"/>
                              <w:bottom w:val="nil"/>
                              <w:right w:val="nil"/>
                            </w:tcBorders>
                            <w:noWrap/>
                            <w:hideMark/>
                          </w:tcPr>
                          <w:p w14:paraId="4B30B2CB"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Depreciation &amp; Amort.</w:t>
                            </w:r>
                          </w:p>
                        </w:tc>
                        <w:tc>
                          <w:tcPr>
                            <w:tcW w:w="504" w:type="pct"/>
                            <w:tcBorders>
                              <w:top w:val="nil"/>
                              <w:left w:val="nil"/>
                              <w:bottom w:val="nil"/>
                              <w:right w:val="nil"/>
                            </w:tcBorders>
                            <w:hideMark/>
                          </w:tcPr>
                          <w:p w14:paraId="2647F38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315778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2.9 </w:t>
                            </w:r>
                          </w:p>
                        </w:tc>
                        <w:tc>
                          <w:tcPr>
                            <w:tcW w:w="504" w:type="pct"/>
                            <w:tcBorders>
                              <w:top w:val="nil"/>
                              <w:left w:val="nil"/>
                              <w:bottom w:val="nil"/>
                              <w:right w:val="nil"/>
                            </w:tcBorders>
                            <w:hideMark/>
                          </w:tcPr>
                          <w:p w14:paraId="03AF53D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4.0 </w:t>
                            </w:r>
                          </w:p>
                        </w:tc>
                        <w:tc>
                          <w:tcPr>
                            <w:tcW w:w="504" w:type="pct"/>
                            <w:tcBorders>
                              <w:top w:val="nil"/>
                              <w:left w:val="nil"/>
                              <w:bottom w:val="nil"/>
                              <w:right w:val="nil"/>
                            </w:tcBorders>
                            <w:hideMark/>
                          </w:tcPr>
                          <w:p w14:paraId="7830B44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c>
                          <w:tcPr>
                            <w:tcW w:w="504" w:type="pct"/>
                            <w:tcBorders>
                              <w:top w:val="nil"/>
                              <w:left w:val="nil"/>
                              <w:bottom w:val="nil"/>
                              <w:right w:val="nil"/>
                            </w:tcBorders>
                            <w:hideMark/>
                          </w:tcPr>
                          <w:p w14:paraId="7F80D8B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4.0 </w:t>
                            </w:r>
                          </w:p>
                        </w:tc>
                        <w:tc>
                          <w:tcPr>
                            <w:tcW w:w="504" w:type="pct"/>
                            <w:tcBorders>
                              <w:top w:val="nil"/>
                              <w:left w:val="nil"/>
                              <w:bottom w:val="nil"/>
                              <w:right w:val="nil"/>
                            </w:tcBorders>
                            <w:hideMark/>
                          </w:tcPr>
                          <w:p w14:paraId="0D06C4E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3.7 </w:t>
                            </w:r>
                          </w:p>
                        </w:tc>
                        <w:tc>
                          <w:tcPr>
                            <w:tcW w:w="504" w:type="pct"/>
                            <w:tcBorders>
                              <w:top w:val="nil"/>
                              <w:left w:val="nil"/>
                              <w:bottom w:val="nil"/>
                              <w:right w:val="nil"/>
                            </w:tcBorders>
                            <w:hideMark/>
                          </w:tcPr>
                          <w:p w14:paraId="57BD16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3.7 </w:t>
                            </w:r>
                          </w:p>
                        </w:tc>
                      </w:tr>
                      <w:tr w:rsidR="00F00A1A" w:rsidRPr="00F00A1A" w14:paraId="175246DF" w14:textId="77777777" w:rsidTr="00F00A1A">
                        <w:trPr>
                          <w:trHeight w:val="204"/>
                        </w:trPr>
                        <w:tc>
                          <w:tcPr>
                            <w:tcW w:w="1471" w:type="pct"/>
                            <w:tcBorders>
                              <w:top w:val="nil"/>
                              <w:left w:val="nil"/>
                              <w:bottom w:val="nil"/>
                              <w:right w:val="nil"/>
                            </w:tcBorders>
                            <w:noWrap/>
                            <w:hideMark/>
                          </w:tcPr>
                          <w:p w14:paraId="2216FEF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Amort. of Goodwill and Intangibles</w:t>
                            </w:r>
                          </w:p>
                        </w:tc>
                        <w:tc>
                          <w:tcPr>
                            <w:tcW w:w="504" w:type="pct"/>
                            <w:tcBorders>
                              <w:top w:val="nil"/>
                              <w:left w:val="nil"/>
                              <w:bottom w:val="nil"/>
                              <w:right w:val="nil"/>
                            </w:tcBorders>
                            <w:hideMark/>
                          </w:tcPr>
                          <w:p w14:paraId="673F065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77E2360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3C408EC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13B149A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3.2 </w:t>
                            </w:r>
                          </w:p>
                        </w:tc>
                        <w:tc>
                          <w:tcPr>
                            <w:tcW w:w="504" w:type="pct"/>
                            <w:tcBorders>
                              <w:top w:val="nil"/>
                              <w:left w:val="nil"/>
                              <w:bottom w:val="nil"/>
                              <w:right w:val="nil"/>
                            </w:tcBorders>
                            <w:hideMark/>
                          </w:tcPr>
                          <w:p w14:paraId="136410D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2.8 </w:t>
                            </w:r>
                          </w:p>
                        </w:tc>
                        <w:tc>
                          <w:tcPr>
                            <w:tcW w:w="504" w:type="pct"/>
                            <w:tcBorders>
                              <w:top w:val="nil"/>
                              <w:left w:val="nil"/>
                              <w:bottom w:val="nil"/>
                              <w:right w:val="nil"/>
                            </w:tcBorders>
                            <w:hideMark/>
                          </w:tcPr>
                          <w:p w14:paraId="00E7F62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c>
                          <w:tcPr>
                            <w:tcW w:w="504" w:type="pct"/>
                            <w:tcBorders>
                              <w:top w:val="nil"/>
                              <w:left w:val="nil"/>
                              <w:bottom w:val="nil"/>
                              <w:right w:val="nil"/>
                            </w:tcBorders>
                            <w:hideMark/>
                          </w:tcPr>
                          <w:p w14:paraId="5DDA35E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r>
                      <w:tr w:rsidR="00F00A1A" w:rsidRPr="00F00A1A" w14:paraId="0982FFDA" w14:textId="77777777" w:rsidTr="00F00A1A">
                        <w:trPr>
                          <w:trHeight w:val="204"/>
                        </w:trPr>
                        <w:tc>
                          <w:tcPr>
                            <w:tcW w:w="1471" w:type="pct"/>
                            <w:tcBorders>
                              <w:top w:val="nil"/>
                              <w:left w:val="nil"/>
                              <w:bottom w:val="nil"/>
                              <w:right w:val="nil"/>
                            </w:tcBorders>
                            <w:noWrap/>
                            <w:hideMark/>
                          </w:tcPr>
                          <w:p w14:paraId="4A758C3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Depreciation &amp; Amort., Total</w:t>
                            </w:r>
                          </w:p>
                        </w:tc>
                        <w:tc>
                          <w:tcPr>
                            <w:tcW w:w="504" w:type="pct"/>
                            <w:tcBorders>
                              <w:top w:val="single" w:sz="4" w:space="0" w:color="000000"/>
                              <w:left w:val="nil"/>
                              <w:bottom w:val="nil"/>
                              <w:right w:val="nil"/>
                            </w:tcBorders>
                            <w:hideMark/>
                          </w:tcPr>
                          <w:p w14:paraId="1A8FE99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5.5 </w:t>
                            </w:r>
                          </w:p>
                        </w:tc>
                        <w:tc>
                          <w:tcPr>
                            <w:tcW w:w="504" w:type="pct"/>
                            <w:tcBorders>
                              <w:top w:val="single" w:sz="4" w:space="0" w:color="000000"/>
                              <w:left w:val="nil"/>
                              <w:bottom w:val="nil"/>
                              <w:right w:val="nil"/>
                            </w:tcBorders>
                            <w:hideMark/>
                          </w:tcPr>
                          <w:p w14:paraId="1E017C7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6.0 </w:t>
                            </w:r>
                          </w:p>
                        </w:tc>
                        <w:tc>
                          <w:tcPr>
                            <w:tcW w:w="504" w:type="pct"/>
                            <w:tcBorders>
                              <w:top w:val="single" w:sz="4" w:space="0" w:color="000000"/>
                              <w:left w:val="nil"/>
                              <w:bottom w:val="nil"/>
                              <w:right w:val="nil"/>
                            </w:tcBorders>
                            <w:hideMark/>
                          </w:tcPr>
                          <w:p w14:paraId="3A10613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7.3 </w:t>
                            </w:r>
                          </w:p>
                        </w:tc>
                        <w:tc>
                          <w:tcPr>
                            <w:tcW w:w="504" w:type="pct"/>
                            <w:tcBorders>
                              <w:top w:val="single" w:sz="4" w:space="0" w:color="000000"/>
                              <w:left w:val="nil"/>
                              <w:bottom w:val="nil"/>
                              <w:right w:val="nil"/>
                            </w:tcBorders>
                            <w:hideMark/>
                          </w:tcPr>
                          <w:p w14:paraId="216EEE4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7.6 </w:t>
                            </w:r>
                          </w:p>
                        </w:tc>
                        <w:tc>
                          <w:tcPr>
                            <w:tcW w:w="504" w:type="pct"/>
                            <w:tcBorders>
                              <w:top w:val="single" w:sz="4" w:space="0" w:color="000000"/>
                              <w:left w:val="nil"/>
                              <w:bottom w:val="nil"/>
                              <w:right w:val="nil"/>
                            </w:tcBorders>
                            <w:hideMark/>
                          </w:tcPr>
                          <w:p w14:paraId="37B7C51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6.8 </w:t>
                            </w:r>
                          </w:p>
                        </w:tc>
                        <w:tc>
                          <w:tcPr>
                            <w:tcW w:w="504" w:type="pct"/>
                            <w:tcBorders>
                              <w:top w:val="single" w:sz="4" w:space="0" w:color="000000"/>
                              <w:left w:val="nil"/>
                              <w:bottom w:val="nil"/>
                              <w:right w:val="nil"/>
                            </w:tcBorders>
                            <w:hideMark/>
                          </w:tcPr>
                          <w:p w14:paraId="20114FD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6.2 </w:t>
                            </w:r>
                          </w:p>
                        </w:tc>
                        <w:tc>
                          <w:tcPr>
                            <w:tcW w:w="504" w:type="pct"/>
                            <w:tcBorders>
                              <w:top w:val="single" w:sz="4" w:space="0" w:color="000000"/>
                              <w:left w:val="nil"/>
                              <w:bottom w:val="nil"/>
                              <w:right w:val="nil"/>
                            </w:tcBorders>
                            <w:hideMark/>
                          </w:tcPr>
                          <w:p w14:paraId="533092F7"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5.8 </w:t>
                            </w:r>
                          </w:p>
                        </w:tc>
                      </w:tr>
                      <w:tr w:rsidR="00F00A1A" w:rsidRPr="00F00A1A" w14:paraId="3927EE1D" w14:textId="77777777" w:rsidTr="00F00A1A">
                        <w:trPr>
                          <w:trHeight w:val="204"/>
                        </w:trPr>
                        <w:tc>
                          <w:tcPr>
                            <w:tcW w:w="1471" w:type="pct"/>
                            <w:tcBorders>
                              <w:top w:val="nil"/>
                              <w:left w:val="nil"/>
                              <w:bottom w:val="nil"/>
                              <w:right w:val="nil"/>
                            </w:tcBorders>
                            <w:noWrap/>
                            <w:hideMark/>
                          </w:tcPr>
                          <w:p w14:paraId="019DF3D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Amortization</w:t>
                            </w:r>
                          </w:p>
                        </w:tc>
                        <w:tc>
                          <w:tcPr>
                            <w:tcW w:w="504" w:type="pct"/>
                            <w:tcBorders>
                              <w:top w:val="nil"/>
                              <w:left w:val="nil"/>
                              <w:bottom w:val="nil"/>
                              <w:right w:val="nil"/>
                            </w:tcBorders>
                            <w:hideMark/>
                          </w:tcPr>
                          <w:p w14:paraId="239F2D1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2C9153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5E2FB9F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67FD790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217F5B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6C3ABCA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24645BF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462E03FF" w14:textId="77777777" w:rsidTr="00F00A1A">
                        <w:trPr>
                          <w:trHeight w:val="204"/>
                        </w:trPr>
                        <w:tc>
                          <w:tcPr>
                            <w:tcW w:w="1471" w:type="pct"/>
                            <w:tcBorders>
                              <w:top w:val="nil"/>
                              <w:left w:val="nil"/>
                              <w:bottom w:val="nil"/>
                              <w:right w:val="nil"/>
                            </w:tcBorders>
                            <w:noWrap/>
                            <w:hideMark/>
                          </w:tcPr>
                          <w:p w14:paraId="4BE6A5E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(Gain) Loss From Sale Of Assets</w:t>
                            </w:r>
                          </w:p>
                        </w:tc>
                        <w:tc>
                          <w:tcPr>
                            <w:tcW w:w="504" w:type="pct"/>
                            <w:tcBorders>
                              <w:top w:val="nil"/>
                              <w:left w:val="nil"/>
                              <w:bottom w:val="nil"/>
                              <w:right w:val="nil"/>
                            </w:tcBorders>
                            <w:hideMark/>
                          </w:tcPr>
                          <w:p w14:paraId="6A7760D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00C9F9D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c>
                          <w:tcPr>
                            <w:tcW w:w="504" w:type="pct"/>
                            <w:tcBorders>
                              <w:top w:val="nil"/>
                              <w:left w:val="nil"/>
                              <w:bottom w:val="nil"/>
                              <w:right w:val="nil"/>
                            </w:tcBorders>
                            <w:hideMark/>
                          </w:tcPr>
                          <w:p w14:paraId="5F832EC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46A6A1E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19DC16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C1280B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CE19C1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r>
                      <w:tr w:rsidR="00F00A1A" w:rsidRPr="00F00A1A" w14:paraId="0FF02BD1" w14:textId="77777777" w:rsidTr="00F00A1A">
                        <w:trPr>
                          <w:trHeight w:val="204"/>
                        </w:trPr>
                        <w:tc>
                          <w:tcPr>
                            <w:tcW w:w="1471" w:type="pct"/>
                            <w:tcBorders>
                              <w:top w:val="nil"/>
                              <w:left w:val="nil"/>
                              <w:bottom w:val="nil"/>
                              <w:right w:val="nil"/>
                            </w:tcBorders>
                            <w:noWrap/>
                            <w:hideMark/>
                          </w:tcPr>
                          <w:p w14:paraId="6E5C237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(Gain) Loss On Sale Of Invest.</w:t>
                            </w:r>
                          </w:p>
                        </w:tc>
                        <w:tc>
                          <w:tcPr>
                            <w:tcW w:w="504" w:type="pct"/>
                            <w:tcBorders>
                              <w:top w:val="nil"/>
                              <w:left w:val="nil"/>
                              <w:bottom w:val="nil"/>
                              <w:right w:val="nil"/>
                            </w:tcBorders>
                            <w:hideMark/>
                          </w:tcPr>
                          <w:p w14:paraId="5FC97BD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4FA20CB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 </w:t>
                            </w:r>
                          </w:p>
                        </w:tc>
                        <w:tc>
                          <w:tcPr>
                            <w:tcW w:w="504" w:type="pct"/>
                            <w:tcBorders>
                              <w:top w:val="nil"/>
                              <w:left w:val="nil"/>
                              <w:bottom w:val="nil"/>
                              <w:right w:val="nil"/>
                            </w:tcBorders>
                            <w:hideMark/>
                          </w:tcPr>
                          <w:p w14:paraId="16CF18E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(9.1)  </w:t>
                            </w:r>
                          </w:p>
                        </w:tc>
                        <w:tc>
                          <w:tcPr>
                            <w:tcW w:w="504" w:type="pct"/>
                            <w:tcBorders>
                              <w:top w:val="nil"/>
                              <w:left w:val="nil"/>
                              <w:bottom w:val="nil"/>
                              <w:right w:val="nil"/>
                            </w:tcBorders>
                            <w:hideMark/>
                          </w:tcPr>
                          <w:p w14:paraId="21FC48B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4.6 </w:t>
                            </w:r>
                          </w:p>
                        </w:tc>
                        <w:tc>
                          <w:tcPr>
                            <w:tcW w:w="504" w:type="pct"/>
                            <w:tcBorders>
                              <w:top w:val="nil"/>
                              <w:left w:val="nil"/>
                              <w:bottom w:val="nil"/>
                              <w:right w:val="nil"/>
                            </w:tcBorders>
                            <w:hideMark/>
                          </w:tcPr>
                          <w:p w14:paraId="667F522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4.1 </w:t>
                            </w:r>
                          </w:p>
                        </w:tc>
                        <w:tc>
                          <w:tcPr>
                            <w:tcW w:w="504" w:type="pct"/>
                            <w:tcBorders>
                              <w:top w:val="nil"/>
                              <w:left w:val="nil"/>
                              <w:bottom w:val="nil"/>
                              <w:right w:val="nil"/>
                            </w:tcBorders>
                            <w:hideMark/>
                          </w:tcPr>
                          <w:p w14:paraId="3D80682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c>
                          <w:tcPr>
                            <w:tcW w:w="504" w:type="pct"/>
                            <w:tcBorders>
                              <w:top w:val="nil"/>
                              <w:left w:val="nil"/>
                              <w:bottom w:val="nil"/>
                              <w:right w:val="nil"/>
                            </w:tcBorders>
                            <w:hideMark/>
                          </w:tcPr>
                          <w:p w14:paraId="022992C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r>
                      <w:tr w:rsidR="00F00A1A" w:rsidRPr="00F00A1A" w14:paraId="1AFF9FF9" w14:textId="77777777" w:rsidTr="00F00A1A">
                        <w:trPr>
                          <w:trHeight w:val="204"/>
                        </w:trPr>
                        <w:tc>
                          <w:tcPr>
                            <w:tcW w:w="1471" w:type="pct"/>
                            <w:tcBorders>
                              <w:top w:val="nil"/>
                              <w:left w:val="nil"/>
                              <w:bottom w:val="nil"/>
                              <w:right w:val="nil"/>
                            </w:tcBorders>
                            <w:noWrap/>
                            <w:hideMark/>
                          </w:tcPr>
                          <w:p w14:paraId="0BCDB6C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Asset </w:t>
                            </w:r>
                            <w:r w:rsidRPr="00F00A1A">
                              <w:rPr>
                                <w:rFonts w:ascii="Cambria" w:eastAsia="Times New Roman" w:hAnsi="Cambria" w:cs="Arial"/>
                                <w:color w:val="000000"/>
                                <w:kern w:val="0"/>
                                <w:sz w:val="14"/>
                                <w:szCs w:val="14"/>
                                <w:lang w:eastAsia="en-IN"/>
                                <w14:ligatures w14:val="none"/>
                              </w:rPr>
                              <w:t>Writedown &amp; Restructuring Costs</w:t>
                            </w:r>
                          </w:p>
                        </w:tc>
                        <w:tc>
                          <w:tcPr>
                            <w:tcW w:w="504" w:type="pct"/>
                            <w:tcBorders>
                              <w:top w:val="nil"/>
                              <w:left w:val="nil"/>
                              <w:bottom w:val="nil"/>
                              <w:right w:val="nil"/>
                            </w:tcBorders>
                            <w:hideMark/>
                          </w:tcPr>
                          <w:p w14:paraId="6DE92C6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25597C4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7500A7C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353223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4.3 </w:t>
                            </w:r>
                          </w:p>
                        </w:tc>
                        <w:tc>
                          <w:tcPr>
                            <w:tcW w:w="504" w:type="pct"/>
                            <w:tcBorders>
                              <w:top w:val="nil"/>
                              <w:left w:val="nil"/>
                              <w:bottom w:val="nil"/>
                              <w:right w:val="nil"/>
                            </w:tcBorders>
                            <w:hideMark/>
                          </w:tcPr>
                          <w:p w14:paraId="5F81849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06C938A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3.0 </w:t>
                            </w:r>
                          </w:p>
                        </w:tc>
                        <w:tc>
                          <w:tcPr>
                            <w:tcW w:w="504" w:type="pct"/>
                            <w:tcBorders>
                              <w:top w:val="nil"/>
                              <w:left w:val="nil"/>
                              <w:bottom w:val="nil"/>
                              <w:right w:val="nil"/>
                            </w:tcBorders>
                            <w:hideMark/>
                          </w:tcPr>
                          <w:p w14:paraId="708E37C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r>
                      <w:tr w:rsidR="00F00A1A" w:rsidRPr="00F00A1A" w14:paraId="270ED165" w14:textId="77777777" w:rsidTr="00F00A1A">
                        <w:trPr>
                          <w:trHeight w:val="204"/>
                        </w:trPr>
                        <w:tc>
                          <w:tcPr>
                            <w:tcW w:w="1471" w:type="pct"/>
                            <w:tcBorders>
                              <w:top w:val="nil"/>
                              <w:left w:val="nil"/>
                              <w:bottom w:val="nil"/>
                              <w:right w:val="nil"/>
                            </w:tcBorders>
                            <w:noWrap/>
                            <w:hideMark/>
                          </w:tcPr>
                          <w:p w14:paraId="5BA8C78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(Income) Loss on Equity Invest.</w:t>
                            </w:r>
                          </w:p>
                        </w:tc>
                        <w:tc>
                          <w:tcPr>
                            <w:tcW w:w="504" w:type="pct"/>
                            <w:tcBorders>
                              <w:top w:val="nil"/>
                              <w:left w:val="nil"/>
                              <w:bottom w:val="nil"/>
                              <w:right w:val="nil"/>
                            </w:tcBorders>
                            <w:hideMark/>
                          </w:tcPr>
                          <w:p w14:paraId="74FB8F7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71BB80A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414357F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4F927BB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  </w:t>
                            </w:r>
                          </w:p>
                        </w:tc>
                        <w:tc>
                          <w:tcPr>
                            <w:tcW w:w="504" w:type="pct"/>
                            <w:tcBorders>
                              <w:top w:val="nil"/>
                              <w:left w:val="nil"/>
                              <w:bottom w:val="nil"/>
                              <w:right w:val="nil"/>
                            </w:tcBorders>
                            <w:hideMark/>
                          </w:tcPr>
                          <w:p w14:paraId="41A1054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 </w:t>
                            </w:r>
                          </w:p>
                        </w:tc>
                        <w:tc>
                          <w:tcPr>
                            <w:tcW w:w="504" w:type="pct"/>
                            <w:tcBorders>
                              <w:top w:val="nil"/>
                              <w:left w:val="nil"/>
                              <w:bottom w:val="nil"/>
                              <w:right w:val="nil"/>
                            </w:tcBorders>
                            <w:hideMark/>
                          </w:tcPr>
                          <w:p w14:paraId="595460E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1516CEF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r>
                      <w:tr w:rsidR="00F00A1A" w:rsidRPr="00F00A1A" w14:paraId="1C803848" w14:textId="77777777" w:rsidTr="00F00A1A">
                        <w:trPr>
                          <w:trHeight w:val="204"/>
                        </w:trPr>
                        <w:tc>
                          <w:tcPr>
                            <w:tcW w:w="1471" w:type="pct"/>
                            <w:tcBorders>
                              <w:top w:val="nil"/>
                              <w:left w:val="nil"/>
                              <w:bottom w:val="nil"/>
                              <w:right w:val="nil"/>
                            </w:tcBorders>
                            <w:noWrap/>
                            <w:hideMark/>
                          </w:tcPr>
                          <w:p w14:paraId="7E83C63C"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Stock-Based Compensation</w:t>
                            </w:r>
                          </w:p>
                        </w:tc>
                        <w:tc>
                          <w:tcPr>
                            <w:tcW w:w="504" w:type="pct"/>
                            <w:tcBorders>
                              <w:top w:val="nil"/>
                              <w:left w:val="nil"/>
                              <w:bottom w:val="nil"/>
                              <w:right w:val="nil"/>
                            </w:tcBorders>
                            <w:hideMark/>
                          </w:tcPr>
                          <w:p w14:paraId="2058F4F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5.6 </w:t>
                            </w:r>
                          </w:p>
                        </w:tc>
                        <w:tc>
                          <w:tcPr>
                            <w:tcW w:w="504" w:type="pct"/>
                            <w:tcBorders>
                              <w:top w:val="nil"/>
                              <w:left w:val="nil"/>
                              <w:bottom w:val="nil"/>
                              <w:right w:val="nil"/>
                            </w:tcBorders>
                            <w:hideMark/>
                          </w:tcPr>
                          <w:p w14:paraId="0FBB7E3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26E65BA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7.6 </w:t>
                            </w:r>
                          </w:p>
                        </w:tc>
                        <w:tc>
                          <w:tcPr>
                            <w:tcW w:w="504" w:type="pct"/>
                            <w:tcBorders>
                              <w:top w:val="nil"/>
                              <w:left w:val="nil"/>
                              <w:bottom w:val="nil"/>
                              <w:right w:val="nil"/>
                            </w:tcBorders>
                            <w:hideMark/>
                          </w:tcPr>
                          <w:p w14:paraId="6E55D9D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3.8 </w:t>
                            </w:r>
                          </w:p>
                        </w:tc>
                        <w:tc>
                          <w:tcPr>
                            <w:tcW w:w="504" w:type="pct"/>
                            <w:tcBorders>
                              <w:top w:val="nil"/>
                              <w:left w:val="nil"/>
                              <w:bottom w:val="nil"/>
                              <w:right w:val="nil"/>
                            </w:tcBorders>
                            <w:hideMark/>
                          </w:tcPr>
                          <w:p w14:paraId="6E923F2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7B8EA52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2A6269C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r>
                      <w:tr w:rsidR="00F00A1A" w:rsidRPr="00F00A1A" w14:paraId="38B5F898" w14:textId="77777777" w:rsidTr="00F00A1A">
                        <w:trPr>
                          <w:trHeight w:val="204"/>
                        </w:trPr>
                        <w:tc>
                          <w:tcPr>
                            <w:tcW w:w="1471" w:type="pct"/>
                            <w:tcBorders>
                              <w:top w:val="nil"/>
                              <w:left w:val="nil"/>
                              <w:bottom w:val="nil"/>
                              <w:right w:val="nil"/>
                            </w:tcBorders>
                            <w:noWrap/>
                            <w:hideMark/>
                          </w:tcPr>
                          <w:p w14:paraId="7DFBDED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Provision &amp; Write-off of Bad debts</w:t>
                            </w:r>
                          </w:p>
                        </w:tc>
                        <w:tc>
                          <w:tcPr>
                            <w:tcW w:w="504" w:type="pct"/>
                            <w:tcBorders>
                              <w:top w:val="nil"/>
                              <w:left w:val="nil"/>
                              <w:bottom w:val="nil"/>
                              <w:right w:val="nil"/>
                            </w:tcBorders>
                            <w:hideMark/>
                          </w:tcPr>
                          <w:p w14:paraId="42A1099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36FAC3B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4D32609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20AFCA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12EE29A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0.4 </w:t>
                            </w:r>
                          </w:p>
                        </w:tc>
                        <w:tc>
                          <w:tcPr>
                            <w:tcW w:w="504" w:type="pct"/>
                            <w:tcBorders>
                              <w:top w:val="nil"/>
                              <w:left w:val="nil"/>
                              <w:bottom w:val="nil"/>
                              <w:right w:val="nil"/>
                            </w:tcBorders>
                            <w:hideMark/>
                          </w:tcPr>
                          <w:p w14:paraId="55C1AF6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02740A2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r>
                      <w:tr w:rsidR="00F00A1A" w:rsidRPr="00F00A1A" w14:paraId="50F154EA" w14:textId="77777777" w:rsidTr="00F00A1A">
                        <w:trPr>
                          <w:trHeight w:val="204"/>
                        </w:trPr>
                        <w:tc>
                          <w:tcPr>
                            <w:tcW w:w="1471" w:type="pct"/>
                            <w:tcBorders>
                              <w:top w:val="nil"/>
                              <w:left w:val="nil"/>
                              <w:bottom w:val="nil"/>
                              <w:right w:val="nil"/>
                            </w:tcBorders>
                            <w:noWrap/>
                            <w:hideMark/>
                          </w:tcPr>
                          <w:p w14:paraId="380EC02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Operating Activities</w:t>
                            </w:r>
                          </w:p>
                        </w:tc>
                        <w:tc>
                          <w:tcPr>
                            <w:tcW w:w="504" w:type="pct"/>
                            <w:tcBorders>
                              <w:top w:val="nil"/>
                              <w:left w:val="nil"/>
                              <w:bottom w:val="nil"/>
                              <w:right w:val="nil"/>
                            </w:tcBorders>
                            <w:hideMark/>
                          </w:tcPr>
                          <w:p w14:paraId="28EF70D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04C8B09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(11.9)  </w:t>
                            </w:r>
                          </w:p>
                        </w:tc>
                        <w:tc>
                          <w:tcPr>
                            <w:tcW w:w="504" w:type="pct"/>
                            <w:tcBorders>
                              <w:top w:val="nil"/>
                              <w:left w:val="nil"/>
                              <w:bottom w:val="nil"/>
                              <w:right w:val="nil"/>
                            </w:tcBorders>
                            <w:hideMark/>
                          </w:tcPr>
                          <w:p w14:paraId="222A509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4C62873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7AEB664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  </w:t>
                            </w:r>
                          </w:p>
                        </w:tc>
                        <w:tc>
                          <w:tcPr>
                            <w:tcW w:w="504" w:type="pct"/>
                            <w:tcBorders>
                              <w:top w:val="nil"/>
                              <w:left w:val="nil"/>
                              <w:bottom w:val="nil"/>
                              <w:right w:val="nil"/>
                            </w:tcBorders>
                            <w:hideMark/>
                          </w:tcPr>
                          <w:p w14:paraId="33BFD5A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(1.9)  </w:t>
                            </w:r>
                          </w:p>
                        </w:tc>
                        <w:tc>
                          <w:tcPr>
                            <w:tcW w:w="504" w:type="pct"/>
                            <w:tcBorders>
                              <w:top w:val="nil"/>
                              <w:left w:val="nil"/>
                              <w:bottom w:val="nil"/>
                              <w:right w:val="nil"/>
                            </w:tcBorders>
                            <w:hideMark/>
                          </w:tcPr>
                          <w:p w14:paraId="617497D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(8.8)  </w:t>
                            </w:r>
                          </w:p>
                        </w:tc>
                      </w:tr>
                      <w:tr w:rsidR="00F00A1A" w:rsidRPr="00F00A1A" w14:paraId="38C83BF9" w14:textId="77777777" w:rsidTr="00F00A1A">
                        <w:trPr>
                          <w:trHeight w:val="204"/>
                        </w:trPr>
                        <w:tc>
                          <w:tcPr>
                            <w:tcW w:w="1471" w:type="pct"/>
                            <w:tcBorders>
                              <w:top w:val="nil"/>
                              <w:left w:val="nil"/>
                              <w:bottom w:val="nil"/>
                              <w:right w:val="nil"/>
                            </w:tcBorders>
                            <w:noWrap/>
                            <w:hideMark/>
                          </w:tcPr>
                          <w:p w14:paraId="555377FD"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Unearned Rev.</w:t>
                            </w:r>
                          </w:p>
                        </w:tc>
                        <w:tc>
                          <w:tcPr>
                            <w:tcW w:w="504" w:type="pct"/>
                            <w:tcBorders>
                              <w:top w:val="nil"/>
                              <w:left w:val="nil"/>
                              <w:bottom w:val="nil"/>
                              <w:right w:val="nil"/>
                            </w:tcBorders>
                            <w:hideMark/>
                          </w:tcPr>
                          <w:p w14:paraId="7E2EFCB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1.3 </w:t>
                            </w:r>
                          </w:p>
                        </w:tc>
                        <w:tc>
                          <w:tcPr>
                            <w:tcW w:w="504" w:type="pct"/>
                            <w:tcBorders>
                              <w:top w:val="nil"/>
                              <w:left w:val="nil"/>
                              <w:bottom w:val="nil"/>
                              <w:right w:val="nil"/>
                            </w:tcBorders>
                            <w:hideMark/>
                          </w:tcPr>
                          <w:p w14:paraId="6BA240E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4AA126A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23549FD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0.8 </w:t>
                            </w:r>
                          </w:p>
                        </w:tc>
                        <w:tc>
                          <w:tcPr>
                            <w:tcW w:w="504" w:type="pct"/>
                            <w:tcBorders>
                              <w:top w:val="nil"/>
                              <w:left w:val="nil"/>
                              <w:bottom w:val="nil"/>
                              <w:right w:val="nil"/>
                            </w:tcBorders>
                            <w:hideMark/>
                          </w:tcPr>
                          <w:p w14:paraId="00841C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673C785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15E2CC6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r>
                      <w:tr w:rsidR="00F00A1A" w:rsidRPr="00F00A1A" w14:paraId="36C30B00" w14:textId="77777777" w:rsidTr="00F00A1A">
                        <w:trPr>
                          <w:trHeight w:val="204"/>
                        </w:trPr>
                        <w:tc>
                          <w:tcPr>
                            <w:tcW w:w="1471" w:type="pct"/>
                            <w:tcBorders>
                              <w:top w:val="nil"/>
                              <w:left w:val="nil"/>
                              <w:bottom w:val="nil"/>
                              <w:right w:val="nil"/>
                            </w:tcBorders>
                            <w:noWrap/>
                            <w:hideMark/>
                          </w:tcPr>
                          <w:p w14:paraId="74B18DE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Inc. Taxes</w:t>
                            </w:r>
                          </w:p>
                        </w:tc>
                        <w:tc>
                          <w:tcPr>
                            <w:tcW w:w="504" w:type="pct"/>
                            <w:tcBorders>
                              <w:top w:val="nil"/>
                              <w:left w:val="nil"/>
                              <w:bottom w:val="nil"/>
                              <w:right w:val="nil"/>
                            </w:tcBorders>
                            <w:hideMark/>
                          </w:tcPr>
                          <w:p w14:paraId="5A9DDDF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755826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0.4 </w:t>
                            </w:r>
                          </w:p>
                        </w:tc>
                        <w:tc>
                          <w:tcPr>
                            <w:tcW w:w="504" w:type="pct"/>
                            <w:tcBorders>
                              <w:top w:val="nil"/>
                              <w:left w:val="nil"/>
                              <w:bottom w:val="nil"/>
                              <w:right w:val="nil"/>
                            </w:tcBorders>
                            <w:hideMark/>
                          </w:tcPr>
                          <w:p w14:paraId="51C2BB0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368CFD9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59E956B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(1.3)  </w:t>
                            </w:r>
                          </w:p>
                        </w:tc>
                        <w:tc>
                          <w:tcPr>
                            <w:tcW w:w="504" w:type="pct"/>
                            <w:tcBorders>
                              <w:top w:val="nil"/>
                              <w:left w:val="nil"/>
                              <w:bottom w:val="nil"/>
                              <w:right w:val="nil"/>
                            </w:tcBorders>
                            <w:hideMark/>
                          </w:tcPr>
                          <w:p w14:paraId="67B12BB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12E6AE8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r>
                      <w:tr w:rsidR="00F00A1A" w:rsidRPr="00F00A1A" w14:paraId="1B29C823" w14:textId="77777777" w:rsidTr="00F00A1A">
                        <w:trPr>
                          <w:trHeight w:val="204"/>
                        </w:trPr>
                        <w:tc>
                          <w:tcPr>
                            <w:tcW w:w="1471" w:type="pct"/>
                            <w:tcBorders>
                              <w:top w:val="nil"/>
                              <w:left w:val="nil"/>
                              <w:bottom w:val="nil"/>
                              <w:right w:val="nil"/>
                            </w:tcBorders>
                            <w:noWrap/>
                            <w:hideMark/>
                          </w:tcPr>
                          <w:p w14:paraId="7389C62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Change in Other Net Operating Assets</w:t>
                            </w:r>
                          </w:p>
                        </w:tc>
                        <w:tc>
                          <w:tcPr>
                            <w:tcW w:w="504" w:type="pct"/>
                            <w:tcBorders>
                              <w:top w:val="nil"/>
                              <w:left w:val="nil"/>
                              <w:bottom w:val="nil"/>
                              <w:right w:val="nil"/>
                            </w:tcBorders>
                            <w:hideMark/>
                          </w:tcPr>
                          <w:p w14:paraId="0784C1F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0B1289F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61444D2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4.9 </w:t>
                            </w:r>
                          </w:p>
                        </w:tc>
                        <w:tc>
                          <w:tcPr>
                            <w:tcW w:w="504" w:type="pct"/>
                            <w:tcBorders>
                              <w:top w:val="nil"/>
                              <w:left w:val="nil"/>
                              <w:bottom w:val="nil"/>
                              <w:right w:val="nil"/>
                            </w:tcBorders>
                            <w:hideMark/>
                          </w:tcPr>
                          <w:p w14:paraId="1451C63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(3.1)  </w:t>
                            </w:r>
                          </w:p>
                        </w:tc>
                        <w:tc>
                          <w:tcPr>
                            <w:tcW w:w="504" w:type="pct"/>
                            <w:tcBorders>
                              <w:top w:val="nil"/>
                              <w:left w:val="nil"/>
                              <w:bottom w:val="nil"/>
                              <w:right w:val="nil"/>
                            </w:tcBorders>
                            <w:hideMark/>
                          </w:tcPr>
                          <w:p w14:paraId="202ED48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2.7 </w:t>
                            </w:r>
                          </w:p>
                        </w:tc>
                        <w:tc>
                          <w:tcPr>
                            <w:tcW w:w="504" w:type="pct"/>
                            <w:tcBorders>
                              <w:top w:val="nil"/>
                              <w:left w:val="nil"/>
                              <w:bottom w:val="nil"/>
                              <w:right w:val="nil"/>
                            </w:tcBorders>
                            <w:hideMark/>
                          </w:tcPr>
                          <w:p w14:paraId="3F9CD62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7ED0611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r>
                      <w:tr w:rsidR="00F00A1A" w:rsidRPr="00F00A1A" w14:paraId="45D7660F" w14:textId="77777777" w:rsidTr="00F00A1A">
                        <w:trPr>
                          <w:trHeight w:val="204"/>
                        </w:trPr>
                        <w:tc>
                          <w:tcPr>
                            <w:tcW w:w="1471" w:type="pct"/>
                            <w:tcBorders>
                              <w:top w:val="nil"/>
                              <w:left w:val="nil"/>
                              <w:bottom w:val="nil"/>
                              <w:right w:val="nil"/>
                            </w:tcBorders>
                            <w:noWrap/>
                            <w:hideMark/>
                          </w:tcPr>
                          <w:p w14:paraId="2CEFA847"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Ops.</w:t>
                            </w:r>
                          </w:p>
                        </w:tc>
                        <w:tc>
                          <w:tcPr>
                            <w:tcW w:w="504" w:type="pct"/>
                            <w:tcBorders>
                              <w:top w:val="single" w:sz="4" w:space="0" w:color="000000"/>
                              <w:left w:val="nil"/>
                              <w:bottom w:val="nil"/>
                              <w:right w:val="nil"/>
                            </w:tcBorders>
                            <w:hideMark/>
                          </w:tcPr>
                          <w:p w14:paraId="0117832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7E0F8DC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25.5 </w:t>
                            </w:r>
                          </w:p>
                        </w:tc>
                        <w:tc>
                          <w:tcPr>
                            <w:tcW w:w="504" w:type="pct"/>
                            <w:tcBorders>
                              <w:top w:val="single" w:sz="4" w:space="0" w:color="000000"/>
                              <w:left w:val="nil"/>
                              <w:bottom w:val="nil"/>
                              <w:right w:val="nil"/>
                            </w:tcBorders>
                            <w:hideMark/>
                          </w:tcPr>
                          <w:p w14:paraId="35BF6CA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35.4 </w:t>
                            </w:r>
                          </w:p>
                        </w:tc>
                        <w:tc>
                          <w:tcPr>
                            <w:tcW w:w="504" w:type="pct"/>
                            <w:tcBorders>
                              <w:top w:val="single" w:sz="4" w:space="0" w:color="000000"/>
                              <w:left w:val="nil"/>
                              <w:bottom w:val="nil"/>
                              <w:right w:val="nil"/>
                            </w:tcBorders>
                            <w:hideMark/>
                          </w:tcPr>
                          <w:p w14:paraId="0BB91C9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578B7E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29.1 </w:t>
                            </w:r>
                          </w:p>
                        </w:tc>
                        <w:tc>
                          <w:tcPr>
                            <w:tcW w:w="504" w:type="pct"/>
                            <w:tcBorders>
                              <w:top w:val="single" w:sz="4" w:space="0" w:color="000000"/>
                              <w:left w:val="nil"/>
                              <w:bottom w:val="nil"/>
                              <w:right w:val="nil"/>
                            </w:tcBorders>
                            <w:hideMark/>
                          </w:tcPr>
                          <w:p w14:paraId="1D8EB73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25.3 </w:t>
                            </w:r>
                          </w:p>
                        </w:tc>
                        <w:tc>
                          <w:tcPr>
                            <w:tcW w:w="504" w:type="pct"/>
                            <w:tcBorders>
                              <w:top w:val="single" w:sz="4" w:space="0" w:color="000000"/>
                              <w:left w:val="nil"/>
                              <w:bottom w:val="nil"/>
                              <w:right w:val="nil"/>
                            </w:tcBorders>
                            <w:hideMark/>
                          </w:tcPr>
                          <w:p w14:paraId="07182F3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21.8 </w:t>
                            </w:r>
                          </w:p>
                        </w:tc>
                      </w:tr>
                      <w:tr w:rsidR="00F00A1A" w:rsidRPr="00F00A1A" w14:paraId="7F0B34F0" w14:textId="77777777" w:rsidTr="00F00A1A">
                        <w:trPr>
                          <w:trHeight w:val="204"/>
                        </w:trPr>
                        <w:tc>
                          <w:tcPr>
                            <w:tcW w:w="1471" w:type="pct"/>
                            <w:tcBorders>
                              <w:top w:val="nil"/>
                              <w:left w:val="nil"/>
                              <w:bottom w:val="nil"/>
                              <w:right w:val="nil"/>
                            </w:tcBorders>
                            <w:noWrap/>
                            <w:hideMark/>
                          </w:tcPr>
                          <w:p w14:paraId="73731F91"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Capital Expenditure</w:t>
                            </w:r>
                          </w:p>
                        </w:tc>
                        <w:tc>
                          <w:tcPr>
                            <w:tcW w:w="504" w:type="pct"/>
                            <w:tcBorders>
                              <w:top w:val="nil"/>
                              <w:left w:val="nil"/>
                              <w:bottom w:val="nil"/>
                              <w:right w:val="nil"/>
                            </w:tcBorders>
                            <w:hideMark/>
                          </w:tcPr>
                          <w:p w14:paraId="228F00E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63216D4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(4.6)  </w:t>
                            </w:r>
                          </w:p>
                        </w:tc>
                        <w:tc>
                          <w:tcPr>
                            <w:tcW w:w="504" w:type="pct"/>
                            <w:tcBorders>
                              <w:top w:val="nil"/>
                              <w:left w:val="nil"/>
                              <w:bottom w:val="nil"/>
                              <w:right w:val="nil"/>
                            </w:tcBorders>
                            <w:hideMark/>
                          </w:tcPr>
                          <w:p w14:paraId="146B6B0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(6.3)  </w:t>
                            </w:r>
                          </w:p>
                        </w:tc>
                        <w:tc>
                          <w:tcPr>
                            <w:tcW w:w="504" w:type="pct"/>
                            <w:tcBorders>
                              <w:top w:val="nil"/>
                              <w:left w:val="nil"/>
                              <w:bottom w:val="nil"/>
                              <w:right w:val="nil"/>
                            </w:tcBorders>
                            <w:hideMark/>
                          </w:tcPr>
                          <w:p w14:paraId="77F5EAF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(8.4)  </w:t>
                            </w:r>
                          </w:p>
                        </w:tc>
                        <w:tc>
                          <w:tcPr>
                            <w:tcW w:w="504" w:type="pct"/>
                            <w:tcBorders>
                              <w:top w:val="nil"/>
                              <w:left w:val="nil"/>
                              <w:bottom w:val="nil"/>
                              <w:right w:val="nil"/>
                            </w:tcBorders>
                            <w:hideMark/>
                          </w:tcPr>
                          <w:p w14:paraId="3045115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(5.0)  </w:t>
                            </w:r>
                          </w:p>
                        </w:tc>
                        <w:tc>
                          <w:tcPr>
                            <w:tcW w:w="504" w:type="pct"/>
                            <w:tcBorders>
                              <w:top w:val="nil"/>
                              <w:left w:val="nil"/>
                              <w:bottom w:val="nil"/>
                              <w:right w:val="nil"/>
                            </w:tcBorders>
                            <w:hideMark/>
                          </w:tcPr>
                          <w:p w14:paraId="64B785E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c>
                          <w:tcPr>
                            <w:tcW w:w="504" w:type="pct"/>
                            <w:tcBorders>
                              <w:top w:val="nil"/>
                              <w:left w:val="nil"/>
                              <w:bottom w:val="nil"/>
                              <w:right w:val="nil"/>
                            </w:tcBorders>
                            <w:hideMark/>
                          </w:tcPr>
                          <w:p w14:paraId="6F99EC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(4.4)  </w:t>
                            </w:r>
                          </w:p>
                        </w:tc>
                      </w:tr>
                      <w:tr w:rsidR="00F00A1A" w:rsidRPr="00F00A1A" w14:paraId="3D4D3E62" w14:textId="77777777" w:rsidTr="00F00A1A">
                        <w:trPr>
                          <w:trHeight w:val="204"/>
                        </w:trPr>
                        <w:tc>
                          <w:tcPr>
                            <w:tcW w:w="1471" w:type="pct"/>
                            <w:tcBorders>
                              <w:top w:val="nil"/>
                              <w:left w:val="nil"/>
                              <w:bottom w:val="nil"/>
                              <w:right w:val="nil"/>
                            </w:tcBorders>
                            <w:noWrap/>
                            <w:hideMark/>
                          </w:tcPr>
                          <w:p w14:paraId="6BFADBD6"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Sale of Property, Plant, and Equipment</w:t>
                            </w:r>
                          </w:p>
                        </w:tc>
                        <w:tc>
                          <w:tcPr>
                            <w:tcW w:w="504" w:type="pct"/>
                            <w:tcBorders>
                              <w:top w:val="nil"/>
                              <w:left w:val="nil"/>
                              <w:bottom w:val="nil"/>
                              <w:right w:val="nil"/>
                            </w:tcBorders>
                            <w:hideMark/>
                          </w:tcPr>
                          <w:p w14:paraId="11D09C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B08FDA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72F8CF8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4E3E6DA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4C0139A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660E301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4957831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4E824592" w14:textId="77777777" w:rsidTr="00F00A1A">
                        <w:trPr>
                          <w:trHeight w:val="204"/>
                        </w:trPr>
                        <w:tc>
                          <w:tcPr>
                            <w:tcW w:w="1471" w:type="pct"/>
                            <w:tcBorders>
                              <w:top w:val="nil"/>
                              <w:left w:val="nil"/>
                              <w:bottom w:val="nil"/>
                              <w:right w:val="nil"/>
                            </w:tcBorders>
                            <w:noWrap/>
                            <w:hideMark/>
                          </w:tcPr>
                          <w:p w14:paraId="575F0972"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Cash Acquisitions</w:t>
                            </w:r>
                          </w:p>
                        </w:tc>
                        <w:tc>
                          <w:tcPr>
                            <w:tcW w:w="504" w:type="pct"/>
                            <w:tcBorders>
                              <w:top w:val="nil"/>
                              <w:left w:val="nil"/>
                              <w:bottom w:val="nil"/>
                              <w:right w:val="nil"/>
                            </w:tcBorders>
                            <w:hideMark/>
                          </w:tcPr>
                          <w:p w14:paraId="73FA3E1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(5.3)  </w:t>
                            </w:r>
                          </w:p>
                        </w:tc>
                        <w:tc>
                          <w:tcPr>
                            <w:tcW w:w="504" w:type="pct"/>
                            <w:tcBorders>
                              <w:top w:val="nil"/>
                              <w:left w:val="nil"/>
                              <w:bottom w:val="nil"/>
                              <w:right w:val="nil"/>
                            </w:tcBorders>
                            <w:hideMark/>
                          </w:tcPr>
                          <w:p w14:paraId="622C025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c>
                          <w:tcPr>
                            <w:tcW w:w="504" w:type="pct"/>
                            <w:tcBorders>
                              <w:top w:val="nil"/>
                              <w:left w:val="nil"/>
                              <w:bottom w:val="nil"/>
                              <w:right w:val="nil"/>
                            </w:tcBorders>
                            <w:hideMark/>
                          </w:tcPr>
                          <w:p w14:paraId="4D62C0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(2.9)  </w:t>
                            </w:r>
                          </w:p>
                        </w:tc>
                        <w:tc>
                          <w:tcPr>
                            <w:tcW w:w="504" w:type="pct"/>
                            <w:tcBorders>
                              <w:top w:val="nil"/>
                              <w:left w:val="nil"/>
                              <w:bottom w:val="nil"/>
                              <w:right w:val="nil"/>
                            </w:tcBorders>
                            <w:hideMark/>
                          </w:tcPr>
                          <w:p w14:paraId="6085F34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0DD3BDF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0F2C9E2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3DBB1E3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r>
                      <w:tr w:rsidR="00F00A1A" w:rsidRPr="00F00A1A" w14:paraId="2099A266" w14:textId="77777777" w:rsidTr="00F00A1A">
                        <w:trPr>
                          <w:trHeight w:val="204"/>
                        </w:trPr>
                        <w:tc>
                          <w:tcPr>
                            <w:tcW w:w="1471" w:type="pct"/>
                            <w:tcBorders>
                              <w:top w:val="nil"/>
                              <w:left w:val="nil"/>
                              <w:bottom w:val="nil"/>
                              <w:right w:val="nil"/>
                            </w:tcBorders>
                            <w:noWrap/>
                            <w:hideMark/>
                          </w:tcPr>
                          <w:p w14:paraId="76B3D0F8"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Divestitures</w:t>
                            </w:r>
                          </w:p>
                        </w:tc>
                        <w:tc>
                          <w:tcPr>
                            <w:tcW w:w="504" w:type="pct"/>
                            <w:tcBorders>
                              <w:top w:val="nil"/>
                              <w:left w:val="nil"/>
                              <w:bottom w:val="nil"/>
                              <w:right w:val="nil"/>
                            </w:tcBorders>
                            <w:hideMark/>
                          </w:tcPr>
                          <w:p w14:paraId="6B64BF9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317DE4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15B60C9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040E312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2F7FC03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52FECA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13B1A1D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5AEBEF6D" w14:textId="77777777" w:rsidTr="00F00A1A">
                        <w:trPr>
                          <w:trHeight w:val="204"/>
                        </w:trPr>
                        <w:tc>
                          <w:tcPr>
                            <w:tcW w:w="1471" w:type="pct"/>
                            <w:tcBorders>
                              <w:top w:val="nil"/>
                              <w:left w:val="nil"/>
                              <w:bottom w:val="nil"/>
                              <w:right w:val="nil"/>
                            </w:tcBorders>
                            <w:noWrap/>
                            <w:hideMark/>
                          </w:tcPr>
                          <w:p w14:paraId="40F7E3DE"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Sale (Purchase) of Intangible assets</w:t>
                            </w:r>
                          </w:p>
                        </w:tc>
                        <w:tc>
                          <w:tcPr>
                            <w:tcW w:w="504" w:type="pct"/>
                            <w:tcBorders>
                              <w:top w:val="nil"/>
                              <w:left w:val="nil"/>
                              <w:bottom w:val="nil"/>
                              <w:right w:val="nil"/>
                            </w:tcBorders>
                            <w:hideMark/>
                          </w:tcPr>
                          <w:p w14:paraId="00ED9A1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(2.1)  </w:t>
                            </w:r>
                          </w:p>
                        </w:tc>
                        <w:tc>
                          <w:tcPr>
                            <w:tcW w:w="504" w:type="pct"/>
                            <w:tcBorders>
                              <w:top w:val="nil"/>
                              <w:left w:val="nil"/>
                              <w:bottom w:val="nil"/>
                              <w:right w:val="nil"/>
                            </w:tcBorders>
                            <w:hideMark/>
                          </w:tcPr>
                          <w:p w14:paraId="363C063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7C6705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(0.2)  </w:t>
                            </w:r>
                          </w:p>
                        </w:tc>
                        <w:tc>
                          <w:tcPr>
                            <w:tcW w:w="504" w:type="pct"/>
                            <w:tcBorders>
                              <w:top w:val="nil"/>
                              <w:left w:val="nil"/>
                              <w:bottom w:val="nil"/>
                              <w:right w:val="nil"/>
                            </w:tcBorders>
                            <w:hideMark/>
                          </w:tcPr>
                          <w:p w14:paraId="52D0F6E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59BC27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3380604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EFAE9E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05DF53C8" w14:textId="77777777" w:rsidTr="00F00A1A">
                        <w:trPr>
                          <w:trHeight w:val="204"/>
                        </w:trPr>
                        <w:tc>
                          <w:tcPr>
                            <w:tcW w:w="1471" w:type="pct"/>
                            <w:tcBorders>
                              <w:top w:val="nil"/>
                              <w:left w:val="nil"/>
                              <w:bottom w:val="nil"/>
                              <w:right w:val="nil"/>
                            </w:tcBorders>
                            <w:noWrap/>
                            <w:hideMark/>
                          </w:tcPr>
                          <w:p w14:paraId="284CFE6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Invest. in Marketable &amp; Equity Securt.</w:t>
                            </w:r>
                          </w:p>
                        </w:tc>
                        <w:tc>
                          <w:tcPr>
                            <w:tcW w:w="504" w:type="pct"/>
                            <w:tcBorders>
                              <w:top w:val="nil"/>
                              <w:left w:val="nil"/>
                              <w:bottom w:val="nil"/>
                              <w:right w:val="nil"/>
                            </w:tcBorders>
                            <w:hideMark/>
                          </w:tcPr>
                          <w:p w14:paraId="2CC81B5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(9.8)  </w:t>
                            </w:r>
                          </w:p>
                        </w:tc>
                        <w:tc>
                          <w:tcPr>
                            <w:tcW w:w="504" w:type="pct"/>
                            <w:tcBorders>
                              <w:top w:val="nil"/>
                              <w:left w:val="nil"/>
                              <w:bottom w:val="nil"/>
                              <w:right w:val="nil"/>
                            </w:tcBorders>
                            <w:hideMark/>
                          </w:tcPr>
                          <w:p w14:paraId="13CDD0B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(8.5)  </w:t>
                            </w:r>
                          </w:p>
                        </w:tc>
                        <w:tc>
                          <w:tcPr>
                            <w:tcW w:w="504" w:type="pct"/>
                            <w:tcBorders>
                              <w:top w:val="nil"/>
                              <w:left w:val="nil"/>
                              <w:bottom w:val="nil"/>
                              <w:right w:val="nil"/>
                            </w:tcBorders>
                            <w:hideMark/>
                          </w:tcPr>
                          <w:p w14:paraId="59CCDCD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(27.7)  </w:t>
                            </w:r>
                          </w:p>
                        </w:tc>
                        <w:tc>
                          <w:tcPr>
                            <w:tcW w:w="504" w:type="pct"/>
                            <w:tcBorders>
                              <w:top w:val="nil"/>
                              <w:left w:val="nil"/>
                              <w:bottom w:val="nil"/>
                              <w:right w:val="nil"/>
                            </w:tcBorders>
                            <w:hideMark/>
                          </w:tcPr>
                          <w:p w14:paraId="2340EE3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(22.1)  </w:t>
                            </w:r>
                          </w:p>
                        </w:tc>
                        <w:tc>
                          <w:tcPr>
                            <w:tcW w:w="504" w:type="pct"/>
                            <w:tcBorders>
                              <w:top w:val="nil"/>
                              <w:left w:val="nil"/>
                              <w:bottom w:val="nil"/>
                              <w:right w:val="nil"/>
                            </w:tcBorders>
                            <w:hideMark/>
                          </w:tcPr>
                          <w:p w14:paraId="0CFF59B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(14.8)  </w:t>
                            </w:r>
                          </w:p>
                        </w:tc>
                        <w:tc>
                          <w:tcPr>
                            <w:tcW w:w="504" w:type="pct"/>
                            <w:tcBorders>
                              <w:top w:val="nil"/>
                              <w:left w:val="nil"/>
                              <w:bottom w:val="nil"/>
                              <w:right w:val="nil"/>
                            </w:tcBorders>
                            <w:hideMark/>
                          </w:tcPr>
                          <w:p w14:paraId="3B22BCD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c>
                          <w:tcPr>
                            <w:tcW w:w="504" w:type="pct"/>
                            <w:tcBorders>
                              <w:top w:val="nil"/>
                              <w:left w:val="nil"/>
                              <w:bottom w:val="nil"/>
                              <w:right w:val="nil"/>
                            </w:tcBorders>
                            <w:hideMark/>
                          </w:tcPr>
                          <w:p w14:paraId="3EB376B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r>
                      <w:tr w:rsidR="00F00A1A" w:rsidRPr="00F00A1A" w14:paraId="5216757F" w14:textId="77777777" w:rsidTr="00F00A1A">
                        <w:trPr>
                          <w:trHeight w:val="204"/>
                        </w:trPr>
                        <w:tc>
                          <w:tcPr>
                            <w:tcW w:w="1471" w:type="pct"/>
                            <w:tcBorders>
                              <w:top w:val="nil"/>
                              <w:left w:val="nil"/>
                              <w:bottom w:val="nil"/>
                              <w:right w:val="nil"/>
                            </w:tcBorders>
                            <w:noWrap/>
                            <w:hideMark/>
                          </w:tcPr>
                          <w:p w14:paraId="639DE3B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Net (Inc.) Dec. in Loans Originated/Sold</w:t>
                            </w:r>
                          </w:p>
                        </w:tc>
                        <w:tc>
                          <w:tcPr>
                            <w:tcW w:w="504" w:type="pct"/>
                            <w:tcBorders>
                              <w:top w:val="nil"/>
                              <w:left w:val="nil"/>
                              <w:bottom w:val="nil"/>
                              <w:right w:val="nil"/>
                            </w:tcBorders>
                            <w:hideMark/>
                          </w:tcPr>
                          <w:p w14:paraId="3B34D47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74C6D66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B1C281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523A481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20EC05A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19A2929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0CDE956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09473638" w14:textId="77777777" w:rsidTr="00F00A1A">
                        <w:trPr>
                          <w:trHeight w:val="204"/>
                        </w:trPr>
                        <w:tc>
                          <w:tcPr>
                            <w:tcW w:w="1471" w:type="pct"/>
                            <w:tcBorders>
                              <w:top w:val="nil"/>
                              <w:left w:val="nil"/>
                              <w:bottom w:val="nil"/>
                              <w:right w:val="nil"/>
                            </w:tcBorders>
                            <w:noWrap/>
                            <w:hideMark/>
                          </w:tcPr>
                          <w:p w14:paraId="42A6644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Investing Activities</w:t>
                            </w:r>
                          </w:p>
                        </w:tc>
                        <w:tc>
                          <w:tcPr>
                            <w:tcW w:w="504" w:type="pct"/>
                            <w:tcBorders>
                              <w:top w:val="nil"/>
                              <w:left w:val="nil"/>
                              <w:bottom w:val="nil"/>
                              <w:right w:val="nil"/>
                            </w:tcBorders>
                            <w:hideMark/>
                          </w:tcPr>
                          <w:p w14:paraId="0460C04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0EBDDD4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 </w:t>
                            </w:r>
                          </w:p>
                        </w:tc>
                        <w:tc>
                          <w:tcPr>
                            <w:tcW w:w="504" w:type="pct"/>
                            <w:tcBorders>
                              <w:top w:val="nil"/>
                              <w:left w:val="nil"/>
                              <w:bottom w:val="nil"/>
                              <w:right w:val="nil"/>
                            </w:tcBorders>
                            <w:hideMark/>
                          </w:tcPr>
                          <w:p w14:paraId="24DFCDE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38EC001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0CB9FD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EC0954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D2BED9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(14.1)  </w:t>
                            </w:r>
                          </w:p>
                        </w:tc>
                      </w:tr>
                      <w:tr w:rsidR="00F00A1A" w:rsidRPr="00F00A1A" w14:paraId="2EB395C2" w14:textId="77777777" w:rsidTr="00F00A1A">
                        <w:trPr>
                          <w:trHeight w:val="204"/>
                        </w:trPr>
                        <w:tc>
                          <w:tcPr>
                            <w:tcW w:w="1471" w:type="pct"/>
                            <w:tcBorders>
                              <w:top w:val="nil"/>
                              <w:left w:val="nil"/>
                              <w:bottom w:val="nil"/>
                              <w:right w:val="nil"/>
                            </w:tcBorders>
                            <w:noWrap/>
                            <w:hideMark/>
                          </w:tcPr>
                          <w:p w14:paraId="0BF7ACD5"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Investing</w:t>
                            </w:r>
                          </w:p>
                        </w:tc>
                        <w:tc>
                          <w:tcPr>
                            <w:tcW w:w="504" w:type="pct"/>
                            <w:tcBorders>
                              <w:top w:val="single" w:sz="4" w:space="0" w:color="000000"/>
                              <w:left w:val="nil"/>
                              <w:bottom w:val="nil"/>
                              <w:right w:val="nil"/>
                            </w:tcBorders>
                            <w:hideMark/>
                          </w:tcPr>
                          <w:p w14:paraId="37AE1A7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(22.5)  </w:t>
                            </w:r>
                          </w:p>
                        </w:tc>
                        <w:tc>
                          <w:tcPr>
                            <w:tcW w:w="504" w:type="pct"/>
                            <w:tcBorders>
                              <w:top w:val="single" w:sz="4" w:space="0" w:color="000000"/>
                              <w:left w:val="nil"/>
                              <w:bottom w:val="nil"/>
                              <w:right w:val="nil"/>
                            </w:tcBorders>
                            <w:hideMark/>
                          </w:tcPr>
                          <w:p w14:paraId="2D3AB5E1"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(15.3)  </w:t>
                            </w:r>
                          </w:p>
                        </w:tc>
                        <w:tc>
                          <w:tcPr>
                            <w:tcW w:w="504" w:type="pct"/>
                            <w:tcBorders>
                              <w:top w:val="single" w:sz="4" w:space="0" w:color="000000"/>
                              <w:left w:val="nil"/>
                              <w:bottom w:val="nil"/>
                              <w:right w:val="nil"/>
                            </w:tcBorders>
                            <w:hideMark/>
                          </w:tcPr>
                          <w:p w14:paraId="4060405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(37.3)  </w:t>
                            </w:r>
                          </w:p>
                        </w:tc>
                        <w:tc>
                          <w:tcPr>
                            <w:tcW w:w="504" w:type="pct"/>
                            <w:tcBorders>
                              <w:top w:val="single" w:sz="4" w:space="0" w:color="000000"/>
                              <w:left w:val="nil"/>
                              <w:bottom w:val="nil"/>
                              <w:right w:val="nil"/>
                            </w:tcBorders>
                            <w:hideMark/>
                          </w:tcPr>
                          <w:p w14:paraId="479248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(31.3)  </w:t>
                            </w:r>
                          </w:p>
                        </w:tc>
                        <w:tc>
                          <w:tcPr>
                            <w:tcW w:w="504" w:type="pct"/>
                            <w:tcBorders>
                              <w:top w:val="single" w:sz="4" w:space="0" w:color="000000"/>
                              <w:left w:val="nil"/>
                              <w:bottom w:val="nil"/>
                              <w:right w:val="nil"/>
                            </w:tcBorders>
                            <w:hideMark/>
                          </w:tcPr>
                          <w:p w14:paraId="520223A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(19.7)  </w:t>
                            </w:r>
                          </w:p>
                        </w:tc>
                        <w:tc>
                          <w:tcPr>
                            <w:tcW w:w="504" w:type="pct"/>
                            <w:tcBorders>
                              <w:top w:val="single" w:sz="4" w:space="0" w:color="000000"/>
                              <w:left w:val="nil"/>
                              <w:bottom w:val="nil"/>
                              <w:right w:val="nil"/>
                            </w:tcBorders>
                            <w:hideMark/>
                          </w:tcPr>
                          <w:p w14:paraId="371E573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(3.0)  </w:t>
                            </w:r>
                          </w:p>
                        </w:tc>
                        <w:tc>
                          <w:tcPr>
                            <w:tcW w:w="504" w:type="pct"/>
                            <w:tcBorders>
                              <w:top w:val="single" w:sz="4" w:space="0" w:color="000000"/>
                              <w:left w:val="nil"/>
                              <w:bottom w:val="nil"/>
                              <w:right w:val="nil"/>
                            </w:tcBorders>
                            <w:hideMark/>
                          </w:tcPr>
                          <w:p w14:paraId="2204D6D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(17.2)  </w:t>
                            </w:r>
                          </w:p>
                        </w:tc>
                      </w:tr>
                      <w:tr w:rsidR="00F00A1A" w:rsidRPr="00F00A1A" w14:paraId="387834ED" w14:textId="77777777" w:rsidTr="00F00A1A">
                        <w:trPr>
                          <w:trHeight w:val="204"/>
                        </w:trPr>
                        <w:tc>
                          <w:tcPr>
                            <w:tcW w:w="1471" w:type="pct"/>
                            <w:tcBorders>
                              <w:top w:val="nil"/>
                              <w:left w:val="nil"/>
                              <w:bottom w:val="nil"/>
                              <w:right w:val="nil"/>
                            </w:tcBorders>
                            <w:noWrap/>
                            <w:hideMark/>
                          </w:tcPr>
                          <w:p w14:paraId="3A84F32B"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Long-Term Debt Issued</w:t>
                            </w:r>
                          </w:p>
                        </w:tc>
                        <w:tc>
                          <w:tcPr>
                            <w:tcW w:w="504" w:type="pct"/>
                            <w:tcBorders>
                              <w:top w:val="nil"/>
                              <w:left w:val="nil"/>
                              <w:bottom w:val="nil"/>
                              <w:right w:val="nil"/>
                            </w:tcBorders>
                            <w:hideMark/>
                          </w:tcPr>
                          <w:p w14:paraId="19717B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1.8 </w:t>
                            </w:r>
                          </w:p>
                        </w:tc>
                        <w:tc>
                          <w:tcPr>
                            <w:tcW w:w="504" w:type="pct"/>
                            <w:tcBorders>
                              <w:top w:val="nil"/>
                              <w:left w:val="nil"/>
                              <w:bottom w:val="nil"/>
                              <w:right w:val="nil"/>
                            </w:tcBorders>
                            <w:hideMark/>
                          </w:tcPr>
                          <w:p w14:paraId="319172A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2.2 </w:t>
                            </w:r>
                          </w:p>
                        </w:tc>
                        <w:tc>
                          <w:tcPr>
                            <w:tcW w:w="504" w:type="pct"/>
                            <w:tcBorders>
                              <w:top w:val="nil"/>
                              <w:left w:val="nil"/>
                              <w:bottom w:val="nil"/>
                              <w:right w:val="nil"/>
                            </w:tcBorders>
                            <w:hideMark/>
                          </w:tcPr>
                          <w:p w14:paraId="33E76F6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5.9 </w:t>
                            </w:r>
                          </w:p>
                        </w:tc>
                        <w:tc>
                          <w:tcPr>
                            <w:tcW w:w="504" w:type="pct"/>
                            <w:tcBorders>
                              <w:top w:val="nil"/>
                              <w:left w:val="nil"/>
                              <w:bottom w:val="nil"/>
                              <w:right w:val="nil"/>
                            </w:tcBorders>
                            <w:hideMark/>
                          </w:tcPr>
                          <w:p w14:paraId="50AA290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1.5 </w:t>
                            </w:r>
                          </w:p>
                        </w:tc>
                        <w:tc>
                          <w:tcPr>
                            <w:tcW w:w="504" w:type="pct"/>
                            <w:tcBorders>
                              <w:top w:val="nil"/>
                              <w:left w:val="nil"/>
                              <w:bottom w:val="nil"/>
                              <w:right w:val="nil"/>
                            </w:tcBorders>
                            <w:hideMark/>
                          </w:tcPr>
                          <w:p w14:paraId="2AF58EA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3.3 </w:t>
                            </w:r>
                          </w:p>
                        </w:tc>
                        <w:tc>
                          <w:tcPr>
                            <w:tcW w:w="504" w:type="pct"/>
                            <w:tcBorders>
                              <w:top w:val="nil"/>
                              <w:left w:val="nil"/>
                              <w:bottom w:val="nil"/>
                              <w:right w:val="nil"/>
                            </w:tcBorders>
                            <w:hideMark/>
                          </w:tcPr>
                          <w:p w14:paraId="296E2F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2.8 </w:t>
                            </w:r>
                          </w:p>
                        </w:tc>
                        <w:tc>
                          <w:tcPr>
                            <w:tcW w:w="504" w:type="pct"/>
                            <w:tcBorders>
                              <w:top w:val="nil"/>
                              <w:left w:val="nil"/>
                              <w:bottom w:val="nil"/>
                              <w:right w:val="nil"/>
                            </w:tcBorders>
                            <w:hideMark/>
                          </w:tcPr>
                          <w:p w14:paraId="031785E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67D247A2" w14:textId="77777777" w:rsidTr="00F00A1A">
                        <w:trPr>
                          <w:trHeight w:val="204"/>
                        </w:trPr>
                        <w:tc>
                          <w:tcPr>
                            <w:tcW w:w="1471" w:type="pct"/>
                            <w:tcBorders>
                              <w:top w:val="nil"/>
                              <w:left w:val="nil"/>
                              <w:bottom w:val="nil"/>
                              <w:right w:val="nil"/>
                            </w:tcBorders>
                            <w:noWrap/>
                            <w:hideMark/>
                          </w:tcPr>
                          <w:p w14:paraId="76932B4F"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Total Debt Issued</w:t>
                            </w:r>
                          </w:p>
                        </w:tc>
                        <w:tc>
                          <w:tcPr>
                            <w:tcW w:w="504" w:type="pct"/>
                            <w:tcBorders>
                              <w:top w:val="single" w:sz="4" w:space="0" w:color="000000"/>
                              <w:left w:val="nil"/>
                              <w:bottom w:val="nil"/>
                              <w:right w:val="nil"/>
                            </w:tcBorders>
                            <w:hideMark/>
                          </w:tcPr>
                          <w:p w14:paraId="06F163E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1.8 </w:t>
                            </w:r>
                          </w:p>
                        </w:tc>
                        <w:tc>
                          <w:tcPr>
                            <w:tcW w:w="504" w:type="pct"/>
                            <w:tcBorders>
                              <w:top w:val="single" w:sz="4" w:space="0" w:color="000000"/>
                              <w:left w:val="nil"/>
                              <w:bottom w:val="nil"/>
                              <w:right w:val="nil"/>
                            </w:tcBorders>
                            <w:hideMark/>
                          </w:tcPr>
                          <w:p w14:paraId="75930FB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2.2 </w:t>
                            </w:r>
                          </w:p>
                        </w:tc>
                        <w:tc>
                          <w:tcPr>
                            <w:tcW w:w="504" w:type="pct"/>
                            <w:tcBorders>
                              <w:top w:val="single" w:sz="4" w:space="0" w:color="000000"/>
                              <w:left w:val="nil"/>
                              <w:bottom w:val="nil"/>
                              <w:right w:val="nil"/>
                            </w:tcBorders>
                            <w:hideMark/>
                          </w:tcPr>
                          <w:p w14:paraId="25CE445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5.9 </w:t>
                            </w:r>
                          </w:p>
                        </w:tc>
                        <w:tc>
                          <w:tcPr>
                            <w:tcW w:w="504" w:type="pct"/>
                            <w:tcBorders>
                              <w:top w:val="single" w:sz="4" w:space="0" w:color="000000"/>
                              <w:left w:val="nil"/>
                              <w:bottom w:val="nil"/>
                              <w:right w:val="nil"/>
                            </w:tcBorders>
                            <w:hideMark/>
                          </w:tcPr>
                          <w:p w14:paraId="75213A7C"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 </w:t>
                            </w:r>
                          </w:p>
                        </w:tc>
                        <w:tc>
                          <w:tcPr>
                            <w:tcW w:w="504" w:type="pct"/>
                            <w:tcBorders>
                              <w:top w:val="single" w:sz="4" w:space="0" w:color="000000"/>
                              <w:left w:val="nil"/>
                              <w:bottom w:val="nil"/>
                              <w:right w:val="nil"/>
                            </w:tcBorders>
                            <w:hideMark/>
                          </w:tcPr>
                          <w:p w14:paraId="16CDA8A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3.3 </w:t>
                            </w:r>
                          </w:p>
                        </w:tc>
                        <w:tc>
                          <w:tcPr>
                            <w:tcW w:w="504" w:type="pct"/>
                            <w:tcBorders>
                              <w:top w:val="single" w:sz="4" w:space="0" w:color="000000"/>
                              <w:left w:val="nil"/>
                              <w:bottom w:val="nil"/>
                              <w:right w:val="nil"/>
                            </w:tcBorders>
                            <w:hideMark/>
                          </w:tcPr>
                          <w:p w14:paraId="6ACCB19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2.8 </w:t>
                            </w:r>
                          </w:p>
                        </w:tc>
                        <w:tc>
                          <w:tcPr>
                            <w:tcW w:w="504" w:type="pct"/>
                            <w:tcBorders>
                              <w:top w:val="single" w:sz="4" w:space="0" w:color="000000"/>
                              <w:left w:val="nil"/>
                              <w:bottom w:val="nil"/>
                              <w:right w:val="nil"/>
                            </w:tcBorders>
                            <w:hideMark/>
                          </w:tcPr>
                          <w:p w14:paraId="49C6B9C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7.8 </w:t>
                            </w:r>
                          </w:p>
                        </w:tc>
                      </w:tr>
                      <w:tr w:rsidR="00F00A1A" w:rsidRPr="00F00A1A" w14:paraId="33C81CA4" w14:textId="77777777" w:rsidTr="00F00A1A">
                        <w:trPr>
                          <w:trHeight w:val="204"/>
                        </w:trPr>
                        <w:tc>
                          <w:tcPr>
                            <w:tcW w:w="1471" w:type="pct"/>
                            <w:tcBorders>
                              <w:top w:val="nil"/>
                              <w:left w:val="nil"/>
                              <w:bottom w:val="nil"/>
                              <w:right w:val="nil"/>
                            </w:tcBorders>
                            <w:noWrap/>
                            <w:hideMark/>
                          </w:tcPr>
                          <w:p w14:paraId="0912F61C"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Long-Term Debt Repaid</w:t>
                            </w:r>
                          </w:p>
                        </w:tc>
                        <w:tc>
                          <w:tcPr>
                            <w:tcW w:w="504" w:type="pct"/>
                            <w:tcBorders>
                              <w:top w:val="nil"/>
                              <w:left w:val="nil"/>
                              <w:bottom w:val="nil"/>
                              <w:right w:val="nil"/>
                            </w:tcBorders>
                            <w:hideMark/>
                          </w:tcPr>
                          <w:p w14:paraId="377844FF"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(2.4)  </w:t>
                            </w:r>
                          </w:p>
                        </w:tc>
                        <w:tc>
                          <w:tcPr>
                            <w:tcW w:w="504" w:type="pct"/>
                            <w:tcBorders>
                              <w:top w:val="nil"/>
                              <w:left w:val="nil"/>
                              <w:bottom w:val="nil"/>
                              <w:right w:val="nil"/>
                            </w:tcBorders>
                            <w:hideMark/>
                          </w:tcPr>
                          <w:p w14:paraId="1BFBC6A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(4.5)  </w:t>
                            </w:r>
                          </w:p>
                        </w:tc>
                        <w:tc>
                          <w:tcPr>
                            <w:tcW w:w="504" w:type="pct"/>
                            <w:tcBorders>
                              <w:top w:val="nil"/>
                              <w:left w:val="nil"/>
                              <w:bottom w:val="nil"/>
                              <w:right w:val="nil"/>
                            </w:tcBorders>
                            <w:hideMark/>
                          </w:tcPr>
                          <w:p w14:paraId="2500AA3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258FE17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(2.6)  </w:t>
                            </w:r>
                          </w:p>
                        </w:tc>
                        <w:tc>
                          <w:tcPr>
                            <w:tcW w:w="504" w:type="pct"/>
                            <w:tcBorders>
                              <w:top w:val="nil"/>
                              <w:left w:val="nil"/>
                              <w:bottom w:val="nil"/>
                              <w:right w:val="nil"/>
                            </w:tcBorders>
                            <w:hideMark/>
                          </w:tcPr>
                          <w:p w14:paraId="1BCA77D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(1.7)  </w:t>
                            </w:r>
                          </w:p>
                        </w:tc>
                        <w:tc>
                          <w:tcPr>
                            <w:tcW w:w="504" w:type="pct"/>
                            <w:tcBorders>
                              <w:top w:val="nil"/>
                              <w:left w:val="nil"/>
                              <w:bottom w:val="nil"/>
                              <w:right w:val="nil"/>
                            </w:tcBorders>
                            <w:hideMark/>
                          </w:tcPr>
                          <w:p w14:paraId="4165320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(2.5)  </w:t>
                            </w:r>
                          </w:p>
                        </w:tc>
                        <w:tc>
                          <w:tcPr>
                            <w:tcW w:w="504" w:type="pct"/>
                            <w:tcBorders>
                              <w:top w:val="nil"/>
                              <w:left w:val="nil"/>
                              <w:bottom w:val="nil"/>
                              <w:right w:val="nil"/>
                            </w:tcBorders>
                            <w:hideMark/>
                          </w:tcPr>
                          <w:p w14:paraId="623C06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r>
                      <w:tr w:rsidR="00F00A1A" w:rsidRPr="00F00A1A" w14:paraId="7DF91337" w14:textId="77777777" w:rsidTr="00F00A1A">
                        <w:trPr>
                          <w:trHeight w:val="204"/>
                        </w:trPr>
                        <w:tc>
                          <w:tcPr>
                            <w:tcW w:w="1471" w:type="pct"/>
                            <w:tcBorders>
                              <w:top w:val="nil"/>
                              <w:left w:val="nil"/>
                              <w:bottom w:val="nil"/>
                              <w:right w:val="nil"/>
                            </w:tcBorders>
                            <w:noWrap/>
                            <w:hideMark/>
                          </w:tcPr>
                          <w:p w14:paraId="1EFF883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Total Debt Repaid</w:t>
                            </w:r>
                          </w:p>
                        </w:tc>
                        <w:tc>
                          <w:tcPr>
                            <w:tcW w:w="504" w:type="pct"/>
                            <w:tcBorders>
                              <w:top w:val="single" w:sz="4" w:space="0" w:color="000000"/>
                              <w:left w:val="nil"/>
                              <w:bottom w:val="nil"/>
                              <w:right w:val="nil"/>
                            </w:tcBorders>
                            <w:hideMark/>
                          </w:tcPr>
                          <w:p w14:paraId="4C184D4A"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(2.4)  </w:t>
                            </w:r>
                          </w:p>
                        </w:tc>
                        <w:tc>
                          <w:tcPr>
                            <w:tcW w:w="504" w:type="pct"/>
                            <w:tcBorders>
                              <w:top w:val="single" w:sz="4" w:space="0" w:color="000000"/>
                              <w:left w:val="nil"/>
                              <w:bottom w:val="nil"/>
                              <w:right w:val="nil"/>
                            </w:tcBorders>
                            <w:hideMark/>
                          </w:tcPr>
                          <w:p w14:paraId="5B59DE0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(4.5)  </w:t>
                            </w:r>
                          </w:p>
                        </w:tc>
                        <w:tc>
                          <w:tcPr>
                            <w:tcW w:w="504" w:type="pct"/>
                            <w:tcBorders>
                              <w:top w:val="single" w:sz="4" w:space="0" w:color="000000"/>
                              <w:left w:val="nil"/>
                              <w:bottom w:val="nil"/>
                              <w:right w:val="nil"/>
                            </w:tcBorders>
                            <w:hideMark/>
                          </w:tcPr>
                          <w:p w14:paraId="21A7C40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  </w:t>
                            </w:r>
                          </w:p>
                        </w:tc>
                        <w:tc>
                          <w:tcPr>
                            <w:tcW w:w="504" w:type="pct"/>
                            <w:tcBorders>
                              <w:top w:val="single" w:sz="4" w:space="0" w:color="000000"/>
                              <w:left w:val="nil"/>
                              <w:bottom w:val="nil"/>
                              <w:right w:val="nil"/>
                            </w:tcBorders>
                            <w:hideMark/>
                          </w:tcPr>
                          <w:p w14:paraId="3C191D2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(2.6)  </w:t>
                            </w:r>
                          </w:p>
                        </w:tc>
                        <w:tc>
                          <w:tcPr>
                            <w:tcW w:w="504" w:type="pct"/>
                            <w:tcBorders>
                              <w:top w:val="single" w:sz="4" w:space="0" w:color="000000"/>
                              <w:left w:val="nil"/>
                              <w:bottom w:val="nil"/>
                              <w:right w:val="nil"/>
                            </w:tcBorders>
                            <w:hideMark/>
                          </w:tcPr>
                          <w:p w14:paraId="2A817495"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  </w:t>
                            </w:r>
                          </w:p>
                        </w:tc>
                        <w:tc>
                          <w:tcPr>
                            <w:tcW w:w="504" w:type="pct"/>
                            <w:tcBorders>
                              <w:top w:val="single" w:sz="4" w:space="0" w:color="000000"/>
                              <w:left w:val="nil"/>
                              <w:bottom w:val="nil"/>
                              <w:right w:val="nil"/>
                            </w:tcBorders>
                            <w:hideMark/>
                          </w:tcPr>
                          <w:p w14:paraId="4362502B"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(2.5)  </w:t>
                            </w:r>
                          </w:p>
                        </w:tc>
                        <w:tc>
                          <w:tcPr>
                            <w:tcW w:w="504" w:type="pct"/>
                            <w:tcBorders>
                              <w:top w:val="single" w:sz="4" w:space="0" w:color="000000"/>
                              <w:left w:val="nil"/>
                              <w:bottom w:val="nil"/>
                              <w:right w:val="nil"/>
                            </w:tcBorders>
                            <w:hideMark/>
                          </w:tcPr>
                          <w:p w14:paraId="2DAA6BD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(4.7)  </w:t>
                            </w:r>
                          </w:p>
                        </w:tc>
                      </w:tr>
                      <w:tr w:rsidR="00F00A1A" w:rsidRPr="00F00A1A" w14:paraId="7D510B94" w14:textId="77777777" w:rsidTr="00F00A1A">
                        <w:trPr>
                          <w:trHeight w:val="204"/>
                        </w:trPr>
                        <w:tc>
                          <w:tcPr>
                            <w:tcW w:w="1471" w:type="pct"/>
                            <w:tcBorders>
                              <w:top w:val="nil"/>
                              <w:left w:val="nil"/>
                              <w:bottom w:val="nil"/>
                              <w:right w:val="nil"/>
                            </w:tcBorders>
                            <w:noWrap/>
                            <w:hideMark/>
                          </w:tcPr>
                          <w:p w14:paraId="57631094"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Issuance of Common Stock</w:t>
                            </w:r>
                          </w:p>
                        </w:tc>
                        <w:tc>
                          <w:tcPr>
                            <w:tcW w:w="504" w:type="pct"/>
                            <w:tcBorders>
                              <w:top w:val="nil"/>
                              <w:left w:val="nil"/>
                              <w:bottom w:val="nil"/>
                              <w:right w:val="nil"/>
                            </w:tcBorders>
                            <w:hideMark/>
                          </w:tcPr>
                          <w:p w14:paraId="0E7FD15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588DB1D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12.9 </w:t>
                            </w:r>
                          </w:p>
                        </w:tc>
                        <w:tc>
                          <w:tcPr>
                            <w:tcW w:w="504" w:type="pct"/>
                            <w:tcBorders>
                              <w:top w:val="nil"/>
                              <w:left w:val="nil"/>
                              <w:bottom w:val="nil"/>
                              <w:right w:val="nil"/>
                            </w:tcBorders>
                            <w:hideMark/>
                          </w:tcPr>
                          <w:p w14:paraId="4EEC85C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62D43898"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028C0640"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0.0 </w:t>
                            </w:r>
                          </w:p>
                        </w:tc>
                        <w:tc>
                          <w:tcPr>
                            <w:tcW w:w="504" w:type="pct"/>
                            <w:tcBorders>
                              <w:top w:val="nil"/>
                              <w:left w:val="nil"/>
                              <w:bottom w:val="nil"/>
                              <w:right w:val="nil"/>
                            </w:tcBorders>
                            <w:hideMark/>
                          </w:tcPr>
                          <w:p w14:paraId="50D86F5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1A34F96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r>
                      <w:tr w:rsidR="00F00A1A" w:rsidRPr="00F00A1A" w14:paraId="04080F60" w14:textId="77777777" w:rsidTr="00F00A1A">
                        <w:trPr>
                          <w:trHeight w:val="204"/>
                        </w:trPr>
                        <w:tc>
                          <w:tcPr>
                            <w:tcW w:w="1471" w:type="pct"/>
                            <w:tcBorders>
                              <w:top w:val="nil"/>
                              <w:left w:val="nil"/>
                              <w:bottom w:val="nil"/>
                              <w:right w:val="nil"/>
                            </w:tcBorders>
                            <w:noWrap/>
                            <w:hideMark/>
                          </w:tcPr>
                          <w:p w14:paraId="29363630"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Repurchase of Common Stock</w:t>
                            </w:r>
                          </w:p>
                        </w:tc>
                        <w:tc>
                          <w:tcPr>
                            <w:tcW w:w="504" w:type="pct"/>
                            <w:tcBorders>
                              <w:top w:val="nil"/>
                              <w:left w:val="nil"/>
                              <w:bottom w:val="nil"/>
                              <w:right w:val="nil"/>
                            </w:tcBorders>
                            <w:hideMark/>
                          </w:tcPr>
                          <w:p w14:paraId="1FC9880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(1.6)  </w:t>
                            </w:r>
                          </w:p>
                        </w:tc>
                        <w:tc>
                          <w:tcPr>
                            <w:tcW w:w="504" w:type="pct"/>
                            <w:tcBorders>
                              <w:top w:val="nil"/>
                              <w:left w:val="nil"/>
                              <w:bottom w:val="nil"/>
                              <w:right w:val="nil"/>
                            </w:tcBorders>
                            <w:hideMark/>
                          </w:tcPr>
                          <w:p w14:paraId="117393E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w:t>
                            </w:r>
                          </w:p>
                        </w:tc>
                        <w:tc>
                          <w:tcPr>
                            <w:tcW w:w="504" w:type="pct"/>
                            <w:tcBorders>
                              <w:top w:val="nil"/>
                              <w:left w:val="nil"/>
                              <w:bottom w:val="nil"/>
                              <w:right w:val="nil"/>
                            </w:tcBorders>
                            <w:hideMark/>
                          </w:tcPr>
                          <w:p w14:paraId="19FD392B"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2286E7F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(9.7)  </w:t>
                            </w:r>
                          </w:p>
                        </w:tc>
                        <w:tc>
                          <w:tcPr>
                            <w:tcW w:w="504" w:type="pct"/>
                            <w:tcBorders>
                              <w:top w:val="nil"/>
                              <w:left w:val="nil"/>
                              <w:bottom w:val="nil"/>
                              <w:right w:val="nil"/>
                            </w:tcBorders>
                            <w:hideMark/>
                          </w:tcPr>
                          <w:p w14:paraId="2C7D8AD5"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(10.9)  </w:t>
                            </w:r>
                          </w:p>
                        </w:tc>
                        <w:tc>
                          <w:tcPr>
                            <w:tcW w:w="504" w:type="pct"/>
                            <w:tcBorders>
                              <w:top w:val="nil"/>
                              <w:left w:val="nil"/>
                              <w:bottom w:val="nil"/>
                              <w:right w:val="nil"/>
                            </w:tcBorders>
                            <w:hideMark/>
                          </w:tcPr>
                          <w:p w14:paraId="6743C54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(12.3)  </w:t>
                            </w:r>
                          </w:p>
                        </w:tc>
                        <w:tc>
                          <w:tcPr>
                            <w:tcW w:w="504" w:type="pct"/>
                            <w:tcBorders>
                              <w:top w:val="nil"/>
                              <w:left w:val="nil"/>
                              <w:bottom w:val="nil"/>
                              <w:right w:val="nil"/>
                            </w:tcBorders>
                            <w:hideMark/>
                          </w:tcPr>
                          <w:p w14:paraId="2DF3FB9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(23.4)  </w:t>
                            </w:r>
                          </w:p>
                        </w:tc>
                      </w:tr>
                      <w:tr w:rsidR="00F00A1A" w:rsidRPr="00F00A1A" w14:paraId="78DEC1B8" w14:textId="77777777" w:rsidTr="00F00A1A">
                        <w:trPr>
                          <w:trHeight w:val="204"/>
                        </w:trPr>
                        <w:tc>
                          <w:tcPr>
                            <w:tcW w:w="1471" w:type="pct"/>
                            <w:tcBorders>
                              <w:top w:val="nil"/>
                              <w:left w:val="nil"/>
                              <w:bottom w:val="nil"/>
                              <w:right w:val="nil"/>
                            </w:tcBorders>
                            <w:noWrap/>
                            <w:hideMark/>
                          </w:tcPr>
                          <w:p w14:paraId="444293D7"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Other Financing Activities</w:t>
                            </w:r>
                          </w:p>
                        </w:tc>
                        <w:tc>
                          <w:tcPr>
                            <w:tcW w:w="504" w:type="pct"/>
                            <w:tcBorders>
                              <w:top w:val="nil"/>
                              <w:left w:val="nil"/>
                              <w:bottom w:val="nil"/>
                              <w:right w:val="nil"/>
                            </w:tcBorders>
                            <w:hideMark/>
                          </w:tcPr>
                          <w:p w14:paraId="492E814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1821BF3C"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61B216BE"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(0.1)  </w:t>
                            </w:r>
                          </w:p>
                        </w:tc>
                        <w:tc>
                          <w:tcPr>
                            <w:tcW w:w="504" w:type="pct"/>
                            <w:tcBorders>
                              <w:top w:val="nil"/>
                              <w:left w:val="nil"/>
                              <w:bottom w:val="nil"/>
                              <w:right w:val="nil"/>
                            </w:tcBorders>
                            <w:hideMark/>
                          </w:tcPr>
                          <w:p w14:paraId="081F6ED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38EBCC3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(0.3)  </w:t>
                            </w:r>
                          </w:p>
                        </w:tc>
                        <w:tc>
                          <w:tcPr>
                            <w:tcW w:w="504" w:type="pct"/>
                            <w:tcBorders>
                              <w:top w:val="nil"/>
                              <w:left w:val="nil"/>
                              <w:bottom w:val="nil"/>
                              <w:right w:val="nil"/>
                            </w:tcBorders>
                            <w:hideMark/>
                          </w:tcPr>
                          <w:p w14:paraId="4906A7A9"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(0.7)  </w:t>
                            </w:r>
                          </w:p>
                        </w:tc>
                        <w:tc>
                          <w:tcPr>
                            <w:tcW w:w="504" w:type="pct"/>
                            <w:tcBorders>
                              <w:top w:val="nil"/>
                              <w:left w:val="nil"/>
                              <w:bottom w:val="nil"/>
                              <w:right w:val="nil"/>
                            </w:tcBorders>
                            <w:hideMark/>
                          </w:tcPr>
                          <w:p w14:paraId="1F5AC907"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9.4 </w:t>
                            </w:r>
                          </w:p>
                        </w:tc>
                      </w:tr>
                      <w:tr w:rsidR="00F00A1A" w:rsidRPr="00F00A1A" w14:paraId="3C2EB51F" w14:textId="77777777" w:rsidTr="00F00A1A">
                        <w:trPr>
                          <w:trHeight w:val="204"/>
                        </w:trPr>
                        <w:tc>
                          <w:tcPr>
                            <w:tcW w:w="1471" w:type="pct"/>
                            <w:tcBorders>
                              <w:top w:val="nil"/>
                              <w:left w:val="nil"/>
                              <w:bottom w:val="nil"/>
                              <w:right w:val="nil"/>
                            </w:tcBorders>
                            <w:noWrap/>
                            <w:hideMark/>
                          </w:tcPr>
                          <w:p w14:paraId="14BAA82E"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Cash from Financing</w:t>
                            </w:r>
                          </w:p>
                        </w:tc>
                        <w:tc>
                          <w:tcPr>
                            <w:tcW w:w="504" w:type="pct"/>
                            <w:tcBorders>
                              <w:top w:val="single" w:sz="4" w:space="0" w:color="000000"/>
                              <w:left w:val="nil"/>
                              <w:bottom w:val="nil"/>
                              <w:right w:val="nil"/>
                            </w:tcBorders>
                            <w:hideMark/>
                          </w:tcPr>
                          <w:p w14:paraId="57D2BBC2"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(1.1)  </w:t>
                            </w:r>
                          </w:p>
                        </w:tc>
                        <w:tc>
                          <w:tcPr>
                            <w:tcW w:w="504" w:type="pct"/>
                            <w:tcBorders>
                              <w:top w:val="single" w:sz="4" w:space="0" w:color="000000"/>
                              <w:left w:val="nil"/>
                              <w:bottom w:val="nil"/>
                              <w:right w:val="nil"/>
                            </w:tcBorders>
                            <w:hideMark/>
                          </w:tcPr>
                          <w:p w14:paraId="4A79F384"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10.0 </w:t>
                            </w:r>
                          </w:p>
                        </w:tc>
                        <w:tc>
                          <w:tcPr>
                            <w:tcW w:w="504" w:type="pct"/>
                            <w:tcBorders>
                              <w:top w:val="single" w:sz="4" w:space="0" w:color="000000"/>
                              <w:left w:val="nil"/>
                              <w:bottom w:val="nil"/>
                              <w:right w:val="nil"/>
                            </w:tcBorders>
                            <w:hideMark/>
                          </w:tcPr>
                          <w:p w14:paraId="437FFA5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4.6 </w:t>
                            </w:r>
                          </w:p>
                        </w:tc>
                        <w:tc>
                          <w:tcPr>
                            <w:tcW w:w="504" w:type="pct"/>
                            <w:tcBorders>
                              <w:top w:val="single" w:sz="4" w:space="0" w:color="000000"/>
                              <w:left w:val="nil"/>
                              <w:bottom w:val="nil"/>
                              <w:right w:val="nil"/>
                            </w:tcBorders>
                            <w:hideMark/>
                          </w:tcPr>
                          <w:p w14:paraId="1FB3272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(10.2)  </w:t>
                            </w:r>
                          </w:p>
                        </w:tc>
                        <w:tc>
                          <w:tcPr>
                            <w:tcW w:w="504" w:type="pct"/>
                            <w:tcBorders>
                              <w:top w:val="single" w:sz="4" w:space="0" w:color="000000"/>
                              <w:left w:val="nil"/>
                              <w:bottom w:val="nil"/>
                              <w:right w:val="nil"/>
                            </w:tcBorders>
                            <w:hideMark/>
                          </w:tcPr>
                          <w:p w14:paraId="36F1FDAD"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(9.6)  </w:t>
                            </w:r>
                          </w:p>
                        </w:tc>
                        <w:tc>
                          <w:tcPr>
                            <w:tcW w:w="504" w:type="pct"/>
                            <w:tcBorders>
                              <w:top w:val="single" w:sz="4" w:space="0" w:color="000000"/>
                              <w:left w:val="nil"/>
                              <w:bottom w:val="nil"/>
                              <w:right w:val="nil"/>
                            </w:tcBorders>
                            <w:hideMark/>
                          </w:tcPr>
                          <w:p w14:paraId="7C9DAF02"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(15.0)  </w:t>
                            </w:r>
                          </w:p>
                        </w:tc>
                        <w:tc>
                          <w:tcPr>
                            <w:tcW w:w="504" w:type="pct"/>
                            <w:tcBorders>
                              <w:top w:val="single" w:sz="4" w:space="0" w:color="000000"/>
                              <w:left w:val="nil"/>
                              <w:bottom w:val="nil"/>
                              <w:right w:val="nil"/>
                            </w:tcBorders>
                            <w:hideMark/>
                          </w:tcPr>
                          <w:p w14:paraId="484FE5C6"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(17.3)  </w:t>
                            </w:r>
                          </w:p>
                        </w:tc>
                      </w:tr>
                      <w:tr w:rsidR="00F00A1A" w:rsidRPr="00F00A1A" w14:paraId="03C5F86A" w14:textId="77777777" w:rsidTr="00F00A1A">
                        <w:trPr>
                          <w:trHeight w:val="204"/>
                        </w:trPr>
                        <w:tc>
                          <w:tcPr>
                            <w:tcW w:w="1471" w:type="pct"/>
                            <w:tcBorders>
                              <w:top w:val="nil"/>
                              <w:left w:val="nil"/>
                              <w:bottom w:val="nil"/>
                              <w:right w:val="nil"/>
                            </w:tcBorders>
                            <w:noWrap/>
                            <w:hideMark/>
                          </w:tcPr>
                          <w:p w14:paraId="66E73815" w14:textId="77777777" w:rsidR="00F00A1A" w:rsidRPr="00F00A1A" w:rsidRDefault="00F00A1A" w:rsidP="00F00A1A">
                            <w:pPr>
                              <w:spacing w:after="0" w:line="240" w:lineRule="auto"/>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Foreign Exchange Rate Adj.</w:t>
                            </w:r>
                          </w:p>
                        </w:tc>
                        <w:tc>
                          <w:tcPr>
                            <w:tcW w:w="504" w:type="pct"/>
                            <w:tcBorders>
                              <w:top w:val="nil"/>
                              <w:left w:val="nil"/>
                              <w:bottom w:val="nil"/>
                              <w:right w:val="nil"/>
                            </w:tcBorders>
                            <w:hideMark/>
                          </w:tcPr>
                          <w:p w14:paraId="4F5F64F4"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19B0D0FD"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2F4E466A"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(1.1)  </w:t>
                            </w:r>
                          </w:p>
                        </w:tc>
                        <w:tc>
                          <w:tcPr>
                            <w:tcW w:w="504" w:type="pct"/>
                            <w:tcBorders>
                              <w:top w:val="nil"/>
                              <w:left w:val="nil"/>
                              <w:bottom w:val="nil"/>
                              <w:right w:val="nil"/>
                            </w:tcBorders>
                            <w:hideMark/>
                          </w:tcPr>
                          <w:p w14:paraId="68F01571"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(1.4)  </w:t>
                            </w:r>
                          </w:p>
                        </w:tc>
                        <w:tc>
                          <w:tcPr>
                            <w:tcW w:w="504" w:type="pct"/>
                            <w:tcBorders>
                              <w:top w:val="nil"/>
                              <w:left w:val="nil"/>
                              <w:bottom w:val="nil"/>
                              <w:right w:val="nil"/>
                            </w:tcBorders>
                            <w:hideMark/>
                          </w:tcPr>
                          <w:p w14:paraId="5D736E16"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c>
                          <w:tcPr>
                            <w:tcW w:w="504" w:type="pct"/>
                            <w:tcBorders>
                              <w:top w:val="nil"/>
                              <w:left w:val="nil"/>
                              <w:bottom w:val="nil"/>
                              <w:right w:val="nil"/>
                            </w:tcBorders>
                            <w:hideMark/>
                          </w:tcPr>
                          <w:p w14:paraId="30531A42"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0.6 </w:t>
                            </w:r>
                          </w:p>
                        </w:tc>
                        <w:tc>
                          <w:tcPr>
                            <w:tcW w:w="504" w:type="pct"/>
                            <w:tcBorders>
                              <w:top w:val="nil"/>
                              <w:left w:val="nil"/>
                              <w:bottom w:val="nil"/>
                              <w:right w:val="nil"/>
                            </w:tcBorders>
                            <w:hideMark/>
                          </w:tcPr>
                          <w:p w14:paraId="7F232EC3" w14:textId="77777777" w:rsidR="00F00A1A" w:rsidRPr="00F00A1A" w:rsidRDefault="00F00A1A" w:rsidP="00F00A1A">
                            <w:pPr>
                              <w:spacing w:after="0" w:line="240" w:lineRule="auto"/>
                              <w:jc w:val="right"/>
                              <w:rPr>
                                <w:rFonts w:ascii="Cambria" w:eastAsia="Times New Roman" w:hAnsi="Cambria" w:cs="Arial"/>
                                <w:color w:val="000000"/>
                                <w:kern w:val="0"/>
                                <w:sz w:val="14"/>
                                <w:szCs w:val="14"/>
                                <w:lang w:eastAsia="en-IN"/>
                                <w14:ligatures w14:val="none"/>
                              </w:rPr>
                            </w:pPr>
                            <w:r w:rsidRPr="00F00A1A">
                              <w:rPr>
                                <w:rFonts w:ascii="Cambria" w:eastAsia="Times New Roman" w:hAnsi="Cambria" w:cs="Arial"/>
                                <w:color w:val="000000"/>
                                <w:kern w:val="0"/>
                                <w:sz w:val="14"/>
                                <w:szCs w:val="14"/>
                                <w:lang w:eastAsia="en-IN"/>
                                <w14:ligatures w14:val="none"/>
                              </w:rPr>
                              <w:t xml:space="preserve">             0.5 </w:t>
                            </w:r>
                          </w:p>
                        </w:tc>
                      </w:tr>
                      <w:tr w:rsidR="00F00A1A" w:rsidRPr="00F00A1A" w14:paraId="0EBE6C7A" w14:textId="77777777" w:rsidTr="00F00A1A">
                        <w:trPr>
                          <w:trHeight w:val="204"/>
                        </w:trPr>
                        <w:tc>
                          <w:tcPr>
                            <w:tcW w:w="1471" w:type="pct"/>
                            <w:tcBorders>
                              <w:top w:val="nil"/>
                              <w:left w:val="nil"/>
                              <w:bottom w:val="nil"/>
                              <w:right w:val="nil"/>
                            </w:tcBorders>
                            <w:noWrap/>
                            <w:hideMark/>
                          </w:tcPr>
                          <w:p w14:paraId="5CD79A80" w14:textId="77777777" w:rsidR="00F00A1A" w:rsidRPr="00F00A1A" w:rsidRDefault="00F00A1A" w:rsidP="00F00A1A">
                            <w:pPr>
                              <w:spacing w:after="0" w:line="240" w:lineRule="auto"/>
                              <w:rPr>
                                <w:rFonts w:ascii="Cambria" w:eastAsia="Times New Roman" w:hAnsi="Cambria" w:cs="Arial"/>
                                <w:b/>
                                <w:bCs/>
                                <w:color w:val="000000"/>
                                <w:kern w:val="0"/>
                                <w:sz w:val="14"/>
                                <w:szCs w:val="14"/>
                                <w:lang w:eastAsia="en-IN"/>
                                <w14:ligatures w14:val="none"/>
                              </w:rPr>
                            </w:pPr>
                            <w:r w:rsidRPr="00F00A1A">
                              <w:rPr>
                                <w:rFonts w:ascii="Cambria" w:eastAsia="Times New Roman" w:hAnsi="Cambria" w:cs="Arial"/>
                                <w:b/>
                                <w:bCs/>
                                <w:color w:val="000000"/>
                                <w:kern w:val="0"/>
                                <w:sz w:val="14"/>
                                <w:szCs w:val="14"/>
                                <w:lang w:eastAsia="en-IN"/>
                                <w14:ligatures w14:val="none"/>
                              </w:rPr>
                              <w:t xml:space="preserve">  Net Change in Cash</w:t>
                            </w:r>
                          </w:p>
                        </w:tc>
                        <w:tc>
                          <w:tcPr>
                            <w:tcW w:w="504" w:type="pct"/>
                            <w:tcBorders>
                              <w:top w:val="single" w:sz="4" w:space="0" w:color="000000"/>
                              <w:left w:val="nil"/>
                              <w:bottom w:val="nil"/>
                              <w:right w:val="nil"/>
                            </w:tcBorders>
                            <w:hideMark/>
                          </w:tcPr>
                          <w:p w14:paraId="564F0FD8"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(0.6)  </w:t>
                            </w:r>
                          </w:p>
                        </w:tc>
                        <w:tc>
                          <w:tcPr>
                            <w:tcW w:w="504" w:type="pct"/>
                            <w:tcBorders>
                              <w:top w:val="single" w:sz="4" w:space="0" w:color="000000"/>
                              <w:left w:val="nil"/>
                              <w:bottom w:val="nil"/>
                              <w:right w:val="nil"/>
                            </w:tcBorders>
                            <w:hideMark/>
                          </w:tcPr>
                          <w:p w14:paraId="321FA829"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20.8 </w:t>
                            </w:r>
                          </w:p>
                        </w:tc>
                        <w:tc>
                          <w:tcPr>
                            <w:tcW w:w="504" w:type="pct"/>
                            <w:tcBorders>
                              <w:top w:val="single" w:sz="4" w:space="0" w:color="000000"/>
                              <w:left w:val="nil"/>
                              <w:bottom w:val="nil"/>
                              <w:right w:val="nil"/>
                            </w:tcBorders>
                            <w:hideMark/>
                          </w:tcPr>
                          <w:p w14:paraId="03830CCF"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1.6 </w:t>
                            </w:r>
                          </w:p>
                        </w:tc>
                        <w:tc>
                          <w:tcPr>
                            <w:tcW w:w="504" w:type="pct"/>
                            <w:tcBorders>
                              <w:top w:val="single" w:sz="4" w:space="0" w:color="000000"/>
                              <w:left w:val="nil"/>
                              <w:bottom w:val="nil"/>
                              <w:right w:val="nil"/>
                            </w:tcBorders>
                            <w:hideMark/>
                          </w:tcPr>
                          <w:p w14:paraId="558F017E"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(20.4)  </w:t>
                            </w:r>
                          </w:p>
                        </w:tc>
                        <w:tc>
                          <w:tcPr>
                            <w:tcW w:w="504" w:type="pct"/>
                            <w:tcBorders>
                              <w:top w:val="single" w:sz="4" w:space="0" w:color="000000"/>
                              <w:left w:val="nil"/>
                              <w:bottom w:val="nil"/>
                              <w:right w:val="nil"/>
                            </w:tcBorders>
                            <w:hideMark/>
                          </w:tcPr>
                          <w:p w14:paraId="6A3923A0"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0.3 </w:t>
                            </w:r>
                          </w:p>
                        </w:tc>
                        <w:tc>
                          <w:tcPr>
                            <w:tcW w:w="504" w:type="pct"/>
                            <w:tcBorders>
                              <w:top w:val="single" w:sz="4" w:space="0" w:color="000000"/>
                              <w:left w:val="nil"/>
                              <w:bottom w:val="nil"/>
                              <w:right w:val="nil"/>
                            </w:tcBorders>
                            <w:hideMark/>
                          </w:tcPr>
                          <w:p w14:paraId="2D189DB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7.9 </w:t>
                            </w:r>
                          </w:p>
                        </w:tc>
                        <w:tc>
                          <w:tcPr>
                            <w:tcW w:w="504" w:type="pct"/>
                            <w:tcBorders>
                              <w:top w:val="single" w:sz="4" w:space="0" w:color="000000"/>
                              <w:left w:val="nil"/>
                              <w:bottom w:val="nil"/>
                              <w:right w:val="nil"/>
                            </w:tcBorders>
                            <w:hideMark/>
                          </w:tcPr>
                          <w:p w14:paraId="24669713" w14:textId="77777777" w:rsidR="00F00A1A" w:rsidRPr="00F00A1A" w:rsidRDefault="00F00A1A" w:rsidP="00F00A1A">
                            <w:pPr>
                              <w:spacing w:after="0" w:line="240" w:lineRule="auto"/>
                              <w:jc w:val="right"/>
                              <w:rPr>
                                <w:rFonts w:ascii="Cambria" w:eastAsia="Times New Roman" w:hAnsi="Cambria" w:cs="Arial"/>
                                <w:b/>
                                <w:bCs/>
                                <w:color w:val="000000"/>
                                <w:kern w:val="0"/>
                                <w:sz w:val="14"/>
                                <w:szCs w:val="14"/>
                                <w:u w:val="double"/>
                                <w:lang w:eastAsia="en-IN"/>
                                <w14:ligatures w14:val="none"/>
                              </w:rPr>
                            </w:pPr>
                            <w:r w:rsidRPr="00F00A1A">
                              <w:rPr>
                                <w:rFonts w:ascii="Cambria" w:eastAsia="Times New Roman" w:hAnsi="Cambria" w:cs="Arial"/>
                                <w:b/>
                                <w:bCs/>
                                <w:color w:val="000000"/>
                                <w:kern w:val="0"/>
                                <w:sz w:val="14"/>
                                <w:szCs w:val="14"/>
                                <w:u w:val="double"/>
                                <w:lang w:eastAsia="en-IN"/>
                                <w14:ligatures w14:val="none"/>
                              </w:rPr>
                              <w:t xml:space="preserve">        (12.2)  </w:t>
                            </w:r>
                          </w:p>
                        </w:tc>
                      </w:tr>
                    </w:tbl>
                    <w:p w14:paraId="31E2F2CD" w14:textId="756F50AE" w:rsidR="00F00A1A" w:rsidRDefault="00F00A1A"/>
                  </w:txbxContent>
                </v:textbox>
                <w10:wrap type="square" anchorx="margin"/>
              </v:shape>
            </w:pict>
          </mc:Fallback>
        </mc:AlternateContent>
      </w:r>
      <w:r w:rsidRPr="00456405">
        <w:rPr>
          <w:rFonts w:ascii="Cambria" w:hAnsi="Cambria"/>
          <w:b/>
          <w:bCs/>
          <w:sz w:val="24"/>
          <w:szCs w:val="24"/>
        </w:rPr>
        <w:br/>
      </w:r>
      <w:r w:rsidRPr="00456405">
        <w:rPr>
          <w:rFonts w:ascii="Cambria" w:hAnsi="Cambria"/>
          <w:b/>
          <w:bCs/>
          <w:sz w:val="24"/>
          <w:szCs w:val="24"/>
        </w:rPr>
        <w:br/>
      </w:r>
      <w:r w:rsidRPr="00456405">
        <w:rPr>
          <w:rFonts w:ascii="Cambria" w:hAnsi="Cambria"/>
          <w:b/>
          <w:bCs/>
          <w:sz w:val="24"/>
          <w:szCs w:val="24"/>
        </w:rPr>
        <w:br/>
      </w:r>
    </w:p>
    <w:p w14:paraId="16695FCB" w14:textId="1C51F0D7" w:rsidR="00466D79" w:rsidRPr="00456405" w:rsidRDefault="00466D79">
      <w:pPr>
        <w:rPr>
          <w:rFonts w:ascii="Cambria" w:hAnsi="Cambria"/>
          <w:b/>
          <w:bCs/>
          <w:sz w:val="24"/>
          <w:szCs w:val="24"/>
        </w:rPr>
      </w:pPr>
      <w:r w:rsidRPr="00456405">
        <w:rPr>
          <w:rFonts w:ascii="Cambria" w:hAnsi="Cambria"/>
          <w:b/>
          <w:bCs/>
          <w:sz w:val="24"/>
          <w:szCs w:val="24"/>
        </w:rPr>
        <w:br w:type="page"/>
      </w:r>
    </w:p>
    <w:p w14:paraId="608A8BBE" w14:textId="4B9111F1" w:rsidR="00063F80" w:rsidRPr="00456405" w:rsidRDefault="00D62C19" w:rsidP="00730709">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w:lastRenderedPageBreak/>
        <mc:AlternateContent>
          <mc:Choice Requires="wps">
            <w:drawing>
              <wp:anchor distT="45720" distB="45720" distL="114300" distR="114300" simplePos="0" relativeHeight="251749376" behindDoc="0" locked="0" layoutInCell="1" allowOverlap="1" wp14:anchorId="0F8F34D7" wp14:editId="578AAB46">
                <wp:simplePos x="0" y="0"/>
                <wp:positionH relativeFrom="margin">
                  <wp:align>left</wp:align>
                </wp:positionH>
                <wp:positionV relativeFrom="paragraph">
                  <wp:posOffset>7620</wp:posOffset>
                </wp:positionV>
                <wp:extent cx="3550920" cy="1404620"/>
                <wp:effectExtent l="0" t="0" r="0" b="5080"/>
                <wp:wrapSquare wrapText="bothSides"/>
                <wp:docPr id="964053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404620"/>
                        </a:xfrm>
                        <a:prstGeom prst="rect">
                          <a:avLst/>
                        </a:prstGeom>
                        <a:solidFill>
                          <a:srgbClr val="FFFFFF"/>
                        </a:solidFill>
                        <a:ln w="9525">
                          <a:noFill/>
                          <a:miter lim="800000"/>
                          <a:headEnd/>
                          <a:tailEnd/>
                        </a:ln>
                      </wps:spPr>
                      <wps:txbx>
                        <w:txbxContent>
                          <w:p w14:paraId="1F2536E7" w14:textId="3CD0CD97" w:rsidR="00D62C19" w:rsidRDefault="00D62C19">
                            <w:r>
                              <w:rPr>
                                <w:rFonts w:ascii="Cambria" w:hAnsi="Cambria"/>
                                <w:b/>
                                <w:bCs/>
                                <w:sz w:val="24"/>
                                <w:szCs w:val="24"/>
                              </w:rPr>
                              <w:t>4. Carrefour S.A. Financial Statements</w:t>
                            </w:r>
                            <w:r>
                              <w:rPr>
                                <w:rFonts w:ascii="Cambria" w:hAnsi="Cambria"/>
                                <w:b/>
                                <w:bCs/>
                                <w:sz w:val="24"/>
                                <w:szCs w:val="24"/>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34D7" id="_x0000_s1061" type="#_x0000_t202" style="position:absolute;left:0;text-align:left;margin-left:0;margin-top:.6pt;width:279.6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" stroked="f">
                <v:textbox style="mso-fit-shape-to-text:t">
                  <w:txbxContent>
                    <w:p w14:paraId="1F2536E7" w14:textId="3CD0CD97" w:rsidR="00D62C19" w:rsidRDefault="00D62C19">
                      <w:r>
                        <w:rPr>
                          <w:rFonts w:ascii="Cambria" w:hAnsi="Cambria"/>
                          <w:b/>
                          <w:bCs/>
                          <w:sz w:val="24"/>
                          <w:szCs w:val="24"/>
                        </w:rPr>
                        <w:t>4. Carrefour S.A. Financial Statements</w:t>
                      </w:r>
                      <w:r>
                        <w:rPr>
                          <w:rFonts w:ascii="Cambria" w:hAnsi="Cambria"/>
                          <w:b/>
                          <w:bCs/>
                          <w:sz w:val="24"/>
                          <w:szCs w:val="24"/>
                        </w:rPr>
                        <w:tab/>
                      </w:r>
                    </w:p>
                  </w:txbxContent>
                </v:textbox>
                <w10:wrap type="square" anchorx="margin"/>
              </v:shape>
            </w:pict>
          </mc:Fallback>
        </mc:AlternateContent>
      </w:r>
      <w:r w:rsidR="00A73471" w:rsidRPr="00456405">
        <w:rPr>
          <w:rFonts w:ascii="Cambria" w:hAnsi="Cambria"/>
          <w:b/>
          <w:bCs/>
          <w:noProof/>
          <w:sz w:val="24"/>
          <w:szCs w:val="24"/>
        </w:rPr>
        <mc:AlternateContent>
          <mc:Choice Requires="wps">
            <w:drawing>
              <wp:anchor distT="45720" distB="45720" distL="114300" distR="114300" simplePos="0" relativeHeight="251728896" behindDoc="0" locked="0" layoutInCell="1" allowOverlap="1" wp14:anchorId="2A803737" wp14:editId="4C9E0E1C">
                <wp:simplePos x="0" y="0"/>
                <wp:positionH relativeFrom="margin">
                  <wp:align>left</wp:align>
                </wp:positionH>
                <wp:positionV relativeFrom="paragraph">
                  <wp:posOffset>388620</wp:posOffset>
                </wp:positionV>
                <wp:extent cx="5882640" cy="1404620"/>
                <wp:effectExtent l="0" t="0" r="3810" b="6350"/>
                <wp:wrapSquare wrapText="bothSides"/>
                <wp:docPr id="1252244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noFill/>
                          <a:miter lim="800000"/>
                          <a:headEnd/>
                          <a:tailEnd/>
                        </a:ln>
                      </wps:spPr>
                      <wps:txbx>
                        <w:txbxContent>
                          <w:tbl>
                            <w:tblPr>
                              <w:tblW w:w="4992" w:type="pct"/>
                              <w:tblLook w:val="04A0" w:firstRow="1" w:lastRow="0" w:firstColumn="1" w:lastColumn="0" w:noHBand="0" w:noVBand="1"/>
                            </w:tblPr>
                            <w:tblGrid>
                              <w:gridCol w:w="3055"/>
                              <w:gridCol w:w="984"/>
                              <w:gridCol w:w="984"/>
                              <w:gridCol w:w="984"/>
                              <w:gridCol w:w="984"/>
                              <w:gridCol w:w="988"/>
                              <w:gridCol w:w="984"/>
                            </w:tblGrid>
                            <w:tr w:rsidR="00A73471" w:rsidRPr="00A73471" w14:paraId="4C2C2BE2" w14:textId="77777777" w:rsidTr="00A73471">
                              <w:trPr>
                                <w:trHeight w:val="324"/>
                              </w:trPr>
                              <w:tc>
                                <w:tcPr>
                                  <w:tcW w:w="4451" w:type="pct"/>
                                  <w:gridSpan w:val="6"/>
                                  <w:tcBorders>
                                    <w:top w:val="nil"/>
                                    <w:left w:val="nil"/>
                                    <w:bottom w:val="nil"/>
                                    <w:right w:val="nil"/>
                                  </w:tcBorders>
                                  <w:noWrap/>
                                  <w:vAlign w:val="bottom"/>
                                  <w:hideMark/>
                                </w:tcPr>
                                <w:p w14:paraId="64FAC8BF"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Carrefour SA (ENXTPA:CA) &gt; Financials &gt; Ratios</w:t>
                                  </w:r>
                                </w:p>
                              </w:tc>
                              <w:tc>
                                <w:tcPr>
                                  <w:tcW w:w="549" w:type="pct"/>
                                  <w:tcBorders>
                                    <w:top w:val="nil"/>
                                    <w:left w:val="nil"/>
                                    <w:bottom w:val="nil"/>
                                    <w:right w:val="nil"/>
                                  </w:tcBorders>
                                  <w:noWrap/>
                                  <w:vAlign w:val="bottom"/>
                                  <w:hideMark/>
                                </w:tcPr>
                                <w:p w14:paraId="03F43F47"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r>
                            <w:tr w:rsidR="00A73471" w:rsidRPr="00A73471" w14:paraId="7E5648A2" w14:textId="77777777" w:rsidTr="00A73471">
                              <w:trPr>
                                <w:trHeight w:val="204"/>
                              </w:trPr>
                              <w:tc>
                                <w:tcPr>
                                  <w:tcW w:w="1704" w:type="pct"/>
                                  <w:tcBorders>
                                    <w:top w:val="nil"/>
                                    <w:left w:val="nil"/>
                                    <w:bottom w:val="nil"/>
                                    <w:right w:val="nil"/>
                                  </w:tcBorders>
                                  <w:shd w:val="clear" w:color="000000" w:fill="003366"/>
                                  <w:noWrap/>
                                  <w:vAlign w:val="bottom"/>
                                  <w:hideMark/>
                                </w:tcPr>
                                <w:p w14:paraId="559C5391"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Ratios</w:t>
                                  </w:r>
                                </w:p>
                              </w:tc>
                              <w:tc>
                                <w:tcPr>
                                  <w:tcW w:w="549" w:type="pct"/>
                                  <w:tcBorders>
                                    <w:top w:val="nil"/>
                                    <w:left w:val="nil"/>
                                    <w:bottom w:val="nil"/>
                                    <w:right w:val="nil"/>
                                  </w:tcBorders>
                                  <w:shd w:val="clear" w:color="000000" w:fill="003366"/>
                                  <w:noWrap/>
                                  <w:vAlign w:val="bottom"/>
                                  <w:hideMark/>
                                </w:tcPr>
                                <w:p w14:paraId="693ED30A"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2A332005"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06601D30"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304C64D9"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51" w:type="pct"/>
                                  <w:tcBorders>
                                    <w:top w:val="nil"/>
                                    <w:left w:val="nil"/>
                                    <w:bottom w:val="nil"/>
                                    <w:right w:val="nil"/>
                                  </w:tcBorders>
                                  <w:shd w:val="clear" w:color="000000" w:fill="003366"/>
                                  <w:noWrap/>
                                  <w:vAlign w:val="bottom"/>
                                  <w:hideMark/>
                                </w:tcPr>
                                <w:p w14:paraId="7DC5AB53"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234A8ED5"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r>
                            <w:tr w:rsidR="00A73471" w:rsidRPr="00A73471" w14:paraId="19F44518" w14:textId="77777777" w:rsidTr="00A73471">
                              <w:trPr>
                                <w:trHeight w:val="408"/>
                              </w:trPr>
                              <w:tc>
                                <w:tcPr>
                                  <w:tcW w:w="1704" w:type="pct"/>
                                  <w:tcBorders>
                                    <w:top w:val="nil"/>
                                    <w:left w:val="nil"/>
                                    <w:bottom w:val="nil"/>
                                    <w:right w:val="nil"/>
                                  </w:tcBorders>
                                  <w:shd w:val="clear" w:color="000000" w:fill="F0F0DC"/>
                                  <w:vAlign w:val="bottom"/>
                                  <w:hideMark/>
                                </w:tcPr>
                                <w:p w14:paraId="4F2D6516"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For the Fiscal Period Ending</w:t>
                                  </w:r>
                                </w:p>
                              </w:tc>
                              <w:tc>
                                <w:tcPr>
                                  <w:tcW w:w="549" w:type="pct"/>
                                  <w:tcBorders>
                                    <w:top w:val="nil"/>
                                    <w:left w:val="nil"/>
                                    <w:bottom w:val="nil"/>
                                    <w:right w:val="nil"/>
                                  </w:tcBorders>
                                  <w:shd w:val="clear" w:color="000000" w:fill="F0F0DC"/>
                                  <w:vAlign w:val="bottom"/>
                                  <w:hideMark/>
                                </w:tcPr>
                                <w:p w14:paraId="1B8BEF1C"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Dec-31-2019</w:t>
                                  </w:r>
                                </w:p>
                              </w:tc>
                              <w:tc>
                                <w:tcPr>
                                  <w:tcW w:w="549" w:type="pct"/>
                                  <w:tcBorders>
                                    <w:top w:val="nil"/>
                                    <w:left w:val="nil"/>
                                    <w:bottom w:val="nil"/>
                                    <w:right w:val="nil"/>
                                  </w:tcBorders>
                                  <w:shd w:val="clear" w:color="000000" w:fill="F0F0DC"/>
                                  <w:vAlign w:val="bottom"/>
                                  <w:hideMark/>
                                </w:tcPr>
                                <w:p w14:paraId="6260D126"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Dec-31-2020</w:t>
                                  </w:r>
                                </w:p>
                              </w:tc>
                              <w:tc>
                                <w:tcPr>
                                  <w:tcW w:w="549" w:type="pct"/>
                                  <w:tcBorders>
                                    <w:top w:val="nil"/>
                                    <w:left w:val="nil"/>
                                    <w:bottom w:val="nil"/>
                                    <w:right w:val="nil"/>
                                  </w:tcBorders>
                                  <w:shd w:val="clear" w:color="000000" w:fill="F0F0DC"/>
                                  <w:vAlign w:val="bottom"/>
                                  <w:hideMark/>
                                </w:tcPr>
                                <w:p w14:paraId="37447FB0"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Dec-31-2021</w:t>
                                  </w:r>
                                </w:p>
                              </w:tc>
                              <w:tc>
                                <w:tcPr>
                                  <w:tcW w:w="549" w:type="pct"/>
                                  <w:tcBorders>
                                    <w:top w:val="nil"/>
                                    <w:left w:val="nil"/>
                                    <w:bottom w:val="nil"/>
                                    <w:right w:val="nil"/>
                                  </w:tcBorders>
                                  <w:shd w:val="clear" w:color="000000" w:fill="F0F0DC"/>
                                  <w:vAlign w:val="bottom"/>
                                  <w:hideMark/>
                                </w:tcPr>
                                <w:p w14:paraId="59E35775"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Dec-31-2022</w:t>
                                  </w:r>
                                </w:p>
                              </w:tc>
                              <w:tc>
                                <w:tcPr>
                                  <w:tcW w:w="551" w:type="pct"/>
                                  <w:tcBorders>
                                    <w:top w:val="nil"/>
                                    <w:left w:val="nil"/>
                                    <w:bottom w:val="nil"/>
                                    <w:right w:val="nil"/>
                                  </w:tcBorders>
                                  <w:shd w:val="clear" w:color="000000" w:fill="F0F0DC"/>
                                  <w:vAlign w:val="bottom"/>
                                  <w:hideMark/>
                                </w:tcPr>
                                <w:p w14:paraId="019EF927"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Dec-31-2023</w:t>
                                  </w:r>
                                </w:p>
                              </w:tc>
                              <w:tc>
                                <w:tcPr>
                                  <w:tcW w:w="549" w:type="pct"/>
                                  <w:tcBorders>
                                    <w:top w:val="nil"/>
                                    <w:left w:val="nil"/>
                                    <w:bottom w:val="nil"/>
                                    <w:right w:val="nil"/>
                                  </w:tcBorders>
                                  <w:shd w:val="clear" w:color="000000" w:fill="F0F0DC"/>
                                  <w:vAlign w:val="bottom"/>
                                  <w:hideMark/>
                                </w:tcPr>
                                <w:p w14:paraId="4AC8F1E2"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Dec-31-2024</w:t>
                                  </w:r>
                                </w:p>
                              </w:tc>
                            </w:tr>
                            <w:tr w:rsidR="00A73471" w:rsidRPr="00A73471" w14:paraId="0EB69CD3" w14:textId="77777777" w:rsidTr="00A73471">
                              <w:trPr>
                                <w:trHeight w:val="204"/>
                              </w:trPr>
                              <w:tc>
                                <w:tcPr>
                                  <w:tcW w:w="1704" w:type="pct"/>
                                  <w:tcBorders>
                                    <w:top w:val="nil"/>
                                    <w:left w:val="nil"/>
                                    <w:bottom w:val="nil"/>
                                    <w:right w:val="nil"/>
                                  </w:tcBorders>
                                  <w:noWrap/>
                                  <w:hideMark/>
                                </w:tcPr>
                                <w:p w14:paraId="4B0B6E6D"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Profitability</w:t>
                                  </w:r>
                                </w:p>
                              </w:tc>
                              <w:tc>
                                <w:tcPr>
                                  <w:tcW w:w="549" w:type="pct"/>
                                  <w:tcBorders>
                                    <w:top w:val="nil"/>
                                    <w:left w:val="nil"/>
                                    <w:bottom w:val="nil"/>
                                    <w:right w:val="nil"/>
                                  </w:tcBorders>
                                  <w:noWrap/>
                                  <w:hideMark/>
                                </w:tcPr>
                                <w:p w14:paraId="10983B18"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B1FC5F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4CFB2C3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5ADC0163"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452E10C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34665A8"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C9F82A7" w14:textId="77777777" w:rsidTr="00A73471">
                              <w:trPr>
                                <w:trHeight w:val="204"/>
                              </w:trPr>
                              <w:tc>
                                <w:tcPr>
                                  <w:tcW w:w="1704" w:type="pct"/>
                                  <w:tcBorders>
                                    <w:top w:val="nil"/>
                                    <w:left w:val="nil"/>
                                    <w:bottom w:val="nil"/>
                                    <w:right w:val="nil"/>
                                  </w:tcBorders>
                                  <w:noWrap/>
                                  <w:hideMark/>
                                </w:tcPr>
                                <w:p w14:paraId="0EAB066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Assets %</w:t>
                                  </w:r>
                                </w:p>
                              </w:tc>
                              <w:tc>
                                <w:tcPr>
                                  <w:tcW w:w="549" w:type="pct"/>
                                  <w:tcBorders>
                                    <w:top w:val="nil"/>
                                    <w:left w:val="nil"/>
                                    <w:bottom w:val="nil"/>
                                    <w:right w:val="nil"/>
                                  </w:tcBorders>
                                  <w:hideMark/>
                                </w:tcPr>
                                <w:p w14:paraId="52203B6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3994F1C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c>
                                <w:tcPr>
                                  <w:tcW w:w="549" w:type="pct"/>
                                  <w:tcBorders>
                                    <w:top w:val="nil"/>
                                    <w:left w:val="nil"/>
                                    <w:bottom w:val="nil"/>
                                    <w:right w:val="nil"/>
                                  </w:tcBorders>
                                  <w:hideMark/>
                                </w:tcPr>
                                <w:p w14:paraId="220B70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49" w:type="pct"/>
                                  <w:tcBorders>
                                    <w:top w:val="nil"/>
                                    <w:left w:val="nil"/>
                                    <w:bottom w:val="nil"/>
                                    <w:right w:val="nil"/>
                                  </w:tcBorders>
                                  <w:hideMark/>
                                </w:tcPr>
                                <w:p w14:paraId="2BE9993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c>
                                <w:tcPr>
                                  <w:tcW w:w="551" w:type="pct"/>
                                  <w:tcBorders>
                                    <w:top w:val="nil"/>
                                    <w:left w:val="nil"/>
                                    <w:bottom w:val="nil"/>
                                    <w:right w:val="nil"/>
                                  </w:tcBorders>
                                  <w:hideMark/>
                                </w:tcPr>
                                <w:p w14:paraId="3BA8354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2.5% </w:t>
                                  </w:r>
                                </w:p>
                              </w:tc>
                              <w:tc>
                                <w:tcPr>
                                  <w:tcW w:w="549" w:type="pct"/>
                                  <w:tcBorders>
                                    <w:top w:val="nil"/>
                                    <w:left w:val="nil"/>
                                    <w:bottom w:val="nil"/>
                                    <w:right w:val="nil"/>
                                  </w:tcBorders>
                                  <w:hideMark/>
                                </w:tcPr>
                                <w:p w14:paraId="3F103A7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2.4% </w:t>
                                  </w:r>
                                </w:p>
                              </w:tc>
                            </w:tr>
                            <w:tr w:rsidR="00A73471" w:rsidRPr="00A73471" w14:paraId="49EA5FBE" w14:textId="77777777" w:rsidTr="00A73471">
                              <w:trPr>
                                <w:trHeight w:val="204"/>
                              </w:trPr>
                              <w:tc>
                                <w:tcPr>
                                  <w:tcW w:w="1704" w:type="pct"/>
                                  <w:tcBorders>
                                    <w:top w:val="nil"/>
                                    <w:left w:val="nil"/>
                                    <w:bottom w:val="nil"/>
                                    <w:right w:val="nil"/>
                                  </w:tcBorders>
                                  <w:noWrap/>
                                  <w:hideMark/>
                                </w:tcPr>
                                <w:p w14:paraId="3E642CF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Capital %</w:t>
                                  </w:r>
                                </w:p>
                              </w:tc>
                              <w:tc>
                                <w:tcPr>
                                  <w:tcW w:w="549" w:type="pct"/>
                                  <w:tcBorders>
                                    <w:top w:val="nil"/>
                                    <w:left w:val="nil"/>
                                    <w:bottom w:val="nil"/>
                                    <w:right w:val="nil"/>
                                  </w:tcBorders>
                                  <w:hideMark/>
                                </w:tcPr>
                                <w:p w14:paraId="241CDF2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02A9F7E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4D98CBE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49" w:type="pct"/>
                                  <w:tcBorders>
                                    <w:top w:val="nil"/>
                                    <w:left w:val="nil"/>
                                    <w:bottom w:val="nil"/>
                                    <w:right w:val="nil"/>
                                  </w:tcBorders>
                                  <w:hideMark/>
                                </w:tcPr>
                                <w:p w14:paraId="79D385C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51" w:type="pct"/>
                                  <w:tcBorders>
                                    <w:top w:val="nil"/>
                                    <w:left w:val="nil"/>
                                    <w:bottom w:val="nil"/>
                                    <w:right w:val="nil"/>
                                  </w:tcBorders>
                                  <w:hideMark/>
                                </w:tcPr>
                                <w:p w14:paraId="42C130B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4.3% </w:t>
                                  </w:r>
                                </w:p>
                              </w:tc>
                              <w:tc>
                                <w:tcPr>
                                  <w:tcW w:w="549" w:type="pct"/>
                                  <w:tcBorders>
                                    <w:top w:val="nil"/>
                                    <w:left w:val="nil"/>
                                    <w:bottom w:val="nil"/>
                                    <w:right w:val="nil"/>
                                  </w:tcBorders>
                                  <w:hideMark/>
                                </w:tcPr>
                                <w:p w14:paraId="0876A02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 </w:t>
                                  </w:r>
                                </w:p>
                              </w:tc>
                            </w:tr>
                            <w:tr w:rsidR="00A73471" w:rsidRPr="00A73471" w14:paraId="2B379DFF" w14:textId="77777777" w:rsidTr="00A73471">
                              <w:trPr>
                                <w:trHeight w:val="204"/>
                              </w:trPr>
                              <w:tc>
                                <w:tcPr>
                                  <w:tcW w:w="1704" w:type="pct"/>
                                  <w:tcBorders>
                                    <w:top w:val="nil"/>
                                    <w:left w:val="nil"/>
                                    <w:bottom w:val="nil"/>
                                    <w:right w:val="nil"/>
                                  </w:tcBorders>
                                  <w:noWrap/>
                                  <w:hideMark/>
                                </w:tcPr>
                                <w:p w14:paraId="3F67CD9F"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Equity %</w:t>
                                  </w:r>
                                </w:p>
                              </w:tc>
                              <w:tc>
                                <w:tcPr>
                                  <w:tcW w:w="549" w:type="pct"/>
                                  <w:tcBorders>
                                    <w:top w:val="nil"/>
                                    <w:left w:val="nil"/>
                                    <w:bottom w:val="nil"/>
                                    <w:right w:val="nil"/>
                                  </w:tcBorders>
                                  <w:hideMark/>
                                </w:tcPr>
                                <w:p w14:paraId="0C481F3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 </w:t>
                                  </w:r>
                                </w:p>
                              </w:tc>
                              <w:tc>
                                <w:tcPr>
                                  <w:tcW w:w="549" w:type="pct"/>
                                  <w:tcBorders>
                                    <w:top w:val="nil"/>
                                    <w:left w:val="nil"/>
                                    <w:bottom w:val="nil"/>
                                    <w:right w:val="nil"/>
                                  </w:tcBorders>
                                  <w:hideMark/>
                                </w:tcPr>
                                <w:p w14:paraId="45E1206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7.3% </w:t>
                                  </w:r>
                                </w:p>
                              </w:tc>
                              <w:tc>
                                <w:tcPr>
                                  <w:tcW w:w="549" w:type="pct"/>
                                  <w:tcBorders>
                                    <w:top w:val="nil"/>
                                    <w:left w:val="nil"/>
                                    <w:bottom w:val="nil"/>
                                    <w:right w:val="nil"/>
                                  </w:tcBorders>
                                  <w:hideMark/>
                                </w:tcPr>
                                <w:p w14:paraId="68A59A9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10.3% </w:t>
                                  </w:r>
                                </w:p>
                              </w:tc>
                              <w:tc>
                                <w:tcPr>
                                  <w:tcW w:w="549" w:type="pct"/>
                                  <w:tcBorders>
                                    <w:top w:val="nil"/>
                                    <w:left w:val="nil"/>
                                    <w:bottom w:val="nil"/>
                                    <w:right w:val="nil"/>
                                  </w:tcBorders>
                                  <w:hideMark/>
                                </w:tcPr>
                                <w:p w14:paraId="3429488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12.5% </w:t>
                                  </w:r>
                                </w:p>
                              </w:tc>
                              <w:tc>
                                <w:tcPr>
                                  <w:tcW w:w="551" w:type="pct"/>
                                  <w:tcBorders>
                                    <w:top w:val="nil"/>
                                    <w:left w:val="nil"/>
                                    <w:bottom w:val="nil"/>
                                    <w:right w:val="nil"/>
                                  </w:tcBorders>
                                  <w:hideMark/>
                                </w:tcPr>
                                <w:p w14:paraId="2ED07E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6.8% </w:t>
                                  </w:r>
                                </w:p>
                              </w:tc>
                              <w:tc>
                                <w:tcPr>
                                  <w:tcW w:w="549" w:type="pct"/>
                                  <w:tcBorders>
                                    <w:top w:val="nil"/>
                                    <w:left w:val="nil"/>
                                    <w:bottom w:val="nil"/>
                                    <w:right w:val="nil"/>
                                  </w:tcBorders>
                                  <w:hideMark/>
                                </w:tcPr>
                                <w:p w14:paraId="0FA0E9D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6.1% </w:t>
                                  </w:r>
                                </w:p>
                              </w:tc>
                            </w:tr>
                            <w:tr w:rsidR="00A73471" w:rsidRPr="00A73471" w14:paraId="55BC1804" w14:textId="77777777" w:rsidTr="00A73471">
                              <w:trPr>
                                <w:trHeight w:val="204"/>
                              </w:trPr>
                              <w:tc>
                                <w:tcPr>
                                  <w:tcW w:w="1704" w:type="pct"/>
                                  <w:tcBorders>
                                    <w:top w:val="nil"/>
                                    <w:left w:val="nil"/>
                                    <w:bottom w:val="nil"/>
                                    <w:right w:val="nil"/>
                                  </w:tcBorders>
                                  <w:noWrap/>
                                  <w:hideMark/>
                                </w:tcPr>
                                <w:p w14:paraId="0FB4FEA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Common Equity %</w:t>
                                  </w:r>
                                </w:p>
                              </w:tc>
                              <w:tc>
                                <w:tcPr>
                                  <w:tcW w:w="549" w:type="pct"/>
                                  <w:tcBorders>
                                    <w:top w:val="nil"/>
                                    <w:left w:val="nil"/>
                                    <w:bottom w:val="nil"/>
                                    <w:right w:val="nil"/>
                                  </w:tcBorders>
                                  <w:hideMark/>
                                </w:tcPr>
                                <w:p w14:paraId="2D9A1D4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49" w:type="pct"/>
                                  <w:tcBorders>
                                    <w:top w:val="nil"/>
                                    <w:left w:val="nil"/>
                                    <w:bottom w:val="nil"/>
                                    <w:right w:val="nil"/>
                                  </w:tcBorders>
                                  <w:hideMark/>
                                </w:tcPr>
                                <w:p w14:paraId="0C628AC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6.6% </w:t>
                                  </w:r>
                                </w:p>
                              </w:tc>
                              <w:tc>
                                <w:tcPr>
                                  <w:tcW w:w="549" w:type="pct"/>
                                  <w:tcBorders>
                                    <w:top w:val="nil"/>
                                    <w:left w:val="nil"/>
                                    <w:bottom w:val="nil"/>
                                    <w:right w:val="nil"/>
                                  </w:tcBorders>
                                  <w:hideMark/>
                                </w:tcPr>
                                <w:p w14:paraId="3B73E26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9.8% </w:t>
                                  </w:r>
                                </w:p>
                              </w:tc>
                              <w:tc>
                                <w:tcPr>
                                  <w:tcW w:w="549" w:type="pct"/>
                                  <w:tcBorders>
                                    <w:top w:val="nil"/>
                                    <w:left w:val="nil"/>
                                    <w:bottom w:val="nil"/>
                                    <w:right w:val="nil"/>
                                  </w:tcBorders>
                                  <w:hideMark/>
                                </w:tcPr>
                                <w:p w14:paraId="67C103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12.8% </w:t>
                                  </w:r>
                                </w:p>
                              </w:tc>
                              <w:tc>
                                <w:tcPr>
                                  <w:tcW w:w="551" w:type="pct"/>
                                  <w:tcBorders>
                                    <w:top w:val="nil"/>
                                    <w:left w:val="nil"/>
                                    <w:bottom w:val="nil"/>
                                    <w:right w:val="nil"/>
                                  </w:tcBorders>
                                  <w:hideMark/>
                                </w:tcPr>
                                <w:p w14:paraId="72A4927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8.2% </w:t>
                                  </w:r>
                                </w:p>
                              </w:tc>
                              <w:tc>
                                <w:tcPr>
                                  <w:tcW w:w="549" w:type="pct"/>
                                  <w:tcBorders>
                                    <w:top w:val="nil"/>
                                    <w:left w:val="nil"/>
                                    <w:bottom w:val="nil"/>
                                    <w:right w:val="nil"/>
                                  </w:tcBorders>
                                  <w:hideMark/>
                                </w:tcPr>
                                <w:p w14:paraId="2E92EDD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6.5% </w:t>
                                  </w:r>
                                </w:p>
                              </w:tc>
                            </w:tr>
                            <w:tr w:rsidR="00A73471" w:rsidRPr="00A73471" w14:paraId="1D471EF4" w14:textId="77777777" w:rsidTr="00A73471">
                              <w:trPr>
                                <w:trHeight w:val="204"/>
                              </w:trPr>
                              <w:tc>
                                <w:tcPr>
                                  <w:tcW w:w="1704" w:type="pct"/>
                                  <w:tcBorders>
                                    <w:top w:val="nil"/>
                                    <w:left w:val="nil"/>
                                    <w:bottom w:val="nil"/>
                                    <w:right w:val="nil"/>
                                  </w:tcBorders>
                                  <w:noWrap/>
                                  <w:hideMark/>
                                </w:tcPr>
                                <w:p w14:paraId="2BF23E67"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Margin Analysis</w:t>
                                  </w:r>
                                </w:p>
                              </w:tc>
                              <w:tc>
                                <w:tcPr>
                                  <w:tcW w:w="549" w:type="pct"/>
                                  <w:tcBorders>
                                    <w:top w:val="nil"/>
                                    <w:left w:val="nil"/>
                                    <w:bottom w:val="nil"/>
                                    <w:right w:val="nil"/>
                                  </w:tcBorders>
                                  <w:noWrap/>
                                  <w:hideMark/>
                                </w:tcPr>
                                <w:p w14:paraId="0750ACF2"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D0763E1"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5F8F8FC5"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218B5B0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7A2FC294"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54899F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E6D3BDE" w14:textId="77777777" w:rsidTr="00A73471">
                              <w:trPr>
                                <w:trHeight w:val="204"/>
                              </w:trPr>
                              <w:tc>
                                <w:tcPr>
                                  <w:tcW w:w="1704" w:type="pct"/>
                                  <w:tcBorders>
                                    <w:top w:val="nil"/>
                                    <w:left w:val="nil"/>
                                    <w:bottom w:val="nil"/>
                                    <w:right w:val="nil"/>
                                  </w:tcBorders>
                                  <w:noWrap/>
                                  <w:hideMark/>
                                </w:tcPr>
                                <w:p w14:paraId="4C7B2D0A"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Gross Margin %</w:t>
                                  </w:r>
                                </w:p>
                              </w:tc>
                              <w:tc>
                                <w:tcPr>
                                  <w:tcW w:w="549" w:type="pct"/>
                                  <w:tcBorders>
                                    <w:top w:val="nil"/>
                                    <w:left w:val="nil"/>
                                    <w:bottom w:val="nil"/>
                                    <w:right w:val="nil"/>
                                  </w:tcBorders>
                                  <w:hideMark/>
                                </w:tcPr>
                                <w:p w14:paraId="2C7BAD8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20.5% </w:t>
                                  </w:r>
                                </w:p>
                              </w:tc>
                              <w:tc>
                                <w:tcPr>
                                  <w:tcW w:w="549" w:type="pct"/>
                                  <w:tcBorders>
                                    <w:top w:val="nil"/>
                                    <w:left w:val="nil"/>
                                    <w:bottom w:val="nil"/>
                                    <w:right w:val="nil"/>
                                  </w:tcBorders>
                                  <w:hideMark/>
                                </w:tcPr>
                                <w:p w14:paraId="1FBCE62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20.2% </w:t>
                                  </w:r>
                                </w:p>
                              </w:tc>
                              <w:tc>
                                <w:tcPr>
                                  <w:tcW w:w="549" w:type="pct"/>
                                  <w:tcBorders>
                                    <w:top w:val="nil"/>
                                    <w:left w:val="nil"/>
                                    <w:bottom w:val="nil"/>
                                    <w:right w:val="nil"/>
                                  </w:tcBorders>
                                  <w:hideMark/>
                                </w:tcPr>
                                <w:p w14:paraId="2CD6B61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19.7% </w:t>
                                  </w:r>
                                </w:p>
                              </w:tc>
                              <w:tc>
                                <w:tcPr>
                                  <w:tcW w:w="549" w:type="pct"/>
                                  <w:tcBorders>
                                    <w:top w:val="nil"/>
                                    <w:left w:val="nil"/>
                                    <w:bottom w:val="nil"/>
                                    <w:right w:val="nil"/>
                                  </w:tcBorders>
                                  <w:hideMark/>
                                </w:tcPr>
                                <w:p w14:paraId="4414929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18.5% </w:t>
                                  </w:r>
                                </w:p>
                              </w:tc>
                              <w:tc>
                                <w:tcPr>
                                  <w:tcW w:w="551" w:type="pct"/>
                                  <w:tcBorders>
                                    <w:top w:val="nil"/>
                                    <w:left w:val="nil"/>
                                    <w:bottom w:val="nil"/>
                                    <w:right w:val="nil"/>
                                  </w:tcBorders>
                                  <w:hideMark/>
                                </w:tcPr>
                                <w:p w14:paraId="64482C2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18.5% </w:t>
                                  </w:r>
                                </w:p>
                              </w:tc>
                              <w:tc>
                                <w:tcPr>
                                  <w:tcW w:w="549" w:type="pct"/>
                                  <w:tcBorders>
                                    <w:top w:val="nil"/>
                                    <w:left w:val="nil"/>
                                    <w:bottom w:val="nil"/>
                                    <w:right w:val="nil"/>
                                  </w:tcBorders>
                                  <w:hideMark/>
                                </w:tcPr>
                                <w:p w14:paraId="3FD1CB3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18.3% </w:t>
                                  </w:r>
                                </w:p>
                              </w:tc>
                            </w:tr>
                            <w:tr w:rsidR="00A73471" w:rsidRPr="00A73471" w14:paraId="1B817BE1" w14:textId="77777777" w:rsidTr="00A73471">
                              <w:trPr>
                                <w:trHeight w:val="204"/>
                              </w:trPr>
                              <w:tc>
                                <w:tcPr>
                                  <w:tcW w:w="1704" w:type="pct"/>
                                  <w:tcBorders>
                                    <w:top w:val="nil"/>
                                    <w:left w:val="nil"/>
                                    <w:bottom w:val="nil"/>
                                    <w:right w:val="nil"/>
                                  </w:tcBorders>
                                  <w:noWrap/>
                                  <w:hideMark/>
                                </w:tcPr>
                                <w:p w14:paraId="6F9E936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SG&amp;A Margin %</w:t>
                                  </w:r>
                                </w:p>
                              </w:tc>
                              <w:tc>
                                <w:tcPr>
                                  <w:tcW w:w="549" w:type="pct"/>
                                  <w:tcBorders>
                                    <w:top w:val="nil"/>
                                    <w:left w:val="nil"/>
                                    <w:bottom w:val="nil"/>
                                    <w:right w:val="nil"/>
                                  </w:tcBorders>
                                  <w:hideMark/>
                                </w:tcPr>
                                <w:p w14:paraId="3189DC0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14.5% </w:t>
                                  </w:r>
                                </w:p>
                              </w:tc>
                              <w:tc>
                                <w:tcPr>
                                  <w:tcW w:w="549" w:type="pct"/>
                                  <w:tcBorders>
                                    <w:top w:val="nil"/>
                                    <w:left w:val="nil"/>
                                    <w:bottom w:val="nil"/>
                                    <w:right w:val="nil"/>
                                  </w:tcBorders>
                                  <w:hideMark/>
                                </w:tcPr>
                                <w:p w14:paraId="10CA5A3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13.9% </w:t>
                                  </w:r>
                                </w:p>
                              </w:tc>
                              <w:tc>
                                <w:tcPr>
                                  <w:tcW w:w="549" w:type="pct"/>
                                  <w:tcBorders>
                                    <w:top w:val="nil"/>
                                    <w:left w:val="nil"/>
                                    <w:bottom w:val="nil"/>
                                    <w:right w:val="nil"/>
                                  </w:tcBorders>
                                  <w:hideMark/>
                                </w:tcPr>
                                <w:p w14:paraId="3DF31AB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13.5% </w:t>
                                  </w:r>
                                </w:p>
                              </w:tc>
                              <w:tc>
                                <w:tcPr>
                                  <w:tcW w:w="549" w:type="pct"/>
                                  <w:tcBorders>
                                    <w:top w:val="nil"/>
                                    <w:left w:val="nil"/>
                                    <w:bottom w:val="nil"/>
                                    <w:right w:val="nil"/>
                                  </w:tcBorders>
                                  <w:hideMark/>
                                </w:tcPr>
                                <w:p w14:paraId="32549D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12.9% </w:t>
                                  </w:r>
                                </w:p>
                              </w:tc>
                              <w:tc>
                                <w:tcPr>
                                  <w:tcW w:w="551" w:type="pct"/>
                                  <w:tcBorders>
                                    <w:top w:val="nil"/>
                                    <w:left w:val="nil"/>
                                    <w:bottom w:val="nil"/>
                                    <w:right w:val="nil"/>
                                  </w:tcBorders>
                                  <w:hideMark/>
                                </w:tcPr>
                                <w:p w14:paraId="731F624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13.1% </w:t>
                                  </w:r>
                                </w:p>
                              </w:tc>
                              <w:tc>
                                <w:tcPr>
                                  <w:tcW w:w="549" w:type="pct"/>
                                  <w:tcBorders>
                                    <w:top w:val="nil"/>
                                    <w:left w:val="nil"/>
                                    <w:bottom w:val="nil"/>
                                    <w:right w:val="nil"/>
                                  </w:tcBorders>
                                  <w:hideMark/>
                                </w:tcPr>
                                <w:p w14:paraId="160A12D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12.9% </w:t>
                                  </w:r>
                                </w:p>
                              </w:tc>
                            </w:tr>
                            <w:tr w:rsidR="00A73471" w:rsidRPr="00A73471" w14:paraId="6340265A" w14:textId="77777777" w:rsidTr="00A73471">
                              <w:trPr>
                                <w:trHeight w:val="204"/>
                              </w:trPr>
                              <w:tc>
                                <w:tcPr>
                                  <w:tcW w:w="1704" w:type="pct"/>
                                  <w:tcBorders>
                                    <w:top w:val="nil"/>
                                    <w:left w:val="nil"/>
                                    <w:bottom w:val="nil"/>
                                    <w:right w:val="nil"/>
                                  </w:tcBorders>
                                  <w:noWrap/>
                                  <w:hideMark/>
                                </w:tcPr>
                                <w:p w14:paraId="517A1BF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 Margin %</w:t>
                                  </w:r>
                                </w:p>
                              </w:tc>
                              <w:tc>
                                <w:tcPr>
                                  <w:tcW w:w="549" w:type="pct"/>
                                  <w:tcBorders>
                                    <w:top w:val="nil"/>
                                    <w:left w:val="nil"/>
                                    <w:bottom w:val="nil"/>
                                    <w:right w:val="nil"/>
                                  </w:tcBorders>
                                  <w:hideMark/>
                                </w:tcPr>
                                <w:p w14:paraId="548E9E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7E6A408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49" w:type="pct"/>
                                  <w:tcBorders>
                                    <w:top w:val="nil"/>
                                    <w:left w:val="nil"/>
                                    <w:bottom w:val="nil"/>
                                    <w:right w:val="nil"/>
                                  </w:tcBorders>
                                  <w:hideMark/>
                                </w:tcPr>
                                <w:p w14:paraId="4D3AEB5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6863302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4.5% </w:t>
                                  </w:r>
                                </w:p>
                              </w:tc>
                              <w:tc>
                                <w:tcPr>
                                  <w:tcW w:w="551" w:type="pct"/>
                                  <w:tcBorders>
                                    <w:top w:val="nil"/>
                                    <w:left w:val="nil"/>
                                    <w:bottom w:val="nil"/>
                                    <w:right w:val="nil"/>
                                  </w:tcBorders>
                                  <w:hideMark/>
                                </w:tcPr>
                                <w:p w14:paraId="403B80A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4.3% </w:t>
                                  </w:r>
                                </w:p>
                              </w:tc>
                              <w:tc>
                                <w:tcPr>
                                  <w:tcW w:w="549" w:type="pct"/>
                                  <w:tcBorders>
                                    <w:top w:val="nil"/>
                                    <w:left w:val="nil"/>
                                    <w:bottom w:val="nil"/>
                                    <w:right w:val="nil"/>
                                  </w:tcBorders>
                                  <w:hideMark/>
                                </w:tcPr>
                                <w:p w14:paraId="45C2F50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4.2% </w:t>
                                  </w:r>
                                </w:p>
                              </w:tc>
                            </w:tr>
                            <w:tr w:rsidR="00A73471" w:rsidRPr="00A73471" w14:paraId="15BF94AE" w14:textId="77777777" w:rsidTr="00A73471">
                              <w:trPr>
                                <w:trHeight w:val="204"/>
                              </w:trPr>
                              <w:tc>
                                <w:tcPr>
                                  <w:tcW w:w="1704" w:type="pct"/>
                                  <w:tcBorders>
                                    <w:top w:val="nil"/>
                                    <w:left w:val="nil"/>
                                    <w:bottom w:val="nil"/>
                                    <w:right w:val="nil"/>
                                  </w:tcBorders>
                                  <w:noWrap/>
                                  <w:hideMark/>
                                </w:tcPr>
                                <w:p w14:paraId="2F0C25BC"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EBITA Margin %</w:t>
                                  </w:r>
                                </w:p>
                              </w:tc>
                              <w:tc>
                                <w:tcPr>
                                  <w:tcW w:w="549" w:type="pct"/>
                                  <w:tcBorders>
                                    <w:top w:val="nil"/>
                                    <w:left w:val="nil"/>
                                    <w:bottom w:val="nil"/>
                                    <w:right w:val="nil"/>
                                  </w:tcBorders>
                                  <w:hideMark/>
                                </w:tcPr>
                                <w:p w14:paraId="00106B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10F3FFB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 </w:t>
                                  </w:r>
                                </w:p>
                              </w:tc>
                              <w:tc>
                                <w:tcPr>
                                  <w:tcW w:w="549" w:type="pct"/>
                                  <w:tcBorders>
                                    <w:top w:val="nil"/>
                                    <w:left w:val="nil"/>
                                    <w:bottom w:val="nil"/>
                                    <w:right w:val="nil"/>
                                  </w:tcBorders>
                                  <w:hideMark/>
                                </w:tcPr>
                                <w:p w14:paraId="7BA4FD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 </w:t>
                                  </w:r>
                                </w:p>
                              </w:tc>
                              <w:tc>
                                <w:tcPr>
                                  <w:tcW w:w="549" w:type="pct"/>
                                  <w:tcBorders>
                                    <w:top w:val="nil"/>
                                    <w:left w:val="nil"/>
                                    <w:bottom w:val="nil"/>
                                    <w:right w:val="nil"/>
                                  </w:tcBorders>
                                  <w:hideMark/>
                                </w:tcPr>
                                <w:p w14:paraId="039EC51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3.2% </w:t>
                                  </w:r>
                                </w:p>
                              </w:tc>
                              <w:tc>
                                <w:tcPr>
                                  <w:tcW w:w="551" w:type="pct"/>
                                  <w:tcBorders>
                                    <w:top w:val="nil"/>
                                    <w:left w:val="nil"/>
                                    <w:bottom w:val="nil"/>
                                    <w:right w:val="nil"/>
                                  </w:tcBorders>
                                  <w:hideMark/>
                                </w:tcPr>
                                <w:p w14:paraId="7CFC72E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49" w:type="pct"/>
                                  <w:tcBorders>
                                    <w:top w:val="nil"/>
                                    <w:left w:val="nil"/>
                                    <w:bottom w:val="nil"/>
                                    <w:right w:val="nil"/>
                                  </w:tcBorders>
                                  <w:hideMark/>
                                </w:tcPr>
                                <w:p w14:paraId="7BD0D67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r>
                            <w:tr w:rsidR="00A73471" w:rsidRPr="00A73471" w14:paraId="1534576E" w14:textId="77777777" w:rsidTr="00A73471">
                              <w:trPr>
                                <w:trHeight w:val="204"/>
                              </w:trPr>
                              <w:tc>
                                <w:tcPr>
                                  <w:tcW w:w="1704" w:type="pct"/>
                                  <w:tcBorders>
                                    <w:top w:val="nil"/>
                                    <w:left w:val="nil"/>
                                    <w:bottom w:val="nil"/>
                                    <w:right w:val="nil"/>
                                  </w:tcBorders>
                                  <w:noWrap/>
                                  <w:hideMark/>
                                </w:tcPr>
                                <w:p w14:paraId="71B792C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 Margin %</w:t>
                                  </w:r>
                                </w:p>
                              </w:tc>
                              <w:tc>
                                <w:tcPr>
                                  <w:tcW w:w="549" w:type="pct"/>
                                  <w:tcBorders>
                                    <w:top w:val="nil"/>
                                    <w:left w:val="nil"/>
                                    <w:bottom w:val="nil"/>
                                    <w:right w:val="nil"/>
                                  </w:tcBorders>
                                  <w:hideMark/>
                                </w:tcPr>
                                <w:p w14:paraId="2A86C5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c>
                                <w:tcPr>
                                  <w:tcW w:w="549" w:type="pct"/>
                                  <w:tcBorders>
                                    <w:top w:val="nil"/>
                                    <w:left w:val="nil"/>
                                    <w:bottom w:val="nil"/>
                                    <w:right w:val="nil"/>
                                  </w:tcBorders>
                                  <w:hideMark/>
                                </w:tcPr>
                                <w:p w14:paraId="0F590D6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3.0% </w:t>
                                  </w:r>
                                </w:p>
                              </w:tc>
                              <w:tc>
                                <w:tcPr>
                                  <w:tcW w:w="549" w:type="pct"/>
                                  <w:tcBorders>
                                    <w:top w:val="nil"/>
                                    <w:left w:val="nil"/>
                                    <w:bottom w:val="nil"/>
                                    <w:right w:val="nil"/>
                                  </w:tcBorders>
                                  <w:hideMark/>
                                </w:tcPr>
                                <w:p w14:paraId="666406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2661080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51" w:type="pct"/>
                                  <w:tcBorders>
                                    <w:top w:val="nil"/>
                                    <w:left w:val="nil"/>
                                    <w:bottom w:val="nil"/>
                                    <w:right w:val="nil"/>
                                  </w:tcBorders>
                                  <w:hideMark/>
                                </w:tcPr>
                                <w:p w14:paraId="737D743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2EE152D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2.5% </w:t>
                                  </w:r>
                                </w:p>
                              </w:tc>
                            </w:tr>
                            <w:tr w:rsidR="00A73471" w:rsidRPr="00A73471" w14:paraId="20659A72" w14:textId="77777777" w:rsidTr="00A73471">
                              <w:trPr>
                                <w:trHeight w:val="204"/>
                              </w:trPr>
                              <w:tc>
                                <w:tcPr>
                                  <w:tcW w:w="1704" w:type="pct"/>
                                  <w:tcBorders>
                                    <w:top w:val="nil"/>
                                    <w:left w:val="nil"/>
                                    <w:bottom w:val="nil"/>
                                    <w:right w:val="nil"/>
                                  </w:tcBorders>
                                  <w:noWrap/>
                                  <w:hideMark/>
                                </w:tcPr>
                                <w:p w14:paraId="140ACF76"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Earnings from Cont. Ops Margin %</w:t>
                                  </w:r>
                                </w:p>
                              </w:tc>
                              <w:tc>
                                <w:tcPr>
                                  <w:tcW w:w="549" w:type="pct"/>
                                  <w:tcBorders>
                                    <w:top w:val="nil"/>
                                    <w:left w:val="nil"/>
                                    <w:bottom w:val="nil"/>
                                    <w:right w:val="nil"/>
                                  </w:tcBorders>
                                  <w:hideMark/>
                                </w:tcPr>
                                <w:p w14:paraId="7DC593B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49" w:type="pct"/>
                                  <w:tcBorders>
                                    <w:top w:val="nil"/>
                                    <w:left w:val="nil"/>
                                    <w:bottom w:val="nil"/>
                                    <w:right w:val="nil"/>
                                  </w:tcBorders>
                                  <w:hideMark/>
                                </w:tcPr>
                                <w:p w14:paraId="1FBFE57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1FD3AD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 </w:t>
                                  </w:r>
                                </w:p>
                              </w:tc>
                              <w:tc>
                                <w:tcPr>
                                  <w:tcW w:w="549" w:type="pct"/>
                                  <w:tcBorders>
                                    <w:top w:val="nil"/>
                                    <w:left w:val="nil"/>
                                    <w:bottom w:val="nil"/>
                                    <w:right w:val="nil"/>
                                  </w:tcBorders>
                                  <w:hideMark/>
                                </w:tcPr>
                                <w:p w14:paraId="16AF01D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 </w:t>
                                  </w:r>
                                </w:p>
                              </w:tc>
                              <w:tc>
                                <w:tcPr>
                                  <w:tcW w:w="551" w:type="pct"/>
                                  <w:tcBorders>
                                    <w:top w:val="nil"/>
                                    <w:left w:val="nil"/>
                                    <w:bottom w:val="nil"/>
                                    <w:right w:val="nil"/>
                                  </w:tcBorders>
                                  <w:hideMark/>
                                </w:tcPr>
                                <w:p w14:paraId="52E7216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1.1% </w:t>
                                  </w:r>
                                </w:p>
                              </w:tc>
                              <w:tc>
                                <w:tcPr>
                                  <w:tcW w:w="549" w:type="pct"/>
                                  <w:tcBorders>
                                    <w:top w:val="nil"/>
                                    <w:left w:val="nil"/>
                                    <w:bottom w:val="nil"/>
                                    <w:right w:val="nil"/>
                                  </w:tcBorders>
                                  <w:hideMark/>
                                </w:tcPr>
                                <w:p w14:paraId="07FA178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r>
                            <w:tr w:rsidR="00A73471" w:rsidRPr="00A73471" w14:paraId="7E52F1A0" w14:textId="77777777" w:rsidTr="00A73471">
                              <w:trPr>
                                <w:trHeight w:val="204"/>
                              </w:trPr>
                              <w:tc>
                                <w:tcPr>
                                  <w:tcW w:w="1704" w:type="pct"/>
                                  <w:tcBorders>
                                    <w:top w:val="nil"/>
                                    <w:left w:val="nil"/>
                                    <w:bottom w:val="nil"/>
                                    <w:right w:val="nil"/>
                                  </w:tcBorders>
                                  <w:noWrap/>
                                  <w:hideMark/>
                                </w:tcPr>
                                <w:p w14:paraId="74E2B95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Income Margin %</w:t>
                                  </w:r>
                                </w:p>
                              </w:tc>
                              <w:tc>
                                <w:tcPr>
                                  <w:tcW w:w="549" w:type="pct"/>
                                  <w:tcBorders>
                                    <w:top w:val="nil"/>
                                    <w:left w:val="nil"/>
                                    <w:bottom w:val="nil"/>
                                    <w:right w:val="nil"/>
                                  </w:tcBorders>
                                  <w:hideMark/>
                                </w:tcPr>
                                <w:p w14:paraId="38EC313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 </w:t>
                                  </w:r>
                                </w:p>
                              </w:tc>
                              <w:tc>
                                <w:tcPr>
                                  <w:tcW w:w="549" w:type="pct"/>
                                  <w:tcBorders>
                                    <w:top w:val="nil"/>
                                    <w:left w:val="nil"/>
                                    <w:bottom w:val="nil"/>
                                    <w:right w:val="nil"/>
                                  </w:tcBorders>
                                  <w:hideMark/>
                                </w:tcPr>
                                <w:p w14:paraId="5828EE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c>
                                <w:tcPr>
                                  <w:tcW w:w="549" w:type="pct"/>
                                  <w:tcBorders>
                                    <w:top w:val="nil"/>
                                    <w:left w:val="nil"/>
                                    <w:bottom w:val="nil"/>
                                    <w:right w:val="nil"/>
                                  </w:tcBorders>
                                  <w:hideMark/>
                                </w:tcPr>
                                <w:p w14:paraId="35494DA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 </w:t>
                                  </w:r>
                                </w:p>
                              </w:tc>
                              <w:tc>
                                <w:tcPr>
                                  <w:tcW w:w="549" w:type="pct"/>
                                  <w:tcBorders>
                                    <w:top w:val="nil"/>
                                    <w:left w:val="nil"/>
                                    <w:bottom w:val="nil"/>
                                    <w:right w:val="nil"/>
                                  </w:tcBorders>
                                  <w:hideMark/>
                                </w:tcPr>
                                <w:p w14:paraId="58355D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1.6% </w:t>
                                  </w:r>
                                </w:p>
                              </w:tc>
                              <w:tc>
                                <w:tcPr>
                                  <w:tcW w:w="551" w:type="pct"/>
                                  <w:tcBorders>
                                    <w:top w:val="nil"/>
                                    <w:left w:val="nil"/>
                                    <w:bottom w:val="nil"/>
                                    <w:right w:val="nil"/>
                                  </w:tcBorders>
                                  <w:hideMark/>
                                </w:tcPr>
                                <w:p w14:paraId="12633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 </w:t>
                                  </w:r>
                                </w:p>
                              </w:tc>
                              <w:tc>
                                <w:tcPr>
                                  <w:tcW w:w="549" w:type="pct"/>
                                  <w:tcBorders>
                                    <w:top w:val="nil"/>
                                    <w:left w:val="nil"/>
                                    <w:bottom w:val="nil"/>
                                    <w:right w:val="nil"/>
                                  </w:tcBorders>
                                  <w:hideMark/>
                                </w:tcPr>
                                <w:p w14:paraId="04319CA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0.8% </w:t>
                                  </w:r>
                                </w:p>
                              </w:tc>
                            </w:tr>
                            <w:tr w:rsidR="00A73471" w:rsidRPr="00A73471" w14:paraId="3B57223A" w14:textId="77777777" w:rsidTr="00A73471">
                              <w:trPr>
                                <w:trHeight w:val="204"/>
                              </w:trPr>
                              <w:tc>
                                <w:tcPr>
                                  <w:tcW w:w="1704" w:type="pct"/>
                                  <w:tcBorders>
                                    <w:top w:val="nil"/>
                                    <w:left w:val="nil"/>
                                    <w:bottom w:val="nil"/>
                                    <w:right w:val="nil"/>
                                  </w:tcBorders>
                                  <w:noWrap/>
                                  <w:hideMark/>
                                </w:tcPr>
                                <w:p w14:paraId="4F0C943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Income Avail. for Common Margin %</w:t>
                                  </w:r>
                                </w:p>
                              </w:tc>
                              <w:tc>
                                <w:tcPr>
                                  <w:tcW w:w="549" w:type="pct"/>
                                  <w:tcBorders>
                                    <w:top w:val="nil"/>
                                    <w:left w:val="nil"/>
                                    <w:bottom w:val="nil"/>
                                    <w:right w:val="nil"/>
                                  </w:tcBorders>
                                  <w:hideMark/>
                                </w:tcPr>
                                <w:p w14:paraId="309EDD0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0.0% </w:t>
                                  </w:r>
                                </w:p>
                              </w:tc>
                              <w:tc>
                                <w:tcPr>
                                  <w:tcW w:w="549" w:type="pct"/>
                                  <w:tcBorders>
                                    <w:top w:val="nil"/>
                                    <w:left w:val="nil"/>
                                    <w:bottom w:val="nil"/>
                                    <w:right w:val="nil"/>
                                  </w:tcBorders>
                                  <w:hideMark/>
                                </w:tcPr>
                                <w:p w14:paraId="5991D6E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c>
                                <w:tcPr>
                                  <w:tcW w:w="549" w:type="pct"/>
                                  <w:tcBorders>
                                    <w:top w:val="nil"/>
                                    <w:left w:val="nil"/>
                                    <w:bottom w:val="nil"/>
                                    <w:right w:val="nil"/>
                                  </w:tcBorders>
                                  <w:hideMark/>
                                </w:tcPr>
                                <w:p w14:paraId="4AEDCD0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1FDE99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 </w:t>
                                  </w:r>
                                </w:p>
                              </w:tc>
                              <w:tc>
                                <w:tcPr>
                                  <w:tcW w:w="551" w:type="pct"/>
                                  <w:tcBorders>
                                    <w:top w:val="nil"/>
                                    <w:left w:val="nil"/>
                                    <w:bottom w:val="nil"/>
                                    <w:right w:val="nil"/>
                                  </w:tcBorders>
                                  <w:hideMark/>
                                </w:tcPr>
                                <w:p w14:paraId="39C4B90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1.1% </w:t>
                                  </w:r>
                                </w:p>
                              </w:tc>
                              <w:tc>
                                <w:tcPr>
                                  <w:tcW w:w="549" w:type="pct"/>
                                  <w:tcBorders>
                                    <w:top w:val="nil"/>
                                    <w:left w:val="nil"/>
                                    <w:bottom w:val="nil"/>
                                    <w:right w:val="nil"/>
                                  </w:tcBorders>
                                  <w:hideMark/>
                                </w:tcPr>
                                <w:p w14:paraId="4AFBDCE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0.8% </w:t>
                                  </w:r>
                                </w:p>
                              </w:tc>
                            </w:tr>
                            <w:tr w:rsidR="00A73471" w:rsidRPr="00A73471" w14:paraId="47B0B240" w14:textId="77777777" w:rsidTr="00A73471">
                              <w:trPr>
                                <w:trHeight w:val="204"/>
                              </w:trPr>
                              <w:tc>
                                <w:tcPr>
                                  <w:tcW w:w="1704" w:type="pct"/>
                                  <w:tcBorders>
                                    <w:top w:val="nil"/>
                                    <w:left w:val="nil"/>
                                    <w:bottom w:val="nil"/>
                                    <w:right w:val="nil"/>
                                  </w:tcBorders>
                                  <w:noWrap/>
                                  <w:hideMark/>
                                </w:tcPr>
                                <w:p w14:paraId="18C8D26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Normalized Net Income Margin %</w:t>
                                  </w:r>
                                </w:p>
                              </w:tc>
                              <w:tc>
                                <w:tcPr>
                                  <w:tcW w:w="549" w:type="pct"/>
                                  <w:tcBorders>
                                    <w:top w:val="nil"/>
                                    <w:left w:val="nil"/>
                                    <w:bottom w:val="nil"/>
                                    <w:right w:val="nil"/>
                                  </w:tcBorders>
                                  <w:hideMark/>
                                </w:tcPr>
                                <w:p w14:paraId="6B3C90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0D7721D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 </w:t>
                                  </w:r>
                                </w:p>
                              </w:tc>
                              <w:tc>
                                <w:tcPr>
                                  <w:tcW w:w="549" w:type="pct"/>
                                  <w:tcBorders>
                                    <w:top w:val="nil"/>
                                    <w:left w:val="nil"/>
                                    <w:bottom w:val="nil"/>
                                    <w:right w:val="nil"/>
                                  </w:tcBorders>
                                  <w:hideMark/>
                                </w:tcPr>
                                <w:p w14:paraId="2E595A3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34E6E3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51" w:type="pct"/>
                                  <w:tcBorders>
                                    <w:top w:val="nil"/>
                                    <w:left w:val="nil"/>
                                    <w:bottom w:val="nil"/>
                                    <w:right w:val="nil"/>
                                  </w:tcBorders>
                                  <w:hideMark/>
                                </w:tcPr>
                                <w:p w14:paraId="18B3429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300EE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 </w:t>
                                  </w:r>
                                </w:p>
                              </w:tc>
                            </w:tr>
                            <w:tr w:rsidR="00A73471" w:rsidRPr="00A73471" w14:paraId="496178BA" w14:textId="77777777" w:rsidTr="00A73471">
                              <w:trPr>
                                <w:trHeight w:val="204"/>
                              </w:trPr>
                              <w:tc>
                                <w:tcPr>
                                  <w:tcW w:w="1704" w:type="pct"/>
                                  <w:tcBorders>
                                    <w:top w:val="nil"/>
                                    <w:left w:val="nil"/>
                                    <w:bottom w:val="nil"/>
                                    <w:right w:val="nil"/>
                                  </w:tcBorders>
                                  <w:noWrap/>
                                  <w:hideMark/>
                                </w:tcPr>
                                <w:p w14:paraId="60B320B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Levered Free Cash Flow Margin %</w:t>
                                  </w:r>
                                </w:p>
                              </w:tc>
                              <w:tc>
                                <w:tcPr>
                                  <w:tcW w:w="549" w:type="pct"/>
                                  <w:tcBorders>
                                    <w:top w:val="nil"/>
                                    <w:left w:val="nil"/>
                                    <w:bottom w:val="nil"/>
                                    <w:right w:val="nil"/>
                                  </w:tcBorders>
                                  <w:hideMark/>
                                </w:tcPr>
                                <w:p w14:paraId="52FAA95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753ED2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06273A4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 </w:t>
                                  </w:r>
                                </w:p>
                              </w:tc>
                              <w:tc>
                                <w:tcPr>
                                  <w:tcW w:w="549" w:type="pct"/>
                                  <w:tcBorders>
                                    <w:top w:val="nil"/>
                                    <w:left w:val="nil"/>
                                    <w:bottom w:val="nil"/>
                                    <w:right w:val="nil"/>
                                  </w:tcBorders>
                                  <w:hideMark/>
                                </w:tcPr>
                                <w:p w14:paraId="29F2C63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51" w:type="pct"/>
                                  <w:tcBorders>
                                    <w:top w:val="nil"/>
                                    <w:left w:val="nil"/>
                                    <w:bottom w:val="nil"/>
                                    <w:right w:val="nil"/>
                                  </w:tcBorders>
                                  <w:hideMark/>
                                </w:tcPr>
                                <w:p w14:paraId="61AB672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2.2% </w:t>
                                  </w:r>
                                </w:p>
                              </w:tc>
                              <w:tc>
                                <w:tcPr>
                                  <w:tcW w:w="549" w:type="pct"/>
                                  <w:tcBorders>
                                    <w:top w:val="nil"/>
                                    <w:left w:val="nil"/>
                                    <w:bottom w:val="nil"/>
                                    <w:right w:val="nil"/>
                                  </w:tcBorders>
                                  <w:hideMark/>
                                </w:tcPr>
                                <w:p w14:paraId="07A112F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r>
                            <w:tr w:rsidR="00A73471" w:rsidRPr="00A73471" w14:paraId="3E8BA6F3" w14:textId="77777777" w:rsidTr="00A73471">
                              <w:trPr>
                                <w:trHeight w:val="204"/>
                              </w:trPr>
                              <w:tc>
                                <w:tcPr>
                                  <w:tcW w:w="1704" w:type="pct"/>
                                  <w:tcBorders>
                                    <w:top w:val="nil"/>
                                    <w:left w:val="nil"/>
                                    <w:bottom w:val="nil"/>
                                    <w:right w:val="nil"/>
                                  </w:tcBorders>
                                  <w:noWrap/>
                                  <w:hideMark/>
                                </w:tcPr>
                                <w:p w14:paraId="3B61601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Unlevered Free Cash Flow Margin %</w:t>
                                  </w:r>
                                </w:p>
                              </w:tc>
                              <w:tc>
                                <w:tcPr>
                                  <w:tcW w:w="549" w:type="pct"/>
                                  <w:tcBorders>
                                    <w:top w:val="nil"/>
                                    <w:left w:val="nil"/>
                                    <w:bottom w:val="nil"/>
                                    <w:right w:val="nil"/>
                                  </w:tcBorders>
                                  <w:hideMark/>
                                </w:tcPr>
                                <w:p w14:paraId="21B0617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06980FE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 </w:t>
                                  </w:r>
                                </w:p>
                              </w:tc>
                              <w:tc>
                                <w:tcPr>
                                  <w:tcW w:w="549" w:type="pct"/>
                                  <w:tcBorders>
                                    <w:top w:val="nil"/>
                                    <w:left w:val="nil"/>
                                    <w:bottom w:val="nil"/>
                                    <w:right w:val="nil"/>
                                  </w:tcBorders>
                                  <w:hideMark/>
                                </w:tcPr>
                                <w:p w14:paraId="12A6426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2.2% </w:t>
                                  </w:r>
                                </w:p>
                              </w:tc>
                              <w:tc>
                                <w:tcPr>
                                  <w:tcW w:w="549" w:type="pct"/>
                                  <w:tcBorders>
                                    <w:top w:val="nil"/>
                                    <w:left w:val="nil"/>
                                    <w:bottom w:val="nil"/>
                                    <w:right w:val="nil"/>
                                  </w:tcBorders>
                                  <w:hideMark/>
                                </w:tcPr>
                                <w:p w14:paraId="0F4DE8B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0.1% </w:t>
                                  </w:r>
                                </w:p>
                              </w:tc>
                              <w:tc>
                                <w:tcPr>
                                  <w:tcW w:w="551" w:type="pct"/>
                                  <w:tcBorders>
                                    <w:top w:val="nil"/>
                                    <w:left w:val="nil"/>
                                    <w:bottom w:val="nil"/>
                                    <w:right w:val="nil"/>
                                  </w:tcBorders>
                                  <w:hideMark/>
                                </w:tcPr>
                                <w:p w14:paraId="3AE6A8E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c>
                                <w:tcPr>
                                  <w:tcW w:w="549" w:type="pct"/>
                                  <w:tcBorders>
                                    <w:top w:val="nil"/>
                                    <w:left w:val="nil"/>
                                    <w:bottom w:val="nil"/>
                                    <w:right w:val="nil"/>
                                  </w:tcBorders>
                                  <w:hideMark/>
                                </w:tcPr>
                                <w:p w14:paraId="3DE969C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r>
                            <w:tr w:rsidR="00A73471" w:rsidRPr="00A73471" w14:paraId="6307EF70" w14:textId="77777777" w:rsidTr="00A73471">
                              <w:trPr>
                                <w:trHeight w:val="204"/>
                              </w:trPr>
                              <w:tc>
                                <w:tcPr>
                                  <w:tcW w:w="1704" w:type="pct"/>
                                  <w:tcBorders>
                                    <w:top w:val="nil"/>
                                    <w:left w:val="nil"/>
                                    <w:bottom w:val="nil"/>
                                    <w:right w:val="nil"/>
                                  </w:tcBorders>
                                  <w:noWrap/>
                                  <w:hideMark/>
                                </w:tcPr>
                                <w:p w14:paraId="0E907FD6"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Asset Turnover</w:t>
                                  </w:r>
                                </w:p>
                              </w:tc>
                              <w:tc>
                                <w:tcPr>
                                  <w:tcW w:w="549" w:type="pct"/>
                                  <w:tcBorders>
                                    <w:top w:val="nil"/>
                                    <w:left w:val="nil"/>
                                    <w:bottom w:val="nil"/>
                                    <w:right w:val="nil"/>
                                  </w:tcBorders>
                                  <w:noWrap/>
                                  <w:hideMark/>
                                </w:tcPr>
                                <w:p w14:paraId="5884FA20"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007C7F1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432514B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00986529"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716D8911"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23053B5"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072A8A4" w14:textId="77777777" w:rsidTr="00A73471">
                              <w:trPr>
                                <w:trHeight w:val="204"/>
                              </w:trPr>
                              <w:tc>
                                <w:tcPr>
                                  <w:tcW w:w="1704" w:type="pct"/>
                                  <w:tcBorders>
                                    <w:top w:val="nil"/>
                                    <w:left w:val="nil"/>
                                    <w:bottom w:val="nil"/>
                                    <w:right w:val="nil"/>
                                  </w:tcBorders>
                                  <w:noWrap/>
                                  <w:hideMark/>
                                </w:tcPr>
                                <w:p w14:paraId="42798DBB"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Asset Turnover</w:t>
                                  </w:r>
                                </w:p>
                              </w:tc>
                              <w:tc>
                                <w:tcPr>
                                  <w:tcW w:w="549" w:type="pct"/>
                                  <w:tcBorders>
                                    <w:top w:val="nil"/>
                                    <w:left w:val="nil"/>
                                    <w:bottom w:val="nil"/>
                                    <w:right w:val="nil"/>
                                  </w:tcBorders>
                                  <w:hideMark/>
                                </w:tcPr>
                                <w:p w14:paraId="4C3F03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2887198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61EC30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3D164F1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1.6x</w:t>
                                  </w:r>
                                </w:p>
                              </w:tc>
                              <w:tc>
                                <w:tcPr>
                                  <w:tcW w:w="551" w:type="pct"/>
                                  <w:tcBorders>
                                    <w:top w:val="nil"/>
                                    <w:left w:val="nil"/>
                                    <w:bottom w:val="nil"/>
                                    <w:right w:val="nil"/>
                                  </w:tcBorders>
                                  <w:hideMark/>
                                </w:tcPr>
                                <w:p w14:paraId="1BE551C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477EA45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r>
                            <w:tr w:rsidR="00A73471" w:rsidRPr="00A73471" w14:paraId="2E85911D" w14:textId="77777777" w:rsidTr="00A73471">
                              <w:trPr>
                                <w:trHeight w:val="204"/>
                              </w:trPr>
                              <w:tc>
                                <w:tcPr>
                                  <w:tcW w:w="1704" w:type="pct"/>
                                  <w:tcBorders>
                                    <w:top w:val="nil"/>
                                    <w:left w:val="nil"/>
                                    <w:bottom w:val="nil"/>
                                    <w:right w:val="nil"/>
                                  </w:tcBorders>
                                  <w:noWrap/>
                                  <w:hideMark/>
                                </w:tcPr>
                                <w:p w14:paraId="29BC870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Fixed Asset Turnover</w:t>
                                  </w:r>
                                </w:p>
                              </w:tc>
                              <w:tc>
                                <w:tcPr>
                                  <w:tcW w:w="549" w:type="pct"/>
                                  <w:tcBorders>
                                    <w:top w:val="nil"/>
                                    <w:left w:val="nil"/>
                                    <w:bottom w:val="nil"/>
                                    <w:right w:val="nil"/>
                                  </w:tcBorders>
                                  <w:hideMark/>
                                </w:tcPr>
                                <w:p w14:paraId="4094DD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49" w:type="pct"/>
                                  <w:tcBorders>
                                    <w:top w:val="nil"/>
                                    <w:left w:val="nil"/>
                                    <w:bottom w:val="nil"/>
                                    <w:right w:val="nil"/>
                                  </w:tcBorders>
                                  <w:hideMark/>
                                </w:tcPr>
                                <w:p w14:paraId="29F4F13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4.6x</w:t>
                                  </w:r>
                                </w:p>
                              </w:tc>
                              <w:tc>
                                <w:tcPr>
                                  <w:tcW w:w="549" w:type="pct"/>
                                  <w:tcBorders>
                                    <w:top w:val="nil"/>
                                    <w:left w:val="nil"/>
                                    <w:bottom w:val="nil"/>
                                    <w:right w:val="nil"/>
                                  </w:tcBorders>
                                  <w:hideMark/>
                                </w:tcPr>
                                <w:p w14:paraId="34D5BE5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4.8x</w:t>
                                  </w:r>
                                </w:p>
                              </w:tc>
                              <w:tc>
                                <w:tcPr>
                                  <w:tcW w:w="549" w:type="pct"/>
                                  <w:tcBorders>
                                    <w:top w:val="nil"/>
                                    <w:left w:val="nil"/>
                                    <w:bottom w:val="nil"/>
                                    <w:right w:val="nil"/>
                                  </w:tcBorders>
                                  <w:hideMark/>
                                </w:tcPr>
                                <w:p w14:paraId="06F3EBC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5.2x</w:t>
                                  </w:r>
                                </w:p>
                              </w:tc>
                              <w:tc>
                                <w:tcPr>
                                  <w:tcW w:w="551" w:type="pct"/>
                                  <w:tcBorders>
                                    <w:top w:val="nil"/>
                                    <w:left w:val="nil"/>
                                    <w:bottom w:val="nil"/>
                                    <w:right w:val="nil"/>
                                  </w:tcBorders>
                                  <w:hideMark/>
                                </w:tcPr>
                                <w:p w14:paraId="56A8A81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5.0x</w:t>
                                  </w:r>
                                </w:p>
                              </w:tc>
                              <w:tc>
                                <w:tcPr>
                                  <w:tcW w:w="549" w:type="pct"/>
                                  <w:tcBorders>
                                    <w:top w:val="nil"/>
                                    <w:left w:val="nil"/>
                                    <w:bottom w:val="nil"/>
                                    <w:right w:val="nil"/>
                                  </w:tcBorders>
                                  <w:hideMark/>
                                </w:tcPr>
                                <w:p w14:paraId="1F44D3F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r>
                            <w:tr w:rsidR="00A73471" w:rsidRPr="00A73471" w14:paraId="58907FA9" w14:textId="77777777" w:rsidTr="00A73471">
                              <w:trPr>
                                <w:trHeight w:val="204"/>
                              </w:trPr>
                              <w:tc>
                                <w:tcPr>
                                  <w:tcW w:w="1704" w:type="pct"/>
                                  <w:tcBorders>
                                    <w:top w:val="nil"/>
                                    <w:left w:val="nil"/>
                                    <w:bottom w:val="nil"/>
                                    <w:right w:val="nil"/>
                                  </w:tcBorders>
                                  <w:noWrap/>
                                  <w:hideMark/>
                                </w:tcPr>
                                <w:p w14:paraId="551CD73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Accounts Receivable Turnover</w:t>
                                  </w:r>
                                </w:p>
                              </w:tc>
                              <w:tc>
                                <w:tcPr>
                                  <w:tcW w:w="549" w:type="pct"/>
                                  <w:tcBorders>
                                    <w:top w:val="nil"/>
                                    <w:left w:val="nil"/>
                                    <w:bottom w:val="nil"/>
                                    <w:right w:val="nil"/>
                                  </w:tcBorders>
                                  <w:hideMark/>
                                </w:tcPr>
                                <w:p w14:paraId="4E78E5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11.0x</w:t>
                                  </w:r>
                                </w:p>
                              </w:tc>
                              <w:tc>
                                <w:tcPr>
                                  <w:tcW w:w="549" w:type="pct"/>
                                  <w:tcBorders>
                                    <w:top w:val="nil"/>
                                    <w:left w:val="nil"/>
                                    <w:bottom w:val="nil"/>
                                    <w:right w:val="nil"/>
                                  </w:tcBorders>
                                  <w:hideMark/>
                                </w:tcPr>
                                <w:p w14:paraId="0F0EB92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11.1x</w:t>
                                  </w:r>
                                </w:p>
                              </w:tc>
                              <w:tc>
                                <w:tcPr>
                                  <w:tcW w:w="549" w:type="pct"/>
                                  <w:tcBorders>
                                    <w:top w:val="nil"/>
                                    <w:left w:val="nil"/>
                                    <w:bottom w:val="nil"/>
                                    <w:right w:val="nil"/>
                                  </w:tcBorders>
                                  <w:hideMark/>
                                </w:tcPr>
                                <w:p w14:paraId="42E272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11.7x</w:t>
                                  </w:r>
                                </w:p>
                              </w:tc>
                              <w:tc>
                                <w:tcPr>
                                  <w:tcW w:w="549" w:type="pct"/>
                                  <w:tcBorders>
                                    <w:top w:val="nil"/>
                                    <w:left w:val="nil"/>
                                    <w:bottom w:val="nil"/>
                                    <w:right w:val="nil"/>
                                  </w:tcBorders>
                                  <w:hideMark/>
                                </w:tcPr>
                                <w:p w14:paraId="044A98D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11.9x</w:t>
                                  </w:r>
                                </w:p>
                              </w:tc>
                              <w:tc>
                                <w:tcPr>
                                  <w:tcW w:w="551" w:type="pct"/>
                                  <w:tcBorders>
                                    <w:top w:val="nil"/>
                                    <w:left w:val="nil"/>
                                    <w:bottom w:val="nil"/>
                                    <w:right w:val="nil"/>
                                  </w:tcBorders>
                                  <w:hideMark/>
                                </w:tcPr>
                                <w:p w14:paraId="3CD6C4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c>
                                <w:tcPr>
                                  <w:tcW w:w="549" w:type="pct"/>
                                  <w:tcBorders>
                                    <w:top w:val="nil"/>
                                    <w:left w:val="nil"/>
                                    <w:bottom w:val="nil"/>
                                    <w:right w:val="nil"/>
                                  </w:tcBorders>
                                  <w:hideMark/>
                                </w:tcPr>
                                <w:p w14:paraId="162D07C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10.6x</w:t>
                                  </w:r>
                                </w:p>
                              </w:tc>
                            </w:tr>
                            <w:tr w:rsidR="00A73471" w:rsidRPr="00A73471" w14:paraId="37590D1B" w14:textId="77777777" w:rsidTr="00A73471">
                              <w:trPr>
                                <w:trHeight w:val="204"/>
                              </w:trPr>
                              <w:tc>
                                <w:tcPr>
                                  <w:tcW w:w="1704" w:type="pct"/>
                                  <w:tcBorders>
                                    <w:top w:val="nil"/>
                                    <w:left w:val="nil"/>
                                    <w:bottom w:val="nil"/>
                                    <w:right w:val="nil"/>
                                  </w:tcBorders>
                                  <w:noWrap/>
                                  <w:hideMark/>
                                </w:tcPr>
                                <w:p w14:paraId="3A7E67D6"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Inventory Turnover</w:t>
                                  </w:r>
                                </w:p>
                              </w:tc>
                              <w:tc>
                                <w:tcPr>
                                  <w:tcW w:w="549" w:type="pct"/>
                                  <w:tcBorders>
                                    <w:top w:val="nil"/>
                                    <w:left w:val="nil"/>
                                    <w:bottom w:val="nil"/>
                                    <w:right w:val="nil"/>
                                  </w:tcBorders>
                                  <w:hideMark/>
                                </w:tcPr>
                                <w:p w14:paraId="1E6256B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9.8x</w:t>
                                  </w:r>
                                </w:p>
                              </w:tc>
                              <w:tc>
                                <w:tcPr>
                                  <w:tcW w:w="549" w:type="pct"/>
                                  <w:tcBorders>
                                    <w:top w:val="nil"/>
                                    <w:left w:val="nil"/>
                                    <w:bottom w:val="nil"/>
                                    <w:right w:val="nil"/>
                                  </w:tcBorders>
                                  <w:hideMark/>
                                </w:tcPr>
                                <w:p w14:paraId="3DA6238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29AE5C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2124F4E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10.6x</w:t>
                                  </w:r>
                                </w:p>
                              </w:tc>
                              <w:tc>
                                <w:tcPr>
                                  <w:tcW w:w="551" w:type="pct"/>
                                  <w:tcBorders>
                                    <w:top w:val="nil"/>
                                    <w:left w:val="nil"/>
                                    <w:bottom w:val="nil"/>
                                    <w:right w:val="nil"/>
                                  </w:tcBorders>
                                  <w:hideMark/>
                                </w:tcPr>
                                <w:p w14:paraId="21D4A01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750E0EC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r>
                            <w:tr w:rsidR="00A73471" w:rsidRPr="00A73471" w14:paraId="0AD8A766" w14:textId="77777777" w:rsidTr="00A73471">
                              <w:trPr>
                                <w:trHeight w:val="204"/>
                              </w:trPr>
                              <w:tc>
                                <w:tcPr>
                                  <w:tcW w:w="1704" w:type="pct"/>
                                  <w:tcBorders>
                                    <w:top w:val="nil"/>
                                    <w:left w:val="nil"/>
                                    <w:bottom w:val="nil"/>
                                    <w:right w:val="nil"/>
                                  </w:tcBorders>
                                  <w:noWrap/>
                                  <w:hideMark/>
                                </w:tcPr>
                                <w:p w14:paraId="6E589C8C"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Short Term Liquidity</w:t>
                                  </w:r>
                                </w:p>
                              </w:tc>
                              <w:tc>
                                <w:tcPr>
                                  <w:tcW w:w="549" w:type="pct"/>
                                  <w:tcBorders>
                                    <w:top w:val="nil"/>
                                    <w:left w:val="nil"/>
                                    <w:bottom w:val="nil"/>
                                    <w:right w:val="nil"/>
                                  </w:tcBorders>
                                  <w:noWrap/>
                                  <w:hideMark/>
                                </w:tcPr>
                                <w:p w14:paraId="587A9B99"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72B0166B"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6858FEE7"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3937E3D2"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302BCB74"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B28E4A7"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7052E38F" w14:textId="77777777" w:rsidTr="00A73471">
                              <w:trPr>
                                <w:trHeight w:val="204"/>
                              </w:trPr>
                              <w:tc>
                                <w:tcPr>
                                  <w:tcW w:w="1704" w:type="pct"/>
                                  <w:tcBorders>
                                    <w:top w:val="nil"/>
                                    <w:left w:val="nil"/>
                                    <w:bottom w:val="nil"/>
                                    <w:right w:val="nil"/>
                                  </w:tcBorders>
                                  <w:noWrap/>
                                  <w:hideMark/>
                                </w:tcPr>
                                <w:p w14:paraId="349AA78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Current Ratio</w:t>
                                  </w:r>
                                </w:p>
                              </w:tc>
                              <w:tc>
                                <w:tcPr>
                                  <w:tcW w:w="549" w:type="pct"/>
                                  <w:tcBorders>
                                    <w:top w:val="nil"/>
                                    <w:left w:val="nil"/>
                                    <w:bottom w:val="nil"/>
                                    <w:right w:val="nil"/>
                                  </w:tcBorders>
                                  <w:hideMark/>
                                </w:tcPr>
                                <w:p w14:paraId="2C19DE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77697EA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252CC1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40FECC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c>
                                <w:tcPr>
                                  <w:tcW w:w="551" w:type="pct"/>
                                  <w:tcBorders>
                                    <w:top w:val="nil"/>
                                    <w:left w:val="nil"/>
                                    <w:bottom w:val="nil"/>
                                    <w:right w:val="nil"/>
                                  </w:tcBorders>
                                  <w:hideMark/>
                                </w:tcPr>
                                <w:p w14:paraId="0A00EDE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c>
                                <w:tcPr>
                                  <w:tcW w:w="549" w:type="pct"/>
                                  <w:tcBorders>
                                    <w:top w:val="nil"/>
                                    <w:left w:val="nil"/>
                                    <w:bottom w:val="nil"/>
                                    <w:right w:val="nil"/>
                                  </w:tcBorders>
                                  <w:hideMark/>
                                </w:tcPr>
                                <w:p w14:paraId="60B3E48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r>
                            <w:tr w:rsidR="00A73471" w:rsidRPr="00A73471" w14:paraId="17DD3F59" w14:textId="77777777" w:rsidTr="00A73471">
                              <w:trPr>
                                <w:trHeight w:val="204"/>
                              </w:trPr>
                              <w:tc>
                                <w:tcPr>
                                  <w:tcW w:w="1704" w:type="pct"/>
                                  <w:tcBorders>
                                    <w:top w:val="nil"/>
                                    <w:left w:val="nil"/>
                                    <w:bottom w:val="nil"/>
                                    <w:right w:val="nil"/>
                                  </w:tcBorders>
                                  <w:noWrap/>
                                  <w:hideMark/>
                                </w:tcPr>
                                <w:p w14:paraId="36F0E0F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Quick Ratio</w:t>
                                  </w:r>
                                </w:p>
                              </w:tc>
                              <w:tc>
                                <w:tcPr>
                                  <w:tcW w:w="549" w:type="pct"/>
                                  <w:tcBorders>
                                    <w:top w:val="nil"/>
                                    <w:left w:val="nil"/>
                                    <w:bottom w:val="nil"/>
                                    <w:right w:val="nil"/>
                                  </w:tcBorders>
                                  <w:hideMark/>
                                </w:tcPr>
                                <w:p w14:paraId="51F2E22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6DDAF97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04A20BE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57AF48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51" w:type="pct"/>
                                  <w:tcBorders>
                                    <w:top w:val="nil"/>
                                    <w:left w:val="nil"/>
                                    <w:bottom w:val="nil"/>
                                    <w:right w:val="nil"/>
                                  </w:tcBorders>
                                  <w:hideMark/>
                                </w:tcPr>
                                <w:p w14:paraId="7A6FD2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0.6x</w:t>
                                  </w:r>
                                </w:p>
                              </w:tc>
                              <w:tc>
                                <w:tcPr>
                                  <w:tcW w:w="549" w:type="pct"/>
                                  <w:tcBorders>
                                    <w:top w:val="nil"/>
                                    <w:left w:val="nil"/>
                                    <w:bottom w:val="nil"/>
                                    <w:right w:val="nil"/>
                                  </w:tcBorders>
                                  <w:hideMark/>
                                </w:tcPr>
                                <w:p w14:paraId="2EEEBD3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0.6x</w:t>
                                  </w:r>
                                </w:p>
                              </w:tc>
                            </w:tr>
                            <w:tr w:rsidR="00A73471" w:rsidRPr="00A73471" w14:paraId="0F27F5B8" w14:textId="77777777" w:rsidTr="00A73471">
                              <w:trPr>
                                <w:trHeight w:val="204"/>
                              </w:trPr>
                              <w:tc>
                                <w:tcPr>
                                  <w:tcW w:w="1704" w:type="pct"/>
                                  <w:tcBorders>
                                    <w:top w:val="nil"/>
                                    <w:left w:val="nil"/>
                                    <w:bottom w:val="nil"/>
                                    <w:right w:val="nil"/>
                                  </w:tcBorders>
                                  <w:noWrap/>
                                  <w:hideMark/>
                                </w:tcPr>
                                <w:p w14:paraId="1DD3E97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Cash from Ops. to Curr. </w:t>
                                  </w:r>
                                  <w:r w:rsidRPr="00A73471">
                                    <w:rPr>
                                      <w:rFonts w:ascii="Cambria" w:eastAsia="Times New Roman" w:hAnsi="Cambria" w:cs="Arial"/>
                                      <w:color w:val="000000"/>
                                      <w:kern w:val="0"/>
                                      <w:sz w:val="14"/>
                                      <w:szCs w:val="14"/>
                                      <w:lang w:eastAsia="en-IN"/>
                                      <w14:ligatures w14:val="none"/>
                                    </w:rPr>
                                    <w:t>Liab.</w:t>
                                  </w:r>
                                </w:p>
                              </w:tc>
                              <w:tc>
                                <w:tcPr>
                                  <w:tcW w:w="549" w:type="pct"/>
                                  <w:tcBorders>
                                    <w:top w:val="nil"/>
                                    <w:left w:val="nil"/>
                                    <w:bottom w:val="nil"/>
                                    <w:right w:val="nil"/>
                                  </w:tcBorders>
                                  <w:hideMark/>
                                </w:tcPr>
                                <w:p w14:paraId="65AF38B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0.1x</w:t>
                                  </w:r>
                                </w:p>
                              </w:tc>
                              <w:tc>
                                <w:tcPr>
                                  <w:tcW w:w="549" w:type="pct"/>
                                  <w:tcBorders>
                                    <w:top w:val="nil"/>
                                    <w:left w:val="nil"/>
                                    <w:bottom w:val="nil"/>
                                    <w:right w:val="nil"/>
                                  </w:tcBorders>
                                  <w:hideMark/>
                                </w:tcPr>
                                <w:p w14:paraId="0E1EB15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4A857A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7DBA11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51" w:type="pct"/>
                                  <w:tcBorders>
                                    <w:top w:val="nil"/>
                                    <w:left w:val="nil"/>
                                    <w:bottom w:val="nil"/>
                                    <w:right w:val="nil"/>
                                  </w:tcBorders>
                                  <w:hideMark/>
                                </w:tcPr>
                                <w:p w14:paraId="662E71D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1ED291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r>
                            <w:tr w:rsidR="00A73471" w:rsidRPr="00A73471" w14:paraId="38A6EFF6" w14:textId="77777777" w:rsidTr="00A73471">
                              <w:trPr>
                                <w:trHeight w:val="204"/>
                              </w:trPr>
                              <w:tc>
                                <w:tcPr>
                                  <w:tcW w:w="1704" w:type="pct"/>
                                  <w:tcBorders>
                                    <w:top w:val="nil"/>
                                    <w:left w:val="nil"/>
                                    <w:bottom w:val="nil"/>
                                    <w:right w:val="nil"/>
                                  </w:tcBorders>
                                  <w:noWrap/>
                                  <w:hideMark/>
                                </w:tcPr>
                                <w:p w14:paraId="0B0A5F9A"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Sales Out.</w:t>
                                  </w:r>
                                </w:p>
                              </w:tc>
                              <w:tc>
                                <w:tcPr>
                                  <w:tcW w:w="549" w:type="pct"/>
                                  <w:tcBorders>
                                    <w:top w:val="nil"/>
                                    <w:left w:val="nil"/>
                                    <w:bottom w:val="nil"/>
                                    <w:right w:val="nil"/>
                                  </w:tcBorders>
                                  <w:hideMark/>
                                </w:tcPr>
                                <w:p w14:paraId="28023C9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33.0 </w:t>
                                  </w:r>
                                </w:p>
                              </w:tc>
                              <w:tc>
                                <w:tcPr>
                                  <w:tcW w:w="549" w:type="pct"/>
                                  <w:tcBorders>
                                    <w:top w:val="nil"/>
                                    <w:left w:val="nil"/>
                                    <w:bottom w:val="nil"/>
                                    <w:right w:val="nil"/>
                                  </w:tcBorders>
                                  <w:hideMark/>
                                </w:tcPr>
                                <w:p w14:paraId="78DA1AD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32.9 </w:t>
                                  </w:r>
                                </w:p>
                              </w:tc>
                              <w:tc>
                                <w:tcPr>
                                  <w:tcW w:w="549" w:type="pct"/>
                                  <w:tcBorders>
                                    <w:top w:val="nil"/>
                                    <w:left w:val="nil"/>
                                    <w:bottom w:val="nil"/>
                                    <w:right w:val="nil"/>
                                  </w:tcBorders>
                                  <w:hideMark/>
                                </w:tcPr>
                                <w:p w14:paraId="624431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31.3 </w:t>
                                  </w:r>
                                </w:p>
                              </w:tc>
                              <w:tc>
                                <w:tcPr>
                                  <w:tcW w:w="549" w:type="pct"/>
                                  <w:tcBorders>
                                    <w:top w:val="nil"/>
                                    <w:left w:val="nil"/>
                                    <w:bottom w:val="nil"/>
                                    <w:right w:val="nil"/>
                                  </w:tcBorders>
                                  <w:hideMark/>
                                </w:tcPr>
                                <w:p w14:paraId="6D3B1A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30.8 </w:t>
                                  </w:r>
                                </w:p>
                              </w:tc>
                              <w:tc>
                                <w:tcPr>
                                  <w:tcW w:w="551" w:type="pct"/>
                                  <w:tcBorders>
                                    <w:top w:val="nil"/>
                                    <w:left w:val="nil"/>
                                    <w:bottom w:val="nil"/>
                                    <w:right w:val="nil"/>
                                  </w:tcBorders>
                                  <w:hideMark/>
                                </w:tcPr>
                                <w:p w14:paraId="0F68E19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34.3 </w:t>
                                  </w:r>
                                </w:p>
                              </w:tc>
                              <w:tc>
                                <w:tcPr>
                                  <w:tcW w:w="549" w:type="pct"/>
                                  <w:tcBorders>
                                    <w:top w:val="nil"/>
                                    <w:left w:val="nil"/>
                                    <w:bottom w:val="nil"/>
                                    <w:right w:val="nil"/>
                                  </w:tcBorders>
                                  <w:hideMark/>
                                </w:tcPr>
                                <w:p w14:paraId="45A3D17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34.4 </w:t>
                                  </w:r>
                                </w:p>
                              </w:tc>
                            </w:tr>
                            <w:tr w:rsidR="00A73471" w:rsidRPr="00A73471" w14:paraId="51DB3635" w14:textId="77777777" w:rsidTr="00A73471">
                              <w:trPr>
                                <w:trHeight w:val="204"/>
                              </w:trPr>
                              <w:tc>
                                <w:tcPr>
                                  <w:tcW w:w="1704" w:type="pct"/>
                                  <w:tcBorders>
                                    <w:top w:val="nil"/>
                                    <w:left w:val="nil"/>
                                    <w:bottom w:val="nil"/>
                                    <w:right w:val="nil"/>
                                  </w:tcBorders>
                                  <w:noWrap/>
                                  <w:hideMark/>
                                </w:tcPr>
                                <w:p w14:paraId="7750794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Inventory Out.</w:t>
                                  </w:r>
                                </w:p>
                              </w:tc>
                              <w:tc>
                                <w:tcPr>
                                  <w:tcW w:w="549" w:type="pct"/>
                                  <w:tcBorders>
                                    <w:top w:val="nil"/>
                                    <w:left w:val="nil"/>
                                    <w:bottom w:val="nil"/>
                                    <w:right w:val="nil"/>
                                  </w:tcBorders>
                                  <w:hideMark/>
                                </w:tcPr>
                                <w:p w14:paraId="654942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37.3 </w:t>
                                  </w:r>
                                </w:p>
                              </w:tc>
                              <w:tc>
                                <w:tcPr>
                                  <w:tcW w:w="549" w:type="pct"/>
                                  <w:tcBorders>
                                    <w:top w:val="nil"/>
                                    <w:left w:val="nil"/>
                                    <w:bottom w:val="nil"/>
                                    <w:right w:val="nil"/>
                                  </w:tcBorders>
                                  <w:hideMark/>
                                </w:tcPr>
                                <w:p w14:paraId="467BB6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35.7 </w:t>
                                  </w:r>
                                </w:p>
                              </w:tc>
                              <w:tc>
                                <w:tcPr>
                                  <w:tcW w:w="549" w:type="pct"/>
                                  <w:tcBorders>
                                    <w:top w:val="nil"/>
                                    <w:left w:val="nil"/>
                                    <w:bottom w:val="nil"/>
                                    <w:right w:val="nil"/>
                                  </w:tcBorders>
                                  <w:hideMark/>
                                </w:tcPr>
                                <w:p w14:paraId="130988D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35.5 </w:t>
                                  </w:r>
                                </w:p>
                              </w:tc>
                              <w:tc>
                                <w:tcPr>
                                  <w:tcW w:w="549" w:type="pct"/>
                                  <w:tcBorders>
                                    <w:top w:val="nil"/>
                                    <w:left w:val="nil"/>
                                    <w:bottom w:val="nil"/>
                                    <w:right w:val="nil"/>
                                  </w:tcBorders>
                                  <w:hideMark/>
                                </w:tcPr>
                                <w:p w14:paraId="6FD2559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34.5 </w:t>
                                  </w:r>
                                </w:p>
                              </w:tc>
                              <w:tc>
                                <w:tcPr>
                                  <w:tcW w:w="551" w:type="pct"/>
                                  <w:tcBorders>
                                    <w:top w:val="nil"/>
                                    <w:left w:val="nil"/>
                                    <w:bottom w:val="nil"/>
                                    <w:right w:val="nil"/>
                                  </w:tcBorders>
                                  <w:hideMark/>
                                </w:tcPr>
                                <w:p w14:paraId="7329C33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35.5 </w:t>
                                  </w:r>
                                </w:p>
                              </w:tc>
                              <w:tc>
                                <w:tcPr>
                                  <w:tcW w:w="549" w:type="pct"/>
                                  <w:tcBorders>
                                    <w:top w:val="nil"/>
                                    <w:left w:val="nil"/>
                                    <w:bottom w:val="nil"/>
                                    <w:right w:val="nil"/>
                                  </w:tcBorders>
                                  <w:hideMark/>
                                </w:tcPr>
                                <w:p w14:paraId="2432F48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34.1 </w:t>
                                  </w:r>
                                </w:p>
                              </w:tc>
                            </w:tr>
                            <w:tr w:rsidR="00A73471" w:rsidRPr="00A73471" w14:paraId="557A0EED" w14:textId="77777777" w:rsidTr="00A73471">
                              <w:trPr>
                                <w:trHeight w:val="204"/>
                              </w:trPr>
                              <w:tc>
                                <w:tcPr>
                                  <w:tcW w:w="1704" w:type="pct"/>
                                  <w:tcBorders>
                                    <w:top w:val="nil"/>
                                    <w:left w:val="nil"/>
                                    <w:bottom w:val="nil"/>
                                    <w:right w:val="nil"/>
                                  </w:tcBorders>
                                  <w:noWrap/>
                                  <w:hideMark/>
                                </w:tcPr>
                                <w:p w14:paraId="61BB695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Payable Out.</w:t>
                                  </w:r>
                                </w:p>
                              </w:tc>
                              <w:tc>
                                <w:tcPr>
                                  <w:tcW w:w="549" w:type="pct"/>
                                  <w:tcBorders>
                                    <w:top w:val="nil"/>
                                    <w:left w:val="nil"/>
                                    <w:bottom w:val="nil"/>
                                    <w:right w:val="nil"/>
                                  </w:tcBorders>
                                  <w:hideMark/>
                                </w:tcPr>
                                <w:p w14:paraId="6DC42F0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74.0 </w:t>
                                  </w:r>
                                </w:p>
                              </w:tc>
                              <w:tc>
                                <w:tcPr>
                                  <w:tcW w:w="549" w:type="pct"/>
                                  <w:tcBorders>
                                    <w:top w:val="nil"/>
                                    <w:left w:val="nil"/>
                                    <w:bottom w:val="nil"/>
                                    <w:right w:val="nil"/>
                                  </w:tcBorders>
                                  <w:hideMark/>
                                </w:tcPr>
                                <w:p w14:paraId="1A4C066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71.1 </w:t>
                                  </w:r>
                                </w:p>
                              </w:tc>
                              <w:tc>
                                <w:tcPr>
                                  <w:tcW w:w="549" w:type="pct"/>
                                  <w:tcBorders>
                                    <w:top w:val="nil"/>
                                    <w:left w:val="nil"/>
                                    <w:bottom w:val="nil"/>
                                    <w:right w:val="nil"/>
                                  </w:tcBorders>
                                  <w:hideMark/>
                                </w:tcPr>
                                <w:p w14:paraId="719DF9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67.4 </w:t>
                                  </w:r>
                                </w:p>
                              </w:tc>
                              <w:tc>
                                <w:tcPr>
                                  <w:tcW w:w="549" w:type="pct"/>
                                  <w:tcBorders>
                                    <w:top w:val="nil"/>
                                    <w:left w:val="nil"/>
                                    <w:bottom w:val="nil"/>
                                    <w:right w:val="nil"/>
                                  </w:tcBorders>
                                  <w:hideMark/>
                                </w:tcPr>
                                <w:p w14:paraId="5480496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61.1 </w:t>
                                  </w:r>
                                </w:p>
                              </w:tc>
                              <w:tc>
                                <w:tcPr>
                                  <w:tcW w:w="551" w:type="pct"/>
                                  <w:tcBorders>
                                    <w:top w:val="nil"/>
                                    <w:left w:val="nil"/>
                                    <w:bottom w:val="nil"/>
                                    <w:right w:val="nil"/>
                                  </w:tcBorders>
                                  <w:hideMark/>
                                </w:tcPr>
                                <w:p w14:paraId="588CA91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64.7 </w:t>
                                  </w:r>
                                </w:p>
                              </w:tc>
                              <w:tc>
                                <w:tcPr>
                                  <w:tcW w:w="549" w:type="pct"/>
                                  <w:tcBorders>
                                    <w:top w:val="nil"/>
                                    <w:left w:val="nil"/>
                                    <w:bottom w:val="nil"/>
                                    <w:right w:val="nil"/>
                                  </w:tcBorders>
                                  <w:hideMark/>
                                </w:tcPr>
                                <w:p w14:paraId="273FCBC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65.1 </w:t>
                                  </w:r>
                                </w:p>
                              </w:tc>
                            </w:tr>
                            <w:tr w:rsidR="00A73471" w:rsidRPr="00A73471" w14:paraId="0CE43348" w14:textId="77777777" w:rsidTr="00A73471">
                              <w:trPr>
                                <w:trHeight w:val="204"/>
                              </w:trPr>
                              <w:tc>
                                <w:tcPr>
                                  <w:tcW w:w="1704" w:type="pct"/>
                                  <w:tcBorders>
                                    <w:top w:val="nil"/>
                                    <w:left w:val="nil"/>
                                    <w:bottom w:val="nil"/>
                                    <w:right w:val="nil"/>
                                  </w:tcBorders>
                                  <w:noWrap/>
                                  <w:hideMark/>
                                </w:tcPr>
                                <w:p w14:paraId="469B6E5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Cash Conversion Cycle</w:t>
                                  </w:r>
                                </w:p>
                              </w:tc>
                              <w:tc>
                                <w:tcPr>
                                  <w:tcW w:w="549" w:type="pct"/>
                                  <w:tcBorders>
                                    <w:top w:val="nil"/>
                                    <w:left w:val="nil"/>
                                    <w:bottom w:val="nil"/>
                                    <w:right w:val="nil"/>
                                  </w:tcBorders>
                                  <w:hideMark/>
                                </w:tcPr>
                                <w:p w14:paraId="53E3F98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  </w:t>
                                  </w:r>
                                </w:p>
                              </w:tc>
                              <w:tc>
                                <w:tcPr>
                                  <w:tcW w:w="549" w:type="pct"/>
                                  <w:tcBorders>
                                    <w:top w:val="nil"/>
                                    <w:left w:val="nil"/>
                                    <w:bottom w:val="nil"/>
                                    <w:right w:val="nil"/>
                                  </w:tcBorders>
                                  <w:hideMark/>
                                </w:tcPr>
                                <w:p w14:paraId="6BE9BE8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013E80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(0.6)  </w:t>
                                  </w:r>
                                </w:p>
                              </w:tc>
                              <w:tc>
                                <w:tcPr>
                                  <w:tcW w:w="549" w:type="pct"/>
                                  <w:tcBorders>
                                    <w:top w:val="nil"/>
                                    <w:left w:val="nil"/>
                                    <w:bottom w:val="nil"/>
                                    <w:right w:val="nil"/>
                                  </w:tcBorders>
                                  <w:hideMark/>
                                </w:tcPr>
                                <w:p w14:paraId="55C46D0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 </w:t>
                                  </w:r>
                                </w:p>
                              </w:tc>
                              <w:tc>
                                <w:tcPr>
                                  <w:tcW w:w="551" w:type="pct"/>
                                  <w:tcBorders>
                                    <w:top w:val="nil"/>
                                    <w:left w:val="nil"/>
                                    <w:bottom w:val="nil"/>
                                    <w:right w:val="nil"/>
                                  </w:tcBorders>
                                  <w:hideMark/>
                                </w:tcPr>
                                <w:p w14:paraId="6B97D0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5.1 </w:t>
                                  </w:r>
                                </w:p>
                              </w:tc>
                              <w:tc>
                                <w:tcPr>
                                  <w:tcW w:w="549" w:type="pct"/>
                                  <w:tcBorders>
                                    <w:top w:val="nil"/>
                                    <w:left w:val="nil"/>
                                    <w:bottom w:val="nil"/>
                                    <w:right w:val="nil"/>
                                  </w:tcBorders>
                                  <w:hideMark/>
                                </w:tcPr>
                                <w:p w14:paraId="3A16847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 </w:t>
                                  </w:r>
                                </w:p>
                              </w:tc>
                            </w:tr>
                            <w:tr w:rsidR="00A73471" w:rsidRPr="00A73471" w14:paraId="55433862" w14:textId="77777777" w:rsidTr="00A73471">
                              <w:trPr>
                                <w:trHeight w:val="204"/>
                              </w:trPr>
                              <w:tc>
                                <w:tcPr>
                                  <w:tcW w:w="1704" w:type="pct"/>
                                  <w:tcBorders>
                                    <w:top w:val="nil"/>
                                    <w:left w:val="nil"/>
                                    <w:bottom w:val="nil"/>
                                    <w:right w:val="nil"/>
                                  </w:tcBorders>
                                  <w:noWrap/>
                                  <w:hideMark/>
                                </w:tcPr>
                                <w:p w14:paraId="298FFC2B"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Long Term Solvency</w:t>
                                  </w:r>
                                </w:p>
                              </w:tc>
                              <w:tc>
                                <w:tcPr>
                                  <w:tcW w:w="549" w:type="pct"/>
                                  <w:tcBorders>
                                    <w:top w:val="nil"/>
                                    <w:left w:val="nil"/>
                                    <w:bottom w:val="nil"/>
                                    <w:right w:val="nil"/>
                                  </w:tcBorders>
                                  <w:noWrap/>
                                  <w:hideMark/>
                                </w:tcPr>
                                <w:p w14:paraId="13C9BB24"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D1D0C6D"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E727BDB"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29063443"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6E0FAE8D"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6AA84A9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3766DB42" w14:textId="77777777" w:rsidTr="00A73471">
                              <w:trPr>
                                <w:trHeight w:val="204"/>
                              </w:trPr>
                              <w:tc>
                                <w:tcPr>
                                  <w:tcW w:w="1704" w:type="pct"/>
                                  <w:tcBorders>
                                    <w:top w:val="nil"/>
                                    <w:left w:val="nil"/>
                                    <w:bottom w:val="nil"/>
                                    <w:right w:val="nil"/>
                                  </w:tcBorders>
                                  <w:noWrap/>
                                  <w:hideMark/>
                                </w:tcPr>
                                <w:p w14:paraId="0ED6EF2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Debt/Equity</w:t>
                                  </w:r>
                                </w:p>
                              </w:tc>
                              <w:tc>
                                <w:tcPr>
                                  <w:tcW w:w="549" w:type="pct"/>
                                  <w:tcBorders>
                                    <w:top w:val="nil"/>
                                    <w:left w:val="nil"/>
                                    <w:bottom w:val="nil"/>
                                    <w:right w:val="nil"/>
                                  </w:tcBorders>
                                  <w:hideMark/>
                                </w:tcPr>
                                <w:p w14:paraId="66A1860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154.8% </w:t>
                                  </w:r>
                                </w:p>
                              </w:tc>
                              <w:tc>
                                <w:tcPr>
                                  <w:tcW w:w="549" w:type="pct"/>
                                  <w:tcBorders>
                                    <w:top w:val="nil"/>
                                    <w:left w:val="nil"/>
                                    <w:bottom w:val="nil"/>
                                    <w:right w:val="nil"/>
                                  </w:tcBorders>
                                  <w:hideMark/>
                                </w:tcPr>
                                <w:p w14:paraId="5DA0AD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143.7% </w:t>
                                  </w:r>
                                </w:p>
                              </w:tc>
                              <w:tc>
                                <w:tcPr>
                                  <w:tcW w:w="549" w:type="pct"/>
                                  <w:tcBorders>
                                    <w:top w:val="nil"/>
                                    <w:left w:val="nil"/>
                                    <w:bottom w:val="nil"/>
                                    <w:right w:val="nil"/>
                                  </w:tcBorders>
                                  <w:hideMark/>
                                </w:tcPr>
                                <w:p w14:paraId="78303FE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134.2% </w:t>
                                  </w:r>
                                </w:p>
                              </w:tc>
                              <w:tc>
                                <w:tcPr>
                                  <w:tcW w:w="549" w:type="pct"/>
                                  <w:tcBorders>
                                    <w:top w:val="nil"/>
                                    <w:left w:val="nil"/>
                                    <w:bottom w:val="nil"/>
                                    <w:right w:val="nil"/>
                                  </w:tcBorders>
                                  <w:hideMark/>
                                </w:tcPr>
                                <w:p w14:paraId="6E10C77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145.8% </w:t>
                                  </w:r>
                                </w:p>
                              </w:tc>
                              <w:tc>
                                <w:tcPr>
                                  <w:tcW w:w="551" w:type="pct"/>
                                  <w:tcBorders>
                                    <w:top w:val="nil"/>
                                    <w:left w:val="nil"/>
                                    <w:bottom w:val="nil"/>
                                    <w:right w:val="nil"/>
                                  </w:tcBorders>
                                  <w:hideMark/>
                                </w:tcPr>
                                <w:p w14:paraId="14C17AA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150.1% </w:t>
                                  </w:r>
                                </w:p>
                              </w:tc>
                              <w:tc>
                                <w:tcPr>
                                  <w:tcW w:w="549" w:type="pct"/>
                                  <w:tcBorders>
                                    <w:top w:val="nil"/>
                                    <w:left w:val="nil"/>
                                    <w:bottom w:val="nil"/>
                                    <w:right w:val="nil"/>
                                  </w:tcBorders>
                                  <w:hideMark/>
                                </w:tcPr>
                                <w:p w14:paraId="5D8AF85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172.5% </w:t>
                                  </w:r>
                                </w:p>
                              </w:tc>
                            </w:tr>
                            <w:tr w:rsidR="00A73471" w:rsidRPr="00A73471" w14:paraId="4DE55D3C" w14:textId="77777777" w:rsidTr="00A73471">
                              <w:trPr>
                                <w:trHeight w:val="204"/>
                              </w:trPr>
                              <w:tc>
                                <w:tcPr>
                                  <w:tcW w:w="1704" w:type="pct"/>
                                  <w:tcBorders>
                                    <w:top w:val="nil"/>
                                    <w:left w:val="nil"/>
                                    <w:bottom w:val="nil"/>
                                    <w:right w:val="nil"/>
                                  </w:tcBorders>
                                  <w:noWrap/>
                                  <w:hideMark/>
                                </w:tcPr>
                                <w:p w14:paraId="7FF633C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Debt/Capital</w:t>
                                  </w:r>
                                </w:p>
                              </w:tc>
                              <w:tc>
                                <w:tcPr>
                                  <w:tcW w:w="549" w:type="pct"/>
                                  <w:tcBorders>
                                    <w:top w:val="nil"/>
                                    <w:left w:val="nil"/>
                                    <w:bottom w:val="nil"/>
                                    <w:right w:val="nil"/>
                                  </w:tcBorders>
                                  <w:hideMark/>
                                </w:tcPr>
                                <w:p w14:paraId="232DAAC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60.7% </w:t>
                                  </w:r>
                                </w:p>
                              </w:tc>
                              <w:tc>
                                <w:tcPr>
                                  <w:tcW w:w="549" w:type="pct"/>
                                  <w:tcBorders>
                                    <w:top w:val="nil"/>
                                    <w:left w:val="nil"/>
                                    <w:bottom w:val="nil"/>
                                    <w:right w:val="nil"/>
                                  </w:tcBorders>
                                  <w:hideMark/>
                                </w:tcPr>
                                <w:p w14:paraId="29FE027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59.0% </w:t>
                                  </w:r>
                                </w:p>
                              </w:tc>
                              <w:tc>
                                <w:tcPr>
                                  <w:tcW w:w="549" w:type="pct"/>
                                  <w:tcBorders>
                                    <w:top w:val="nil"/>
                                    <w:left w:val="nil"/>
                                    <w:bottom w:val="nil"/>
                                    <w:right w:val="nil"/>
                                  </w:tcBorders>
                                  <w:hideMark/>
                                </w:tcPr>
                                <w:p w14:paraId="10B25FF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57.3% </w:t>
                                  </w:r>
                                </w:p>
                              </w:tc>
                              <w:tc>
                                <w:tcPr>
                                  <w:tcW w:w="549" w:type="pct"/>
                                  <w:tcBorders>
                                    <w:top w:val="nil"/>
                                    <w:left w:val="nil"/>
                                    <w:bottom w:val="nil"/>
                                    <w:right w:val="nil"/>
                                  </w:tcBorders>
                                  <w:hideMark/>
                                </w:tcPr>
                                <w:p w14:paraId="26181F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59.3% </w:t>
                                  </w:r>
                                </w:p>
                              </w:tc>
                              <w:tc>
                                <w:tcPr>
                                  <w:tcW w:w="551" w:type="pct"/>
                                  <w:tcBorders>
                                    <w:top w:val="nil"/>
                                    <w:left w:val="nil"/>
                                    <w:bottom w:val="nil"/>
                                    <w:right w:val="nil"/>
                                  </w:tcBorders>
                                  <w:hideMark/>
                                </w:tcPr>
                                <w:p w14:paraId="066D43B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60.0% </w:t>
                                  </w:r>
                                </w:p>
                              </w:tc>
                              <w:tc>
                                <w:tcPr>
                                  <w:tcW w:w="549" w:type="pct"/>
                                  <w:tcBorders>
                                    <w:top w:val="nil"/>
                                    <w:left w:val="nil"/>
                                    <w:bottom w:val="nil"/>
                                    <w:right w:val="nil"/>
                                  </w:tcBorders>
                                  <w:hideMark/>
                                </w:tcPr>
                                <w:p w14:paraId="28CCA51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63.3% </w:t>
                                  </w:r>
                                </w:p>
                              </w:tc>
                            </w:tr>
                            <w:tr w:rsidR="00A73471" w:rsidRPr="00A73471" w14:paraId="4DA55B98" w14:textId="77777777" w:rsidTr="00A73471">
                              <w:trPr>
                                <w:trHeight w:val="204"/>
                              </w:trPr>
                              <w:tc>
                                <w:tcPr>
                                  <w:tcW w:w="1704" w:type="pct"/>
                                  <w:tcBorders>
                                    <w:top w:val="nil"/>
                                    <w:left w:val="nil"/>
                                    <w:bottom w:val="nil"/>
                                    <w:right w:val="nil"/>
                                  </w:tcBorders>
                                  <w:noWrap/>
                                  <w:hideMark/>
                                </w:tcPr>
                                <w:p w14:paraId="73369B63"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LT Debt/Equity</w:t>
                                  </w:r>
                                </w:p>
                              </w:tc>
                              <w:tc>
                                <w:tcPr>
                                  <w:tcW w:w="549" w:type="pct"/>
                                  <w:tcBorders>
                                    <w:top w:val="nil"/>
                                    <w:left w:val="nil"/>
                                    <w:bottom w:val="nil"/>
                                    <w:right w:val="nil"/>
                                  </w:tcBorders>
                                  <w:hideMark/>
                                </w:tcPr>
                                <w:p w14:paraId="10F427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106.4% </w:t>
                                  </w:r>
                                </w:p>
                              </w:tc>
                              <w:tc>
                                <w:tcPr>
                                  <w:tcW w:w="549" w:type="pct"/>
                                  <w:tcBorders>
                                    <w:top w:val="nil"/>
                                    <w:left w:val="nil"/>
                                    <w:bottom w:val="nil"/>
                                    <w:right w:val="nil"/>
                                  </w:tcBorders>
                                  <w:hideMark/>
                                </w:tcPr>
                                <w:p w14:paraId="01AD0F8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99.9% </w:t>
                                  </w:r>
                                </w:p>
                              </w:tc>
                              <w:tc>
                                <w:tcPr>
                                  <w:tcW w:w="549" w:type="pct"/>
                                  <w:tcBorders>
                                    <w:top w:val="nil"/>
                                    <w:left w:val="nil"/>
                                    <w:bottom w:val="nil"/>
                                    <w:right w:val="nil"/>
                                  </w:tcBorders>
                                  <w:hideMark/>
                                </w:tcPr>
                                <w:p w14:paraId="6738C89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90.2% </w:t>
                                  </w:r>
                                </w:p>
                              </w:tc>
                              <w:tc>
                                <w:tcPr>
                                  <w:tcW w:w="549" w:type="pct"/>
                                  <w:tcBorders>
                                    <w:top w:val="nil"/>
                                    <w:left w:val="nil"/>
                                    <w:bottom w:val="nil"/>
                                    <w:right w:val="nil"/>
                                  </w:tcBorders>
                                  <w:hideMark/>
                                </w:tcPr>
                                <w:p w14:paraId="087424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91.3% </w:t>
                                  </w:r>
                                </w:p>
                              </w:tc>
                              <w:tc>
                                <w:tcPr>
                                  <w:tcW w:w="551" w:type="pct"/>
                                  <w:tcBorders>
                                    <w:top w:val="nil"/>
                                    <w:left w:val="nil"/>
                                    <w:bottom w:val="nil"/>
                                    <w:right w:val="nil"/>
                                  </w:tcBorders>
                                  <w:hideMark/>
                                </w:tcPr>
                                <w:p w14:paraId="6ABA2B7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97.8% </w:t>
                                  </w:r>
                                </w:p>
                              </w:tc>
                              <w:tc>
                                <w:tcPr>
                                  <w:tcW w:w="549" w:type="pct"/>
                                  <w:tcBorders>
                                    <w:top w:val="nil"/>
                                    <w:left w:val="nil"/>
                                    <w:bottom w:val="nil"/>
                                    <w:right w:val="nil"/>
                                  </w:tcBorders>
                                  <w:hideMark/>
                                </w:tcPr>
                                <w:p w14:paraId="032215A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109.6% </w:t>
                                  </w:r>
                                </w:p>
                              </w:tc>
                            </w:tr>
                            <w:tr w:rsidR="00A73471" w:rsidRPr="00A73471" w14:paraId="1EDD20E7" w14:textId="77777777" w:rsidTr="00A73471">
                              <w:trPr>
                                <w:trHeight w:val="204"/>
                              </w:trPr>
                              <w:tc>
                                <w:tcPr>
                                  <w:tcW w:w="1704" w:type="pct"/>
                                  <w:tcBorders>
                                    <w:top w:val="nil"/>
                                    <w:left w:val="nil"/>
                                    <w:bottom w:val="nil"/>
                                    <w:right w:val="nil"/>
                                  </w:tcBorders>
                                  <w:noWrap/>
                                  <w:hideMark/>
                                </w:tcPr>
                                <w:p w14:paraId="5BB7AB5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LT Debt/Capital</w:t>
                                  </w:r>
                                </w:p>
                              </w:tc>
                              <w:tc>
                                <w:tcPr>
                                  <w:tcW w:w="549" w:type="pct"/>
                                  <w:tcBorders>
                                    <w:top w:val="nil"/>
                                    <w:left w:val="nil"/>
                                    <w:bottom w:val="nil"/>
                                    <w:right w:val="nil"/>
                                  </w:tcBorders>
                                  <w:hideMark/>
                                </w:tcPr>
                                <w:p w14:paraId="3035004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41.8% </w:t>
                                  </w:r>
                                </w:p>
                              </w:tc>
                              <w:tc>
                                <w:tcPr>
                                  <w:tcW w:w="549" w:type="pct"/>
                                  <w:tcBorders>
                                    <w:top w:val="nil"/>
                                    <w:left w:val="nil"/>
                                    <w:bottom w:val="nil"/>
                                    <w:right w:val="nil"/>
                                  </w:tcBorders>
                                  <w:hideMark/>
                                </w:tcPr>
                                <w:p w14:paraId="7C5844D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41.0% </w:t>
                                  </w:r>
                                </w:p>
                              </w:tc>
                              <w:tc>
                                <w:tcPr>
                                  <w:tcW w:w="549" w:type="pct"/>
                                  <w:tcBorders>
                                    <w:top w:val="nil"/>
                                    <w:left w:val="nil"/>
                                    <w:bottom w:val="nil"/>
                                    <w:right w:val="nil"/>
                                  </w:tcBorders>
                                  <w:hideMark/>
                                </w:tcPr>
                                <w:p w14:paraId="6155A3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38.5% </w:t>
                                  </w:r>
                                </w:p>
                              </w:tc>
                              <w:tc>
                                <w:tcPr>
                                  <w:tcW w:w="549" w:type="pct"/>
                                  <w:tcBorders>
                                    <w:top w:val="nil"/>
                                    <w:left w:val="nil"/>
                                    <w:bottom w:val="nil"/>
                                    <w:right w:val="nil"/>
                                  </w:tcBorders>
                                  <w:hideMark/>
                                </w:tcPr>
                                <w:p w14:paraId="2D7041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37.1% </w:t>
                                  </w:r>
                                </w:p>
                              </w:tc>
                              <w:tc>
                                <w:tcPr>
                                  <w:tcW w:w="551" w:type="pct"/>
                                  <w:tcBorders>
                                    <w:top w:val="nil"/>
                                    <w:left w:val="nil"/>
                                    <w:bottom w:val="nil"/>
                                    <w:right w:val="nil"/>
                                  </w:tcBorders>
                                  <w:hideMark/>
                                </w:tcPr>
                                <w:p w14:paraId="469EC61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39.1% </w:t>
                                  </w:r>
                                </w:p>
                              </w:tc>
                              <w:tc>
                                <w:tcPr>
                                  <w:tcW w:w="549" w:type="pct"/>
                                  <w:tcBorders>
                                    <w:top w:val="nil"/>
                                    <w:left w:val="nil"/>
                                    <w:bottom w:val="nil"/>
                                    <w:right w:val="nil"/>
                                  </w:tcBorders>
                                  <w:hideMark/>
                                </w:tcPr>
                                <w:p w14:paraId="54215C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40.2% </w:t>
                                  </w:r>
                                </w:p>
                              </w:tc>
                            </w:tr>
                            <w:tr w:rsidR="00A73471" w:rsidRPr="00A73471" w14:paraId="662B00F6" w14:textId="77777777" w:rsidTr="00A73471">
                              <w:trPr>
                                <w:trHeight w:val="204"/>
                              </w:trPr>
                              <w:tc>
                                <w:tcPr>
                                  <w:tcW w:w="1704" w:type="pct"/>
                                  <w:tcBorders>
                                    <w:top w:val="nil"/>
                                    <w:left w:val="nil"/>
                                    <w:bottom w:val="nil"/>
                                    <w:right w:val="nil"/>
                                  </w:tcBorders>
                                  <w:noWrap/>
                                  <w:hideMark/>
                                </w:tcPr>
                                <w:p w14:paraId="2443F7FD"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Liabilities/Total Assets</w:t>
                                  </w:r>
                                </w:p>
                              </w:tc>
                              <w:tc>
                                <w:tcPr>
                                  <w:tcW w:w="549" w:type="pct"/>
                                  <w:tcBorders>
                                    <w:top w:val="nil"/>
                                    <w:left w:val="nil"/>
                                    <w:bottom w:val="nil"/>
                                    <w:right w:val="nil"/>
                                  </w:tcBorders>
                                  <w:hideMark/>
                                </w:tcPr>
                                <w:p w14:paraId="5E8D75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77.3% </w:t>
                                  </w:r>
                                </w:p>
                              </w:tc>
                              <w:tc>
                                <w:tcPr>
                                  <w:tcW w:w="549" w:type="pct"/>
                                  <w:tcBorders>
                                    <w:top w:val="nil"/>
                                    <w:left w:val="nil"/>
                                    <w:bottom w:val="nil"/>
                                    <w:right w:val="nil"/>
                                  </w:tcBorders>
                                  <w:hideMark/>
                                </w:tcPr>
                                <w:p w14:paraId="73F40C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75.6% </w:t>
                                  </w:r>
                                </w:p>
                              </w:tc>
                              <w:tc>
                                <w:tcPr>
                                  <w:tcW w:w="549" w:type="pct"/>
                                  <w:tcBorders>
                                    <w:top w:val="nil"/>
                                    <w:left w:val="nil"/>
                                    <w:bottom w:val="nil"/>
                                    <w:right w:val="nil"/>
                                  </w:tcBorders>
                                  <w:hideMark/>
                                </w:tcPr>
                                <w:p w14:paraId="74926C6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75.2% </w:t>
                                  </w:r>
                                </w:p>
                              </w:tc>
                              <w:tc>
                                <w:tcPr>
                                  <w:tcW w:w="549" w:type="pct"/>
                                  <w:tcBorders>
                                    <w:top w:val="nil"/>
                                    <w:left w:val="nil"/>
                                    <w:bottom w:val="nil"/>
                                    <w:right w:val="nil"/>
                                  </w:tcBorders>
                                  <w:hideMark/>
                                </w:tcPr>
                                <w:p w14:paraId="30560DA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76.7% </w:t>
                                  </w:r>
                                </w:p>
                              </w:tc>
                              <w:tc>
                                <w:tcPr>
                                  <w:tcW w:w="551" w:type="pct"/>
                                  <w:tcBorders>
                                    <w:top w:val="nil"/>
                                    <w:left w:val="nil"/>
                                    <w:bottom w:val="nil"/>
                                    <w:right w:val="nil"/>
                                  </w:tcBorders>
                                  <w:hideMark/>
                                </w:tcPr>
                                <w:p w14:paraId="70559B5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76.2% </w:t>
                                  </w:r>
                                </w:p>
                              </w:tc>
                              <w:tc>
                                <w:tcPr>
                                  <w:tcW w:w="549" w:type="pct"/>
                                  <w:tcBorders>
                                    <w:top w:val="nil"/>
                                    <w:left w:val="nil"/>
                                    <w:bottom w:val="nil"/>
                                    <w:right w:val="nil"/>
                                  </w:tcBorders>
                                  <w:hideMark/>
                                </w:tcPr>
                                <w:p w14:paraId="1F35989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78.2% </w:t>
                                  </w:r>
                                </w:p>
                              </w:tc>
                            </w:tr>
                            <w:tr w:rsidR="00A73471" w:rsidRPr="00A73471" w14:paraId="7F6D1DEB" w14:textId="77777777" w:rsidTr="00A73471">
                              <w:trPr>
                                <w:trHeight w:val="204"/>
                              </w:trPr>
                              <w:tc>
                                <w:tcPr>
                                  <w:tcW w:w="1704" w:type="pct"/>
                                  <w:tcBorders>
                                    <w:top w:val="nil"/>
                                    <w:left w:val="nil"/>
                                    <w:bottom w:val="nil"/>
                                    <w:right w:val="nil"/>
                                  </w:tcBorders>
                                  <w:noWrap/>
                                  <w:hideMark/>
                                </w:tcPr>
                                <w:p w14:paraId="1AD0DB1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 / Interest Exp.</w:t>
                                  </w:r>
                                </w:p>
                              </w:tc>
                              <w:tc>
                                <w:tcPr>
                                  <w:tcW w:w="549" w:type="pct"/>
                                  <w:tcBorders>
                                    <w:top w:val="nil"/>
                                    <w:left w:val="nil"/>
                                    <w:bottom w:val="nil"/>
                                    <w:right w:val="nil"/>
                                  </w:tcBorders>
                                  <w:hideMark/>
                                </w:tcPr>
                                <w:p w14:paraId="59721FF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6.8x</w:t>
                                  </w:r>
                                </w:p>
                              </w:tc>
                              <w:tc>
                                <w:tcPr>
                                  <w:tcW w:w="549" w:type="pct"/>
                                  <w:tcBorders>
                                    <w:top w:val="nil"/>
                                    <w:left w:val="nil"/>
                                    <w:bottom w:val="nil"/>
                                    <w:right w:val="nil"/>
                                  </w:tcBorders>
                                  <w:hideMark/>
                                </w:tcPr>
                                <w:p w14:paraId="0A41A81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7.8x</w:t>
                                  </w:r>
                                </w:p>
                              </w:tc>
                              <w:tc>
                                <w:tcPr>
                                  <w:tcW w:w="549" w:type="pct"/>
                                  <w:tcBorders>
                                    <w:top w:val="nil"/>
                                    <w:left w:val="nil"/>
                                    <w:bottom w:val="nil"/>
                                    <w:right w:val="nil"/>
                                  </w:tcBorders>
                                  <w:hideMark/>
                                </w:tcPr>
                                <w:p w14:paraId="13DB48C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8.2x</w:t>
                                  </w:r>
                                </w:p>
                              </w:tc>
                              <w:tc>
                                <w:tcPr>
                                  <w:tcW w:w="549" w:type="pct"/>
                                  <w:tcBorders>
                                    <w:top w:val="nil"/>
                                    <w:left w:val="nil"/>
                                    <w:bottom w:val="nil"/>
                                    <w:right w:val="nil"/>
                                  </w:tcBorders>
                                  <w:hideMark/>
                                </w:tcPr>
                                <w:p w14:paraId="5E832DB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4.8x</w:t>
                                  </w:r>
                                </w:p>
                              </w:tc>
                              <w:tc>
                                <w:tcPr>
                                  <w:tcW w:w="551" w:type="pct"/>
                                  <w:tcBorders>
                                    <w:top w:val="nil"/>
                                    <w:left w:val="nil"/>
                                    <w:bottom w:val="nil"/>
                                    <w:right w:val="nil"/>
                                  </w:tcBorders>
                                  <w:hideMark/>
                                </w:tcPr>
                                <w:p w14:paraId="697DA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3.8x</w:t>
                                  </w:r>
                                </w:p>
                              </w:tc>
                              <w:tc>
                                <w:tcPr>
                                  <w:tcW w:w="549" w:type="pct"/>
                                  <w:tcBorders>
                                    <w:top w:val="nil"/>
                                    <w:left w:val="nil"/>
                                    <w:bottom w:val="nil"/>
                                    <w:right w:val="nil"/>
                                  </w:tcBorders>
                                  <w:hideMark/>
                                </w:tcPr>
                                <w:p w14:paraId="156C866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3.3x</w:t>
                                  </w:r>
                                </w:p>
                              </w:tc>
                            </w:tr>
                            <w:tr w:rsidR="00A73471" w:rsidRPr="00A73471" w14:paraId="791F5F03" w14:textId="77777777" w:rsidTr="00A73471">
                              <w:trPr>
                                <w:trHeight w:val="204"/>
                              </w:trPr>
                              <w:tc>
                                <w:tcPr>
                                  <w:tcW w:w="1704" w:type="pct"/>
                                  <w:tcBorders>
                                    <w:top w:val="nil"/>
                                    <w:left w:val="nil"/>
                                    <w:bottom w:val="nil"/>
                                    <w:right w:val="nil"/>
                                  </w:tcBorders>
                                  <w:noWrap/>
                                  <w:hideMark/>
                                </w:tcPr>
                                <w:p w14:paraId="1821ADEB"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 / Interest Exp.</w:t>
                                  </w:r>
                                </w:p>
                              </w:tc>
                              <w:tc>
                                <w:tcPr>
                                  <w:tcW w:w="549" w:type="pct"/>
                                  <w:tcBorders>
                                    <w:top w:val="nil"/>
                                    <w:left w:val="nil"/>
                                    <w:bottom w:val="nil"/>
                                    <w:right w:val="nil"/>
                                  </w:tcBorders>
                                  <w:hideMark/>
                                </w:tcPr>
                                <w:p w14:paraId="5F19D96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14.3x</w:t>
                                  </w:r>
                                </w:p>
                              </w:tc>
                              <w:tc>
                                <w:tcPr>
                                  <w:tcW w:w="549" w:type="pct"/>
                                  <w:tcBorders>
                                    <w:top w:val="nil"/>
                                    <w:left w:val="nil"/>
                                    <w:bottom w:val="nil"/>
                                    <w:right w:val="nil"/>
                                  </w:tcBorders>
                                  <w:hideMark/>
                                </w:tcPr>
                                <w:p w14:paraId="7DB708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16.1x</w:t>
                                  </w:r>
                                </w:p>
                              </w:tc>
                              <w:tc>
                                <w:tcPr>
                                  <w:tcW w:w="549" w:type="pct"/>
                                  <w:tcBorders>
                                    <w:top w:val="nil"/>
                                    <w:left w:val="nil"/>
                                    <w:bottom w:val="nil"/>
                                    <w:right w:val="nil"/>
                                  </w:tcBorders>
                                  <w:hideMark/>
                                </w:tcPr>
                                <w:p w14:paraId="71C4A7C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16.1x</w:t>
                                  </w:r>
                                </w:p>
                              </w:tc>
                              <w:tc>
                                <w:tcPr>
                                  <w:tcW w:w="549" w:type="pct"/>
                                  <w:tcBorders>
                                    <w:top w:val="nil"/>
                                    <w:left w:val="nil"/>
                                    <w:bottom w:val="nil"/>
                                    <w:right w:val="nil"/>
                                  </w:tcBorders>
                                  <w:hideMark/>
                                </w:tcPr>
                                <w:p w14:paraId="2064D15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9.4x</w:t>
                                  </w:r>
                                </w:p>
                              </w:tc>
                              <w:tc>
                                <w:tcPr>
                                  <w:tcW w:w="551" w:type="pct"/>
                                  <w:tcBorders>
                                    <w:top w:val="nil"/>
                                    <w:left w:val="nil"/>
                                    <w:bottom w:val="nil"/>
                                    <w:right w:val="nil"/>
                                  </w:tcBorders>
                                  <w:hideMark/>
                                </w:tcPr>
                                <w:p w14:paraId="56BEAC1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7.6x</w:t>
                                  </w:r>
                                </w:p>
                              </w:tc>
                              <w:tc>
                                <w:tcPr>
                                  <w:tcW w:w="549" w:type="pct"/>
                                  <w:tcBorders>
                                    <w:top w:val="nil"/>
                                    <w:left w:val="nil"/>
                                    <w:bottom w:val="nil"/>
                                    <w:right w:val="nil"/>
                                  </w:tcBorders>
                                  <w:hideMark/>
                                </w:tcPr>
                                <w:p w14:paraId="6BDC2FB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7.0x</w:t>
                                  </w:r>
                                </w:p>
                              </w:tc>
                            </w:tr>
                            <w:tr w:rsidR="00A73471" w:rsidRPr="00A73471" w14:paraId="0B59C6B6" w14:textId="77777777" w:rsidTr="00A73471">
                              <w:trPr>
                                <w:trHeight w:val="204"/>
                              </w:trPr>
                              <w:tc>
                                <w:tcPr>
                                  <w:tcW w:w="1704" w:type="pct"/>
                                  <w:tcBorders>
                                    <w:top w:val="nil"/>
                                    <w:left w:val="nil"/>
                                    <w:bottom w:val="nil"/>
                                    <w:right w:val="nil"/>
                                  </w:tcBorders>
                                  <w:noWrap/>
                                  <w:hideMark/>
                                </w:tcPr>
                                <w:p w14:paraId="438CE6B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(EBITDA-CAPEX) / Interest Exp.</w:t>
                                  </w:r>
                                </w:p>
                              </w:tc>
                              <w:tc>
                                <w:tcPr>
                                  <w:tcW w:w="549" w:type="pct"/>
                                  <w:tcBorders>
                                    <w:top w:val="nil"/>
                                    <w:left w:val="nil"/>
                                    <w:bottom w:val="nil"/>
                                    <w:right w:val="nil"/>
                                  </w:tcBorders>
                                  <w:hideMark/>
                                </w:tcPr>
                                <w:p w14:paraId="0F7B87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8.7x</w:t>
                                  </w:r>
                                </w:p>
                              </w:tc>
                              <w:tc>
                                <w:tcPr>
                                  <w:tcW w:w="549" w:type="pct"/>
                                  <w:tcBorders>
                                    <w:top w:val="nil"/>
                                    <w:left w:val="nil"/>
                                    <w:bottom w:val="nil"/>
                                    <w:right w:val="nil"/>
                                  </w:tcBorders>
                                  <w:hideMark/>
                                </w:tcPr>
                                <w:p w14:paraId="111923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c>
                                <w:tcPr>
                                  <w:tcW w:w="549" w:type="pct"/>
                                  <w:tcBorders>
                                    <w:top w:val="nil"/>
                                    <w:left w:val="nil"/>
                                    <w:bottom w:val="nil"/>
                                    <w:right w:val="nil"/>
                                  </w:tcBorders>
                                  <w:hideMark/>
                                </w:tcPr>
                                <w:p w14:paraId="0C6EE2C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10.2x</w:t>
                                  </w:r>
                                </w:p>
                              </w:tc>
                              <w:tc>
                                <w:tcPr>
                                  <w:tcW w:w="549" w:type="pct"/>
                                  <w:tcBorders>
                                    <w:top w:val="nil"/>
                                    <w:left w:val="nil"/>
                                    <w:bottom w:val="nil"/>
                                    <w:right w:val="nil"/>
                                  </w:tcBorders>
                                  <w:hideMark/>
                                </w:tcPr>
                                <w:p w14:paraId="14FEE26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5.6x</w:t>
                                  </w:r>
                                </w:p>
                              </w:tc>
                              <w:tc>
                                <w:tcPr>
                                  <w:tcW w:w="551" w:type="pct"/>
                                  <w:tcBorders>
                                    <w:top w:val="nil"/>
                                    <w:left w:val="nil"/>
                                    <w:bottom w:val="nil"/>
                                    <w:right w:val="nil"/>
                                  </w:tcBorders>
                                  <w:hideMark/>
                                </w:tcPr>
                                <w:p w14:paraId="113F874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4.5x</w:t>
                                  </w:r>
                                </w:p>
                              </w:tc>
                              <w:tc>
                                <w:tcPr>
                                  <w:tcW w:w="549" w:type="pct"/>
                                  <w:tcBorders>
                                    <w:top w:val="nil"/>
                                    <w:left w:val="nil"/>
                                    <w:bottom w:val="nil"/>
                                    <w:right w:val="nil"/>
                                  </w:tcBorders>
                                  <w:hideMark/>
                                </w:tcPr>
                                <w:p w14:paraId="4D35285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4.3x</w:t>
                                  </w:r>
                                </w:p>
                              </w:tc>
                            </w:tr>
                            <w:tr w:rsidR="00A73471" w:rsidRPr="00A73471" w14:paraId="5505990D" w14:textId="77777777" w:rsidTr="00A73471">
                              <w:trPr>
                                <w:trHeight w:val="204"/>
                              </w:trPr>
                              <w:tc>
                                <w:tcPr>
                                  <w:tcW w:w="1704" w:type="pct"/>
                                  <w:tcBorders>
                                    <w:top w:val="nil"/>
                                    <w:left w:val="nil"/>
                                    <w:bottom w:val="nil"/>
                                    <w:right w:val="nil"/>
                                  </w:tcBorders>
                                  <w:noWrap/>
                                  <w:hideMark/>
                                </w:tcPr>
                                <w:p w14:paraId="0E28E892"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Debt/EBITDA</w:t>
                                  </w:r>
                                </w:p>
                              </w:tc>
                              <w:tc>
                                <w:tcPr>
                                  <w:tcW w:w="549" w:type="pct"/>
                                  <w:tcBorders>
                                    <w:top w:val="nil"/>
                                    <w:left w:val="nil"/>
                                    <w:bottom w:val="nil"/>
                                    <w:right w:val="nil"/>
                                  </w:tcBorders>
                                  <w:hideMark/>
                                </w:tcPr>
                                <w:p w14:paraId="526EE23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4.1x</w:t>
                                  </w:r>
                                </w:p>
                              </w:tc>
                              <w:tc>
                                <w:tcPr>
                                  <w:tcW w:w="549" w:type="pct"/>
                                  <w:tcBorders>
                                    <w:top w:val="nil"/>
                                    <w:left w:val="nil"/>
                                    <w:bottom w:val="nil"/>
                                    <w:right w:val="nil"/>
                                  </w:tcBorders>
                                  <w:hideMark/>
                                </w:tcPr>
                                <w:p w14:paraId="02E8FBC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3.7x</w:t>
                                  </w:r>
                                </w:p>
                              </w:tc>
                              <w:tc>
                                <w:tcPr>
                                  <w:tcW w:w="549" w:type="pct"/>
                                  <w:tcBorders>
                                    <w:top w:val="nil"/>
                                    <w:left w:val="nil"/>
                                    <w:bottom w:val="nil"/>
                                    <w:right w:val="nil"/>
                                  </w:tcBorders>
                                  <w:hideMark/>
                                </w:tcPr>
                                <w:p w14:paraId="3F10943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3.7x</w:t>
                                  </w:r>
                                </w:p>
                              </w:tc>
                              <w:tc>
                                <w:tcPr>
                                  <w:tcW w:w="549" w:type="pct"/>
                                  <w:tcBorders>
                                    <w:top w:val="nil"/>
                                    <w:left w:val="nil"/>
                                    <w:bottom w:val="nil"/>
                                    <w:right w:val="nil"/>
                                  </w:tcBorders>
                                  <w:hideMark/>
                                </w:tcPr>
                                <w:p w14:paraId="7A1279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4.2x</w:t>
                                  </w:r>
                                </w:p>
                              </w:tc>
                              <w:tc>
                                <w:tcPr>
                                  <w:tcW w:w="551" w:type="pct"/>
                                  <w:tcBorders>
                                    <w:top w:val="nil"/>
                                    <w:left w:val="nil"/>
                                    <w:bottom w:val="nil"/>
                                    <w:right w:val="nil"/>
                                  </w:tcBorders>
                                  <w:hideMark/>
                                </w:tcPr>
                                <w:p w14:paraId="31CF798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4.4x</w:t>
                                  </w:r>
                                </w:p>
                              </w:tc>
                              <w:tc>
                                <w:tcPr>
                                  <w:tcW w:w="549" w:type="pct"/>
                                  <w:tcBorders>
                                    <w:top w:val="nil"/>
                                    <w:left w:val="nil"/>
                                    <w:bottom w:val="nil"/>
                                    <w:right w:val="nil"/>
                                  </w:tcBorders>
                                  <w:hideMark/>
                                </w:tcPr>
                                <w:p w14:paraId="7F75608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4.7x</w:t>
                                  </w:r>
                                </w:p>
                              </w:tc>
                            </w:tr>
                            <w:tr w:rsidR="00A73471" w:rsidRPr="00A73471" w14:paraId="2E8B8F73" w14:textId="77777777" w:rsidTr="00A73471">
                              <w:trPr>
                                <w:trHeight w:val="204"/>
                              </w:trPr>
                              <w:tc>
                                <w:tcPr>
                                  <w:tcW w:w="1704" w:type="pct"/>
                                  <w:tcBorders>
                                    <w:top w:val="nil"/>
                                    <w:left w:val="nil"/>
                                    <w:bottom w:val="nil"/>
                                    <w:right w:val="nil"/>
                                  </w:tcBorders>
                                  <w:noWrap/>
                                  <w:hideMark/>
                                </w:tcPr>
                                <w:p w14:paraId="52CD5892"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Debt/EBITDA</w:t>
                                  </w:r>
                                </w:p>
                              </w:tc>
                              <w:tc>
                                <w:tcPr>
                                  <w:tcW w:w="549" w:type="pct"/>
                                  <w:tcBorders>
                                    <w:top w:val="nil"/>
                                    <w:left w:val="nil"/>
                                    <w:bottom w:val="nil"/>
                                    <w:right w:val="nil"/>
                                  </w:tcBorders>
                                  <w:hideMark/>
                                </w:tcPr>
                                <w:p w14:paraId="2ACBB28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3.1x</w:t>
                                  </w:r>
                                </w:p>
                              </w:tc>
                              <w:tc>
                                <w:tcPr>
                                  <w:tcW w:w="549" w:type="pct"/>
                                  <w:tcBorders>
                                    <w:top w:val="nil"/>
                                    <w:left w:val="nil"/>
                                    <w:bottom w:val="nil"/>
                                    <w:right w:val="nil"/>
                                  </w:tcBorders>
                                  <w:hideMark/>
                                </w:tcPr>
                                <w:p w14:paraId="638BD40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2.7x</w:t>
                                  </w:r>
                                </w:p>
                              </w:tc>
                              <w:tc>
                                <w:tcPr>
                                  <w:tcW w:w="549" w:type="pct"/>
                                  <w:tcBorders>
                                    <w:top w:val="nil"/>
                                    <w:left w:val="nil"/>
                                    <w:bottom w:val="nil"/>
                                    <w:right w:val="nil"/>
                                  </w:tcBorders>
                                  <w:hideMark/>
                                </w:tcPr>
                                <w:p w14:paraId="06530B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2.8x</w:t>
                                  </w:r>
                                </w:p>
                              </w:tc>
                              <w:tc>
                                <w:tcPr>
                                  <w:tcW w:w="549" w:type="pct"/>
                                  <w:tcBorders>
                                    <w:top w:val="nil"/>
                                    <w:left w:val="nil"/>
                                    <w:bottom w:val="nil"/>
                                    <w:right w:val="nil"/>
                                  </w:tcBorders>
                                  <w:hideMark/>
                                </w:tcPr>
                                <w:p w14:paraId="3ADCF0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3.0x</w:t>
                                  </w:r>
                                </w:p>
                              </w:tc>
                              <w:tc>
                                <w:tcPr>
                                  <w:tcW w:w="551" w:type="pct"/>
                                  <w:tcBorders>
                                    <w:top w:val="nil"/>
                                    <w:left w:val="nil"/>
                                    <w:bottom w:val="nil"/>
                                    <w:right w:val="nil"/>
                                  </w:tcBorders>
                                  <w:hideMark/>
                                </w:tcPr>
                                <w:p w14:paraId="4915AA8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3.0x</w:t>
                                  </w:r>
                                </w:p>
                              </w:tc>
                              <w:tc>
                                <w:tcPr>
                                  <w:tcW w:w="549" w:type="pct"/>
                                  <w:tcBorders>
                                    <w:top w:val="nil"/>
                                    <w:left w:val="nil"/>
                                    <w:bottom w:val="nil"/>
                                    <w:right w:val="nil"/>
                                  </w:tcBorders>
                                  <w:hideMark/>
                                </w:tcPr>
                                <w:p w14:paraId="5F3C7CC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3.2x</w:t>
                                  </w:r>
                                </w:p>
                              </w:tc>
                            </w:tr>
                            <w:tr w:rsidR="00A73471" w:rsidRPr="00A73471" w14:paraId="0C0CD5AA" w14:textId="77777777" w:rsidTr="00A73471">
                              <w:trPr>
                                <w:trHeight w:val="204"/>
                              </w:trPr>
                              <w:tc>
                                <w:tcPr>
                                  <w:tcW w:w="1704" w:type="pct"/>
                                  <w:tcBorders>
                                    <w:top w:val="nil"/>
                                    <w:left w:val="nil"/>
                                    <w:bottom w:val="nil"/>
                                    <w:right w:val="nil"/>
                                  </w:tcBorders>
                                  <w:noWrap/>
                                  <w:hideMark/>
                                </w:tcPr>
                                <w:p w14:paraId="3B0AE83F"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Debt/(EBITDA-CAPEX)</w:t>
                                  </w:r>
                                </w:p>
                              </w:tc>
                              <w:tc>
                                <w:tcPr>
                                  <w:tcW w:w="549" w:type="pct"/>
                                  <w:tcBorders>
                                    <w:top w:val="nil"/>
                                    <w:left w:val="nil"/>
                                    <w:bottom w:val="nil"/>
                                    <w:right w:val="nil"/>
                                  </w:tcBorders>
                                  <w:hideMark/>
                                </w:tcPr>
                                <w:p w14:paraId="2C7C9E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6.8x</w:t>
                                  </w:r>
                                </w:p>
                              </w:tc>
                              <w:tc>
                                <w:tcPr>
                                  <w:tcW w:w="549" w:type="pct"/>
                                  <w:tcBorders>
                                    <w:top w:val="nil"/>
                                    <w:left w:val="nil"/>
                                    <w:bottom w:val="nil"/>
                                    <w:right w:val="nil"/>
                                  </w:tcBorders>
                                  <w:hideMark/>
                                </w:tcPr>
                                <w:p w14:paraId="43EA462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5.6x</w:t>
                                  </w:r>
                                </w:p>
                              </w:tc>
                              <w:tc>
                                <w:tcPr>
                                  <w:tcW w:w="549" w:type="pct"/>
                                  <w:tcBorders>
                                    <w:top w:val="nil"/>
                                    <w:left w:val="nil"/>
                                    <w:bottom w:val="nil"/>
                                    <w:right w:val="nil"/>
                                  </w:tcBorders>
                                  <w:hideMark/>
                                </w:tcPr>
                                <w:p w14:paraId="0D927F1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5.8x</w:t>
                                  </w:r>
                                </w:p>
                              </w:tc>
                              <w:tc>
                                <w:tcPr>
                                  <w:tcW w:w="549" w:type="pct"/>
                                  <w:tcBorders>
                                    <w:top w:val="nil"/>
                                    <w:left w:val="nil"/>
                                    <w:bottom w:val="nil"/>
                                    <w:right w:val="nil"/>
                                  </w:tcBorders>
                                  <w:hideMark/>
                                </w:tcPr>
                                <w:p w14:paraId="48227A4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7.1x</w:t>
                                  </w:r>
                                </w:p>
                              </w:tc>
                              <w:tc>
                                <w:tcPr>
                                  <w:tcW w:w="551" w:type="pct"/>
                                  <w:tcBorders>
                                    <w:top w:val="nil"/>
                                    <w:left w:val="nil"/>
                                    <w:bottom w:val="nil"/>
                                    <w:right w:val="nil"/>
                                  </w:tcBorders>
                                  <w:hideMark/>
                                </w:tcPr>
                                <w:p w14:paraId="6DBA0FB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7.5x</w:t>
                                  </w:r>
                                </w:p>
                              </w:tc>
                              <w:tc>
                                <w:tcPr>
                                  <w:tcW w:w="549" w:type="pct"/>
                                  <w:tcBorders>
                                    <w:top w:val="nil"/>
                                    <w:left w:val="nil"/>
                                    <w:bottom w:val="nil"/>
                                    <w:right w:val="nil"/>
                                  </w:tcBorders>
                                  <w:hideMark/>
                                </w:tcPr>
                                <w:p w14:paraId="15F8FCF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7.6x</w:t>
                                  </w:r>
                                </w:p>
                              </w:tc>
                            </w:tr>
                            <w:tr w:rsidR="00A73471" w:rsidRPr="00A73471" w14:paraId="57D2AD08" w14:textId="77777777" w:rsidTr="00A73471">
                              <w:trPr>
                                <w:trHeight w:val="204"/>
                              </w:trPr>
                              <w:tc>
                                <w:tcPr>
                                  <w:tcW w:w="1704" w:type="pct"/>
                                  <w:tcBorders>
                                    <w:top w:val="nil"/>
                                    <w:left w:val="nil"/>
                                    <w:bottom w:val="nil"/>
                                    <w:right w:val="nil"/>
                                  </w:tcBorders>
                                  <w:noWrap/>
                                  <w:hideMark/>
                                </w:tcPr>
                                <w:p w14:paraId="636D970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Debt/(EBITDA-CAPEX)</w:t>
                                  </w:r>
                                </w:p>
                              </w:tc>
                              <w:tc>
                                <w:tcPr>
                                  <w:tcW w:w="549" w:type="pct"/>
                                  <w:tcBorders>
                                    <w:top w:val="nil"/>
                                    <w:left w:val="nil"/>
                                    <w:bottom w:val="nil"/>
                                    <w:right w:val="nil"/>
                                  </w:tcBorders>
                                  <w:hideMark/>
                                </w:tcPr>
                                <w:p w14:paraId="7E46B65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49" w:type="pct"/>
                                  <w:tcBorders>
                                    <w:top w:val="nil"/>
                                    <w:left w:val="nil"/>
                                    <w:bottom w:val="nil"/>
                                    <w:right w:val="nil"/>
                                  </w:tcBorders>
                                  <w:hideMark/>
                                </w:tcPr>
                                <w:p w14:paraId="79CDEB3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4.1x</w:t>
                                  </w:r>
                                </w:p>
                              </w:tc>
                              <w:tc>
                                <w:tcPr>
                                  <w:tcW w:w="549" w:type="pct"/>
                                  <w:tcBorders>
                                    <w:top w:val="nil"/>
                                    <w:left w:val="nil"/>
                                    <w:bottom w:val="nil"/>
                                    <w:right w:val="nil"/>
                                  </w:tcBorders>
                                  <w:hideMark/>
                                </w:tcPr>
                                <w:p w14:paraId="6BC48A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4.4x</w:t>
                                  </w:r>
                                </w:p>
                              </w:tc>
                              <w:tc>
                                <w:tcPr>
                                  <w:tcW w:w="549" w:type="pct"/>
                                  <w:tcBorders>
                                    <w:top w:val="nil"/>
                                    <w:left w:val="nil"/>
                                    <w:bottom w:val="nil"/>
                                    <w:right w:val="nil"/>
                                  </w:tcBorders>
                                  <w:hideMark/>
                                </w:tcPr>
                                <w:p w14:paraId="6E07BFA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51" w:type="pct"/>
                                  <w:tcBorders>
                                    <w:top w:val="nil"/>
                                    <w:left w:val="nil"/>
                                    <w:bottom w:val="nil"/>
                                    <w:right w:val="nil"/>
                                  </w:tcBorders>
                                  <w:hideMark/>
                                </w:tcPr>
                                <w:p w14:paraId="3A50FA5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5.0x</w:t>
                                  </w:r>
                                </w:p>
                              </w:tc>
                              <w:tc>
                                <w:tcPr>
                                  <w:tcW w:w="549" w:type="pct"/>
                                  <w:tcBorders>
                                    <w:top w:val="nil"/>
                                    <w:left w:val="nil"/>
                                    <w:bottom w:val="nil"/>
                                    <w:right w:val="nil"/>
                                  </w:tcBorders>
                                  <w:hideMark/>
                                </w:tcPr>
                                <w:p w14:paraId="4FA0686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5.2x</w:t>
                                  </w:r>
                                </w:p>
                              </w:tc>
                            </w:tr>
                          </w:tbl>
                          <w:p w14:paraId="1ABCB185" w14:textId="00DDECA8" w:rsidR="00A73471" w:rsidRDefault="00A7347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03737" id="_x0000_s1062" type="#_x0000_t202" style="position:absolute;left:0;text-align:left;margin-left:0;margin-top:30.6pt;width:463.2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SbEwIAAP8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" stroked="f">
                <v:textbox style="mso-fit-shape-to-text:t">
                  <w:txbxContent>
                    <w:tbl>
                      <w:tblPr>
                        <w:tblW w:w="4992" w:type="pct"/>
                        <w:tblLook w:val="04A0" w:firstRow="1" w:lastRow="0" w:firstColumn="1" w:lastColumn="0" w:noHBand="0" w:noVBand="1"/>
                      </w:tblPr>
                      <w:tblGrid>
                        <w:gridCol w:w="3055"/>
                        <w:gridCol w:w="984"/>
                        <w:gridCol w:w="984"/>
                        <w:gridCol w:w="984"/>
                        <w:gridCol w:w="984"/>
                        <w:gridCol w:w="988"/>
                        <w:gridCol w:w="984"/>
                      </w:tblGrid>
                      <w:tr w:rsidR="00A73471" w:rsidRPr="00A73471" w14:paraId="4C2C2BE2" w14:textId="77777777" w:rsidTr="00A73471">
                        <w:trPr>
                          <w:trHeight w:val="324"/>
                        </w:trPr>
                        <w:tc>
                          <w:tcPr>
                            <w:tcW w:w="4451" w:type="pct"/>
                            <w:gridSpan w:val="6"/>
                            <w:tcBorders>
                              <w:top w:val="nil"/>
                              <w:left w:val="nil"/>
                              <w:bottom w:val="nil"/>
                              <w:right w:val="nil"/>
                            </w:tcBorders>
                            <w:noWrap/>
                            <w:vAlign w:val="bottom"/>
                            <w:hideMark/>
                          </w:tcPr>
                          <w:p w14:paraId="64FAC8BF"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Carrefour SA (ENXTPA:CA) &gt; Financials &gt; Ratios</w:t>
                            </w:r>
                          </w:p>
                        </w:tc>
                        <w:tc>
                          <w:tcPr>
                            <w:tcW w:w="549" w:type="pct"/>
                            <w:tcBorders>
                              <w:top w:val="nil"/>
                              <w:left w:val="nil"/>
                              <w:bottom w:val="nil"/>
                              <w:right w:val="nil"/>
                            </w:tcBorders>
                            <w:noWrap/>
                            <w:vAlign w:val="bottom"/>
                            <w:hideMark/>
                          </w:tcPr>
                          <w:p w14:paraId="03F43F47"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r>
                      <w:tr w:rsidR="00A73471" w:rsidRPr="00A73471" w14:paraId="7E5648A2" w14:textId="77777777" w:rsidTr="00A73471">
                        <w:trPr>
                          <w:trHeight w:val="204"/>
                        </w:trPr>
                        <w:tc>
                          <w:tcPr>
                            <w:tcW w:w="1704" w:type="pct"/>
                            <w:tcBorders>
                              <w:top w:val="nil"/>
                              <w:left w:val="nil"/>
                              <w:bottom w:val="nil"/>
                              <w:right w:val="nil"/>
                            </w:tcBorders>
                            <w:shd w:val="clear" w:color="000000" w:fill="003366"/>
                            <w:noWrap/>
                            <w:vAlign w:val="bottom"/>
                            <w:hideMark/>
                          </w:tcPr>
                          <w:p w14:paraId="559C5391"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Ratios</w:t>
                            </w:r>
                          </w:p>
                        </w:tc>
                        <w:tc>
                          <w:tcPr>
                            <w:tcW w:w="549" w:type="pct"/>
                            <w:tcBorders>
                              <w:top w:val="nil"/>
                              <w:left w:val="nil"/>
                              <w:bottom w:val="nil"/>
                              <w:right w:val="nil"/>
                            </w:tcBorders>
                            <w:shd w:val="clear" w:color="000000" w:fill="003366"/>
                            <w:noWrap/>
                            <w:vAlign w:val="bottom"/>
                            <w:hideMark/>
                          </w:tcPr>
                          <w:p w14:paraId="693ED30A"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2A332005"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06601D30"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304C64D9"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51" w:type="pct"/>
                            <w:tcBorders>
                              <w:top w:val="nil"/>
                              <w:left w:val="nil"/>
                              <w:bottom w:val="nil"/>
                              <w:right w:val="nil"/>
                            </w:tcBorders>
                            <w:shd w:val="clear" w:color="000000" w:fill="003366"/>
                            <w:noWrap/>
                            <w:vAlign w:val="bottom"/>
                            <w:hideMark/>
                          </w:tcPr>
                          <w:p w14:paraId="7DC5AB53"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c>
                          <w:tcPr>
                            <w:tcW w:w="549" w:type="pct"/>
                            <w:tcBorders>
                              <w:top w:val="nil"/>
                              <w:left w:val="nil"/>
                              <w:bottom w:val="nil"/>
                              <w:right w:val="nil"/>
                            </w:tcBorders>
                            <w:shd w:val="clear" w:color="000000" w:fill="003366"/>
                            <w:noWrap/>
                            <w:vAlign w:val="bottom"/>
                            <w:hideMark/>
                          </w:tcPr>
                          <w:p w14:paraId="234A8ED5" w14:textId="77777777" w:rsidR="00A73471" w:rsidRPr="00A73471" w:rsidRDefault="00A73471" w:rsidP="00A73471">
                            <w:pPr>
                              <w:spacing w:after="0" w:line="240" w:lineRule="auto"/>
                              <w:rPr>
                                <w:rFonts w:ascii="Cambria" w:eastAsia="Times New Roman" w:hAnsi="Cambria" w:cs="Arial"/>
                                <w:b/>
                                <w:bCs/>
                                <w:color w:val="FFFFFF"/>
                                <w:kern w:val="0"/>
                                <w:sz w:val="14"/>
                                <w:szCs w:val="14"/>
                                <w:lang w:eastAsia="en-IN"/>
                                <w14:ligatures w14:val="none"/>
                              </w:rPr>
                            </w:pPr>
                            <w:r w:rsidRPr="00A73471">
                              <w:rPr>
                                <w:rFonts w:ascii="Cambria" w:eastAsia="Times New Roman" w:hAnsi="Cambria" w:cs="Arial"/>
                                <w:b/>
                                <w:bCs/>
                                <w:color w:val="FFFFFF"/>
                                <w:kern w:val="0"/>
                                <w:sz w:val="14"/>
                                <w:szCs w:val="14"/>
                                <w:lang w:eastAsia="en-IN"/>
                                <w14:ligatures w14:val="none"/>
                              </w:rPr>
                              <w:t> </w:t>
                            </w:r>
                          </w:p>
                        </w:tc>
                      </w:tr>
                      <w:tr w:rsidR="00A73471" w:rsidRPr="00A73471" w14:paraId="19F44518" w14:textId="77777777" w:rsidTr="00A73471">
                        <w:trPr>
                          <w:trHeight w:val="408"/>
                        </w:trPr>
                        <w:tc>
                          <w:tcPr>
                            <w:tcW w:w="1704" w:type="pct"/>
                            <w:tcBorders>
                              <w:top w:val="nil"/>
                              <w:left w:val="nil"/>
                              <w:bottom w:val="nil"/>
                              <w:right w:val="nil"/>
                            </w:tcBorders>
                            <w:shd w:val="clear" w:color="000000" w:fill="F0F0DC"/>
                            <w:vAlign w:val="bottom"/>
                            <w:hideMark/>
                          </w:tcPr>
                          <w:p w14:paraId="4F2D6516"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For the Fiscal Period Ending</w:t>
                            </w:r>
                          </w:p>
                        </w:tc>
                        <w:tc>
                          <w:tcPr>
                            <w:tcW w:w="549" w:type="pct"/>
                            <w:tcBorders>
                              <w:top w:val="nil"/>
                              <w:left w:val="nil"/>
                              <w:bottom w:val="nil"/>
                              <w:right w:val="nil"/>
                            </w:tcBorders>
                            <w:shd w:val="clear" w:color="000000" w:fill="F0F0DC"/>
                            <w:vAlign w:val="bottom"/>
                            <w:hideMark/>
                          </w:tcPr>
                          <w:p w14:paraId="1B8BEF1C"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Dec-31-2019</w:t>
                            </w:r>
                          </w:p>
                        </w:tc>
                        <w:tc>
                          <w:tcPr>
                            <w:tcW w:w="549" w:type="pct"/>
                            <w:tcBorders>
                              <w:top w:val="nil"/>
                              <w:left w:val="nil"/>
                              <w:bottom w:val="nil"/>
                              <w:right w:val="nil"/>
                            </w:tcBorders>
                            <w:shd w:val="clear" w:color="000000" w:fill="F0F0DC"/>
                            <w:vAlign w:val="bottom"/>
                            <w:hideMark/>
                          </w:tcPr>
                          <w:p w14:paraId="6260D126"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Dec-31-2020</w:t>
                            </w:r>
                          </w:p>
                        </w:tc>
                        <w:tc>
                          <w:tcPr>
                            <w:tcW w:w="549" w:type="pct"/>
                            <w:tcBorders>
                              <w:top w:val="nil"/>
                              <w:left w:val="nil"/>
                              <w:bottom w:val="nil"/>
                              <w:right w:val="nil"/>
                            </w:tcBorders>
                            <w:shd w:val="clear" w:color="000000" w:fill="F0F0DC"/>
                            <w:vAlign w:val="bottom"/>
                            <w:hideMark/>
                          </w:tcPr>
                          <w:p w14:paraId="37447FB0"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Dec-31-2021</w:t>
                            </w:r>
                          </w:p>
                        </w:tc>
                        <w:tc>
                          <w:tcPr>
                            <w:tcW w:w="549" w:type="pct"/>
                            <w:tcBorders>
                              <w:top w:val="nil"/>
                              <w:left w:val="nil"/>
                              <w:bottom w:val="nil"/>
                              <w:right w:val="nil"/>
                            </w:tcBorders>
                            <w:shd w:val="clear" w:color="000000" w:fill="F0F0DC"/>
                            <w:vAlign w:val="bottom"/>
                            <w:hideMark/>
                          </w:tcPr>
                          <w:p w14:paraId="59E35775"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Dec-31-2022</w:t>
                            </w:r>
                          </w:p>
                        </w:tc>
                        <w:tc>
                          <w:tcPr>
                            <w:tcW w:w="551" w:type="pct"/>
                            <w:tcBorders>
                              <w:top w:val="nil"/>
                              <w:left w:val="nil"/>
                              <w:bottom w:val="nil"/>
                              <w:right w:val="nil"/>
                            </w:tcBorders>
                            <w:shd w:val="clear" w:color="000000" w:fill="F0F0DC"/>
                            <w:vAlign w:val="bottom"/>
                            <w:hideMark/>
                          </w:tcPr>
                          <w:p w14:paraId="019EF927"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Dec-31-2023</w:t>
                            </w:r>
                          </w:p>
                        </w:tc>
                        <w:tc>
                          <w:tcPr>
                            <w:tcW w:w="549" w:type="pct"/>
                            <w:tcBorders>
                              <w:top w:val="nil"/>
                              <w:left w:val="nil"/>
                              <w:bottom w:val="nil"/>
                              <w:right w:val="nil"/>
                            </w:tcBorders>
                            <w:shd w:val="clear" w:color="000000" w:fill="F0F0DC"/>
                            <w:vAlign w:val="bottom"/>
                            <w:hideMark/>
                          </w:tcPr>
                          <w:p w14:paraId="4AC8F1E2" w14:textId="77777777" w:rsidR="00A73471" w:rsidRPr="00A73471" w:rsidRDefault="00A73471" w:rsidP="00A73471">
                            <w:pPr>
                              <w:spacing w:after="0" w:line="240" w:lineRule="auto"/>
                              <w:jc w:val="right"/>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12 months</w:t>
                            </w:r>
                            <w:r w:rsidRPr="00A73471">
                              <w:rPr>
                                <w:rFonts w:ascii="Cambria" w:eastAsia="Times New Roman" w:hAnsi="Cambria" w:cs="Arial"/>
                                <w:b/>
                                <w:bCs/>
                                <w:color w:val="000000"/>
                                <w:kern w:val="0"/>
                                <w:sz w:val="14"/>
                                <w:szCs w:val="14"/>
                                <w:lang w:eastAsia="en-IN"/>
                                <w14:ligatures w14:val="none"/>
                              </w:rPr>
                              <w:br/>
                              <w:t>Dec-31-2024</w:t>
                            </w:r>
                          </w:p>
                        </w:tc>
                      </w:tr>
                      <w:tr w:rsidR="00A73471" w:rsidRPr="00A73471" w14:paraId="0EB69CD3" w14:textId="77777777" w:rsidTr="00A73471">
                        <w:trPr>
                          <w:trHeight w:val="204"/>
                        </w:trPr>
                        <w:tc>
                          <w:tcPr>
                            <w:tcW w:w="1704" w:type="pct"/>
                            <w:tcBorders>
                              <w:top w:val="nil"/>
                              <w:left w:val="nil"/>
                              <w:bottom w:val="nil"/>
                              <w:right w:val="nil"/>
                            </w:tcBorders>
                            <w:noWrap/>
                            <w:hideMark/>
                          </w:tcPr>
                          <w:p w14:paraId="4B0B6E6D"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Profitability</w:t>
                            </w:r>
                          </w:p>
                        </w:tc>
                        <w:tc>
                          <w:tcPr>
                            <w:tcW w:w="549" w:type="pct"/>
                            <w:tcBorders>
                              <w:top w:val="nil"/>
                              <w:left w:val="nil"/>
                              <w:bottom w:val="nil"/>
                              <w:right w:val="nil"/>
                            </w:tcBorders>
                            <w:noWrap/>
                            <w:hideMark/>
                          </w:tcPr>
                          <w:p w14:paraId="10983B18"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B1FC5F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4CFB2C3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5ADC0163"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452E10C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34665A8"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C9F82A7" w14:textId="77777777" w:rsidTr="00A73471">
                        <w:trPr>
                          <w:trHeight w:val="204"/>
                        </w:trPr>
                        <w:tc>
                          <w:tcPr>
                            <w:tcW w:w="1704" w:type="pct"/>
                            <w:tcBorders>
                              <w:top w:val="nil"/>
                              <w:left w:val="nil"/>
                              <w:bottom w:val="nil"/>
                              <w:right w:val="nil"/>
                            </w:tcBorders>
                            <w:noWrap/>
                            <w:hideMark/>
                          </w:tcPr>
                          <w:p w14:paraId="0EAB066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Assets %</w:t>
                            </w:r>
                          </w:p>
                        </w:tc>
                        <w:tc>
                          <w:tcPr>
                            <w:tcW w:w="549" w:type="pct"/>
                            <w:tcBorders>
                              <w:top w:val="nil"/>
                              <w:left w:val="nil"/>
                              <w:bottom w:val="nil"/>
                              <w:right w:val="nil"/>
                            </w:tcBorders>
                            <w:hideMark/>
                          </w:tcPr>
                          <w:p w14:paraId="52203B6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3994F1C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c>
                          <w:tcPr>
                            <w:tcW w:w="549" w:type="pct"/>
                            <w:tcBorders>
                              <w:top w:val="nil"/>
                              <w:left w:val="nil"/>
                              <w:bottom w:val="nil"/>
                              <w:right w:val="nil"/>
                            </w:tcBorders>
                            <w:hideMark/>
                          </w:tcPr>
                          <w:p w14:paraId="220B70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49" w:type="pct"/>
                            <w:tcBorders>
                              <w:top w:val="nil"/>
                              <w:left w:val="nil"/>
                              <w:bottom w:val="nil"/>
                              <w:right w:val="nil"/>
                            </w:tcBorders>
                            <w:hideMark/>
                          </w:tcPr>
                          <w:p w14:paraId="2BE9993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c>
                          <w:tcPr>
                            <w:tcW w:w="551" w:type="pct"/>
                            <w:tcBorders>
                              <w:top w:val="nil"/>
                              <w:left w:val="nil"/>
                              <w:bottom w:val="nil"/>
                              <w:right w:val="nil"/>
                            </w:tcBorders>
                            <w:hideMark/>
                          </w:tcPr>
                          <w:p w14:paraId="3BA8354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2.5% </w:t>
                            </w:r>
                          </w:p>
                        </w:tc>
                        <w:tc>
                          <w:tcPr>
                            <w:tcW w:w="549" w:type="pct"/>
                            <w:tcBorders>
                              <w:top w:val="nil"/>
                              <w:left w:val="nil"/>
                              <w:bottom w:val="nil"/>
                              <w:right w:val="nil"/>
                            </w:tcBorders>
                            <w:hideMark/>
                          </w:tcPr>
                          <w:p w14:paraId="3F103A7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2.4% </w:t>
                            </w:r>
                          </w:p>
                        </w:tc>
                      </w:tr>
                      <w:tr w:rsidR="00A73471" w:rsidRPr="00A73471" w14:paraId="49EA5FBE" w14:textId="77777777" w:rsidTr="00A73471">
                        <w:trPr>
                          <w:trHeight w:val="204"/>
                        </w:trPr>
                        <w:tc>
                          <w:tcPr>
                            <w:tcW w:w="1704" w:type="pct"/>
                            <w:tcBorders>
                              <w:top w:val="nil"/>
                              <w:left w:val="nil"/>
                              <w:bottom w:val="nil"/>
                              <w:right w:val="nil"/>
                            </w:tcBorders>
                            <w:noWrap/>
                            <w:hideMark/>
                          </w:tcPr>
                          <w:p w14:paraId="3E642CF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Capital %</w:t>
                            </w:r>
                          </w:p>
                        </w:tc>
                        <w:tc>
                          <w:tcPr>
                            <w:tcW w:w="549" w:type="pct"/>
                            <w:tcBorders>
                              <w:top w:val="nil"/>
                              <w:left w:val="nil"/>
                              <w:bottom w:val="nil"/>
                              <w:right w:val="nil"/>
                            </w:tcBorders>
                            <w:hideMark/>
                          </w:tcPr>
                          <w:p w14:paraId="241CDF2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02A9F7E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4D98CBE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49" w:type="pct"/>
                            <w:tcBorders>
                              <w:top w:val="nil"/>
                              <w:left w:val="nil"/>
                              <w:bottom w:val="nil"/>
                              <w:right w:val="nil"/>
                            </w:tcBorders>
                            <w:hideMark/>
                          </w:tcPr>
                          <w:p w14:paraId="79D385C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51" w:type="pct"/>
                            <w:tcBorders>
                              <w:top w:val="nil"/>
                              <w:left w:val="nil"/>
                              <w:bottom w:val="nil"/>
                              <w:right w:val="nil"/>
                            </w:tcBorders>
                            <w:hideMark/>
                          </w:tcPr>
                          <w:p w14:paraId="42C130B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4.3% </w:t>
                            </w:r>
                          </w:p>
                        </w:tc>
                        <w:tc>
                          <w:tcPr>
                            <w:tcW w:w="549" w:type="pct"/>
                            <w:tcBorders>
                              <w:top w:val="nil"/>
                              <w:left w:val="nil"/>
                              <w:bottom w:val="nil"/>
                              <w:right w:val="nil"/>
                            </w:tcBorders>
                            <w:hideMark/>
                          </w:tcPr>
                          <w:p w14:paraId="0876A02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 </w:t>
                            </w:r>
                          </w:p>
                        </w:tc>
                      </w:tr>
                      <w:tr w:rsidR="00A73471" w:rsidRPr="00A73471" w14:paraId="2B379DFF" w14:textId="77777777" w:rsidTr="00A73471">
                        <w:trPr>
                          <w:trHeight w:val="204"/>
                        </w:trPr>
                        <w:tc>
                          <w:tcPr>
                            <w:tcW w:w="1704" w:type="pct"/>
                            <w:tcBorders>
                              <w:top w:val="nil"/>
                              <w:left w:val="nil"/>
                              <w:bottom w:val="nil"/>
                              <w:right w:val="nil"/>
                            </w:tcBorders>
                            <w:noWrap/>
                            <w:hideMark/>
                          </w:tcPr>
                          <w:p w14:paraId="3F67CD9F"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Equity %</w:t>
                            </w:r>
                          </w:p>
                        </w:tc>
                        <w:tc>
                          <w:tcPr>
                            <w:tcW w:w="549" w:type="pct"/>
                            <w:tcBorders>
                              <w:top w:val="nil"/>
                              <w:left w:val="nil"/>
                              <w:bottom w:val="nil"/>
                              <w:right w:val="nil"/>
                            </w:tcBorders>
                            <w:hideMark/>
                          </w:tcPr>
                          <w:p w14:paraId="0C481F3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 </w:t>
                            </w:r>
                          </w:p>
                        </w:tc>
                        <w:tc>
                          <w:tcPr>
                            <w:tcW w:w="549" w:type="pct"/>
                            <w:tcBorders>
                              <w:top w:val="nil"/>
                              <w:left w:val="nil"/>
                              <w:bottom w:val="nil"/>
                              <w:right w:val="nil"/>
                            </w:tcBorders>
                            <w:hideMark/>
                          </w:tcPr>
                          <w:p w14:paraId="45E1206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7.3% </w:t>
                            </w:r>
                          </w:p>
                        </w:tc>
                        <w:tc>
                          <w:tcPr>
                            <w:tcW w:w="549" w:type="pct"/>
                            <w:tcBorders>
                              <w:top w:val="nil"/>
                              <w:left w:val="nil"/>
                              <w:bottom w:val="nil"/>
                              <w:right w:val="nil"/>
                            </w:tcBorders>
                            <w:hideMark/>
                          </w:tcPr>
                          <w:p w14:paraId="68A59A9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10.3% </w:t>
                            </w:r>
                          </w:p>
                        </w:tc>
                        <w:tc>
                          <w:tcPr>
                            <w:tcW w:w="549" w:type="pct"/>
                            <w:tcBorders>
                              <w:top w:val="nil"/>
                              <w:left w:val="nil"/>
                              <w:bottom w:val="nil"/>
                              <w:right w:val="nil"/>
                            </w:tcBorders>
                            <w:hideMark/>
                          </w:tcPr>
                          <w:p w14:paraId="3429488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12.5% </w:t>
                            </w:r>
                          </w:p>
                        </w:tc>
                        <w:tc>
                          <w:tcPr>
                            <w:tcW w:w="551" w:type="pct"/>
                            <w:tcBorders>
                              <w:top w:val="nil"/>
                              <w:left w:val="nil"/>
                              <w:bottom w:val="nil"/>
                              <w:right w:val="nil"/>
                            </w:tcBorders>
                            <w:hideMark/>
                          </w:tcPr>
                          <w:p w14:paraId="2ED07E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6.8% </w:t>
                            </w:r>
                          </w:p>
                        </w:tc>
                        <w:tc>
                          <w:tcPr>
                            <w:tcW w:w="549" w:type="pct"/>
                            <w:tcBorders>
                              <w:top w:val="nil"/>
                              <w:left w:val="nil"/>
                              <w:bottom w:val="nil"/>
                              <w:right w:val="nil"/>
                            </w:tcBorders>
                            <w:hideMark/>
                          </w:tcPr>
                          <w:p w14:paraId="0FA0E9D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6.1% </w:t>
                            </w:r>
                          </w:p>
                        </w:tc>
                      </w:tr>
                      <w:tr w:rsidR="00A73471" w:rsidRPr="00A73471" w14:paraId="55BC1804" w14:textId="77777777" w:rsidTr="00A73471">
                        <w:trPr>
                          <w:trHeight w:val="204"/>
                        </w:trPr>
                        <w:tc>
                          <w:tcPr>
                            <w:tcW w:w="1704" w:type="pct"/>
                            <w:tcBorders>
                              <w:top w:val="nil"/>
                              <w:left w:val="nil"/>
                              <w:bottom w:val="nil"/>
                              <w:right w:val="nil"/>
                            </w:tcBorders>
                            <w:noWrap/>
                            <w:hideMark/>
                          </w:tcPr>
                          <w:p w14:paraId="0FB4FEA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Return on Common Equity %</w:t>
                            </w:r>
                          </w:p>
                        </w:tc>
                        <w:tc>
                          <w:tcPr>
                            <w:tcW w:w="549" w:type="pct"/>
                            <w:tcBorders>
                              <w:top w:val="nil"/>
                              <w:left w:val="nil"/>
                              <w:bottom w:val="nil"/>
                              <w:right w:val="nil"/>
                            </w:tcBorders>
                            <w:hideMark/>
                          </w:tcPr>
                          <w:p w14:paraId="2D9A1D4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49" w:type="pct"/>
                            <w:tcBorders>
                              <w:top w:val="nil"/>
                              <w:left w:val="nil"/>
                              <w:bottom w:val="nil"/>
                              <w:right w:val="nil"/>
                            </w:tcBorders>
                            <w:hideMark/>
                          </w:tcPr>
                          <w:p w14:paraId="0C628AC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6.6% </w:t>
                            </w:r>
                          </w:p>
                        </w:tc>
                        <w:tc>
                          <w:tcPr>
                            <w:tcW w:w="549" w:type="pct"/>
                            <w:tcBorders>
                              <w:top w:val="nil"/>
                              <w:left w:val="nil"/>
                              <w:bottom w:val="nil"/>
                              <w:right w:val="nil"/>
                            </w:tcBorders>
                            <w:hideMark/>
                          </w:tcPr>
                          <w:p w14:paraId="3B73E26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9.8% </w:t>
                            </w:r>
                          </w:p>
                        </w:tc>
                        <w:tc>
                          <w:tcPr>
                            <w:tcW w:w="549" w:type="pct"/>
                            <w:tcBorders>
                              <w:top w:val="nil"/>
                              <w:left w:val="nil"/>
                              <w:bottom w:val="nil"/>
                              <w:right w:val="nil"/>
                            </w:tcBorders>
                            <w:hideMark/>
                          </w:tcPr>
                          <w:p w14:paraId="67C103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12.8% </w:t>
                            </w:r>
                          </w:p>
                        </w:tc>
                        <w:tc>
                          <w:tcPr>
                            <w:tcW w:w="551" w:type="pct"/>
                            <w:tcBorders>
                              <w:top w:val="nil"/>
                              <w:left w:val="nil"/>
                              <w:bottom w:val="nil"/>
                              <w:right w:val="nil"/>
                            </w:tcBorders>
                            <w:hideMark/>
                          </w:tcPr>
                          <w:p w14:paraId="72A4927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8.2% </w:t>
                            </w:r>
                          </w:p>
                        </w:tc>
                        <w:tc>
                          <w:tcPr>
                            <w:tcW w:w="549" w:type="pct"/>
                            <w:tcBorders>
                              <w:top w:val="nil"/>
                              <w:left w:val="nil"/>
                              <w:bottom w:val="nil"/>
                              <w:right w:val="nil"/>
                            </w:tcBorders>
                            <w:hideMark/>
                          </w:tcPr>
                          <w:p w14:paraId="2E92EDD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6.5% </w:t>
                            </w:r>
                          </w:p>
                        </w:tc>
                      </w:tr>
                      <w:tr w:rsidR="00A73471" w:rsidRPr="00A73471" w14:paraId="1D471EF4" w14:textId="77777777" w:rsidTr="00A73471">
                        <w:trPr>
                          <w:trHeight w:val="204"/>
                        </w:trPr>
                        <w:tc>
                          <w:tcPr>
                            <w:tcW w:w="1704" w:type="pct"/>
                            <w:tcBorders>
                              <w:top w:val="nil"/>
                              <w:left w:val="nil"/>
                              <w:bottom w:val="nil"/>
                              <w:right w:val="nil"/>
                            </w:tcBorders>
                            <w:noWrap/>
                            <w:hideMark/>
                          </w:tcPr>
                          <w:p w14:paraId="2BF23E67"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Margin Analysis</w:t>
                            </w:r>
                          </w:p>
                        </w:tc>
                        <w:tc>
                          <w:tcPr>
                            <w:tcW w:w="549" w:type="pct"/>
                            <w:tcBorders>
                              <w:top w:val="nil"/>
                              <w:left w:val="nil"/>
                              <w:bottom w:val="nil"/>
                              <w:right w:val="nil"/>
                            </w:tcBorders>
                            <w:noWrap/>
                            <w:hideMark/>
                          </w:tcPr>
                          <w:p w14:paraId="0750ACF2"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D0763E1"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5F8F8FC5"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218B5B0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7A2FC294"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54899F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E6D3BDE" w14:textId="77777777" w:rsidTr="00A73471">
                        <w:trPr>
                          <w:trHeight w:val="204"/>
                        </w:trPr>
                        <w:tc>
                          <w:tcPr>
                            <w:tcW w:w="1704" w:type="pct"/>
                            <w:tcBorders>
                              <w:top w:val="nil"/>
                              <w:left w:val="nil"/>
                              <w:bottom w:val="nil"/>
                              <w:right w:val="nil"/>
                            </w:tcBorders>
                            <w:noWrap/>
                            <w:hideMark/>
                          </w:tcPr>
                          <w:p w14:paraId="4C7B2D0A"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Gross Margin %</w:t>
                            </w:r>
                          </w:p>
                        </w:tc>
                        <w:tc>
                          <w:tcPr>
                            <w:tcW w:w="549" w:type="pct"/>
                            <w:tcBorders>
                              <w:top w:val="nil"/>
                              <w:left w:val="nil"/>
                              <w:bottom w:val="nil"/>
                              <w:right w:val="nil"/>
                            </w:tcBorders>
                            <w:hideMark/>
                          </w:tcPr>
                          <w:p w14:paraId="2C7BAD8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20.5% </w:t>
                            </w:r>
                          </w:p>
                        </w:tc>
                        <w:tc>
                          <w:tcPr>
                            <w:tcW w:w="549" w:type="pct"/>
                            <w:tcBorders>
                              <w:top w:val="nil"/>
                              <w:left w:val="nil"/>
                              <w:bottom w:val="nil"/>
                              <w:right w:val="nil"/>
                            </w:tcBorders>
                            <w:hideMark/>
                          </w:tcPr>
                          <w:p w14:paraId="1FBCE62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20.2% </w:t>
                            </w:r>
                          </w:p>
                        </w:tc>
                        <w:tc>
                          <w:tcPr>
                            <w:tcW w:w="549" w:type="pct"/>
                            <w:tcBorders>
                              <w:top w:val="nil"/>
                              <w:left w:val="nil"/>
                              <w:bottom w:val="nil"/>
                              <w:right w:val="nil"/>
                            </w:tcBorders>
                            <w:hideMark/>
                          </w:tcPr>
                          <w:p w14:paraId="2CD6B61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19.7% </w:t>
                            </w:r>
                          </w:p>
                        </w:tc>
                        <w:tc>
                          <w:tcPr>
                            <w:tcW w:w="549" w:type="pct"/>
                            <w:tcBorders>
                              <w:top w:val="nil"/>
                              <w:left w:val="nil"/>
                              <w:bottom w:val="nil"/>
                              <w:right w:val="nil"/>
                            </w:tcBorders>
                            <w:hideMark/>
                          </w:tcPr>
                          <w:p w14:paraId="4414929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18.5% </w:t>
                            </w:r>
                          </w:p>
                        </w:tc>
                        <w:tc>
                          <w:tcPr>
                            <w:tcW w:w="551" w:type="pct"/>
                            <w:tcBorders>
                              <w:top w:val="nil"/>
                              <w:left w:val="nil"/>
                              <w:bottom w:val="nil"/>
                              <w:right w:val="nil"/>
                            </w:tcBorders>
                            <w:hideMark/>
                          </w:tcPr>
                          <w:p w14:paraId="64482C2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18.5% </w:t>
                            </w:r>
                          </w:p>
                        </w:tc>
                        <w:tc>
                          <w:tcPr>
                            <w:tcW w:w="549" w:type="pct"/>
                            <w:tcBorders>
                              <w:top w:val="nil"/>
                              <w:left w:val="nil"/>
                              <w:bottom w:val="nil"/>
                              <w:right w:val="nil"/>
                            </w:tcBorders>
                            <w:hideMark/>
                          </w:tcPr>
                          <w:p w14:paraId="3FD1CB3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18.3% </w:t>
                            </w:r>
                          </w:p>
                        </w:tc>
                      </w:tr>
                      <w:tr w:rsidR="00A73471" w:rsidRPr="00A73471" w14:paraId="1B817BE1" w14:textId="77777777" w:rsidTr="00A73471">
                        <w:trPr>
                          <w:trHeight w:val="204"/>
                        </w:trPr>
                        <w:tc>
                          <w:tcPr>
                            <w:tcW w:w="1704" w:type="pct"/>
                            <w:tcBorders>
                              <w:top w:val="nil"/>
                              <w:left w:val="nil"/>
                              <w:bottom w:val="nil"/>
                              <w:right w:val="nil"/>
                            </w:tcBorders>
                            <w:noWrap/>
                            <w:hideMark/>
                          </w:tcPr>
                          <w:p w14:paraId="6F9E936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SG&amp;A Margin %</w:t>
                            </w:r>
                          </w:p>
                        </w:tc>
                        <w:tc>
                          <w:tcPr>
                            <w:tcW w:w="549" w:type="pct"/>
                            <w:tcBorders>
                              <w:top w:val="nil"/>
                              <w:left w:val="nil"/>
                              <w:bottom w:val="nil"/>
                              <w:right w:val="nil"/>
                            </w:tcBorders>
                            <w:hideMark/>
                          </w:tcPr>
                          <w:p w14:paraId="3189DC0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14.5% </w:t>
                            </w:r>
                          </w:p>
                        </w:tc>
                        <w:tc>
                          <w:tcPr>
                            <w:tcW w:w="549" w:type="pct"/>
                            <w:tcBorders>
                              <w:top w:val="nil"/>
                              <w:left w:val="nil"/>
                              <w:bottom w:val="nil"/>
                              <w:right w:val="nil"/>
                            </w:tcBorders>
                            <w:hideMark/>
                          </w:tcPr>
                          <w:p w14:paraId="10CA5A3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13.9% </w:t>
                            </w:r>
                          </w:p>
                        </w:tc>
                        <w:tc>
                          <w:tcPr>
                            <w:tcW w:w="549" w:type="pct"/>
                            <w:tcBorders>
                              <w:top w:val="nil"/>
                              <w:left w:val="nil"/>
                              <w:bottom w:val="nil"/>
                              <w:right w:val="nil"/>
                            </w:tcBorders>
                            <w:hideMark/>
                          </w:tcPr>
                          <w:p w14:paraId="3DF31AB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13.5% </w:t>
                            </w:r>
                          </w:p>
                        </w:tc>
                        <w:tc>
                          <w:tcPr>
                            <w:tcW w:w="549" w:type="pct"/>
                            <w:tcBorders>
                              <w:top w:val="nil"/>
                              <w:left w:val="nil"/>
                              <w:bottom w:val="nil"/>
                              <w:right w:val="nil"/>
                            </w:tcBorders>
                            <w:hideMark/>
                          </w:tcPr>
                          <w:p w14:paraId="32549D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12.9% </w:t>
                            </w:r>
                          </w:p>
                        </w:tc>
                        <w:tc>
                          <w:tcPr>
                            <w:tcW w:w="551" w:type="pct"/>
                            <w:tcBorders>
                              <w:top w:val="nil"/>
                              <w:left w:val="nil"/>
                              <w:bottom w:val="nil"/>
                              <w:right w:val="nil"/>
                            </w:tcBorders>
                            <w:hideMark/>
                          </w:tcPr>
                          <w:p w14:paraId="731F624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13.1% </w:t>
                            </w:r>
                          </w:p>
                        </w:tc>
                        <w:tc>
                          <w:tcPr>
                            <w:tcW w:w="549" w:type="pct"/>
                            <w:tcBorders>
                              <w:top w:val="nil"/>
                              <w:left w:val="nil"/>
                              <w:bottom w:val="nil"/>
                              <w:right w:val="nil"/>
                            </w:tcBorders>
                            <w:hideMark/>
                          </w:tcPr>
                          <w:p w14:paraId="160A12D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12.9% </w:t>
                            </w:r>
                          </w:p>
                        </w:tc>
                      </w:tr>
                      <w:tr w:rsidR="00A73471" w:rsidRPr="00A73471" w14:paraId="6340265A" w14:textId="77777777" w:rsidTr="00A73471">
                        <w:trPr>
                          <w:trHeight w:val="204"/>
                        </w:trPr>
                        <w:tc>
                          <w:tcPr>
                            <w:tcW w:w="1704" w:type="pct"/>
                            <w:tcBorders>
                              <w:top w:val="nil"/>
                              <w:left w:val="nil"/>
                              <w:bottom w:val="nil"/>
                              <w:right w:val="nil"/>
                            </w:tcBorders>
                            <w:noWrap/>
                            <w:hideMark/>
                          </w:tcPr>
                          <w:p w14:paraId="517A1BF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 Margin %</w:t>
                            </w:r>
                          </w:p>
                        </w:tc>
                        <w:tc>
                          <w:tcPr>
                            <w:tcW w:w="549" w:type="pct"/>
                            <w:tcBorders>
                              <w:top w:val="nil"/>
                              <w:left w:val="nil"/>
                              <w:bottom w:val="nil"/>
                              <w:right w:val="nil"/>
                            </w:tcBorders>
                            <w:hideMark/>
                          </w:tcPr>
                          <w:p w14:paraId="548E9E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7E6A408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4.9% </w:t>
                            </w:r>
                          </w:p>
                        </w:tc>
                        <w:tc>
                          <w:tcPr>
                            <w:tcW w:w="549" w:type="pct"/>
                            <w:tcBorders>
                              <w:top w:val="nil"/>
                              <w:left w:val="nil"/>
                              <w:bottom w:val="nil"/>
                              <w:right w:val="nil"/>
                            </w:tcBorders>
                            <w:hideMark/>
                          </w:tcPr>
                          <w:p w14:paraId="4D3AEB5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4.7% </w:t>
                            </w:r>
                          </w:p>
                        </w:tc>
                        <w:tc>
                          <w:tcPr>
                            <w:tcW w:w="549" w:type="pct"/>
                            <w:tcBorders>
                              <w:top w:val="nil"/>
                              <w:left w:val="nil"/>
                              <w:bottom w:val="nil"/>
                              <w:right w:val="nil"/>
                            </w:tcBorders>
                            <w:hideMark/>
                          </w:tcPr>
                          <w:p w14:paraId="6863302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4.5% </w:t>
                            </w:r>
                          </w:p>
                        </w:tc>
                        <w:tc>
                          <w:tcPr>
                            <w:tcW w:w="551" w:type="pct"/>
                            <w:tcBorders>
                              <w:top w:val="nil"/>
                              <w:left w:val="nil"/>
                              <w:bottom w:val="nil"/>
                              <w:right w:val="nil"/>
                            </w:tcBorders>
                            <w:hideMark/>
                          </w:tcPr>
                          <w:p w14:paraId="403B80A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4.3% </w:t>
                            </w:r>
                          </w:p>
                        </w:tc>
                        <w:tc>
                          <w:tcPr>
                            <w:tcW w:w="549" w:type="pct"/>
                            <w:tcBorders>
                              <w:top w:val="nil"/>
                              <w:left w:val="nil"/>
                              <w:bottom w:val="nil"/>
                              <w:right w:val="nil"/>
                            </w:tcBorders>
                            <w:hideMark/>
                          </w:tcPr>
                          <w:p w14:paraId="45C2F50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4.2% </w:t>
                            </w:r>
                          </w:p>
                        </w:tc>
                      </w:tr>
                      <w:tr w:rsidR="00A73471" w:rsidRPr="00A73471" w14:paraId="15BF94AE" w14:textId="77777777" w:rsidTr="00A73471">
                        <w:trPr>
                          <w:trHeight w:val="204"/>
                        </w:trPr>
                        <w:tc>
                          <w:tcPr>
                            <w:tcW w:w="1704" w:type="pct"/>
                            <w:tcBorders>
                              <w:top w:val="nil"/>
                              <w:left w:val="nil"/>
                              <w:bottom w:val="nil"/>
                              <w:right w:val="nil"/>
                            </w:tcBorders>
                            <w:noWrap/>
                            <w:hideMark/>
                          </w:tcPr>
                          <w:p w14:paraId="2F0C25BC"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EBITA Margin %</w:t>
                            </w:r>
                          </w:p>
                        </w:tc>
                        <w:tc>
                          <w:tcPr>
                            <w:tcW w:w="549" w:type="pct"/>
                            <w:tcBorders>
                              <w:top w:val="nil"/>
                              <w:left w:val="nil"/>
                              <w:bottom w:val="nil"/>
                              <w:right w:val="nil"/>
                            </w:tcBorders>
                            <w:hideMark/>
                          </w:tcPr>
                          <w:p w14:paraId="00106B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10F3FFB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 </w:t>
                            </w:r>
                          </w:p>
                        </w:tc>
                        <w:tc>
                          <w:tcPr>
                            <w:tcW w:w="549" w:type="pct"/>
                            <w:tcBorders>
                              <w:top w:val="nil"/>
                              <w:left w:val="nil"/>
                              <w:bottom w:val="nil"/>
                              <w:right w:val="nil"/>
                            </w:tcBorders>
                            <w:hideMark/>
                          </w:tcPr>
                          <w:p w14:paraId="7BA4FD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 </w:t>
                            </w:r>
                          </w:p>
                        </w:tc>
                        <w:tc>
                          <w:tcPr>
                            <w:tcW w:w="549" w:type="pct"/>
                            <w:tcBorders>
                              <w:top w:val="nil"/>
                              <w:left w:val="nil"/>
                              <w:bottom w:val="nil"/>
                              <w:right w:val="nil"/>
                            </w:tcBorders>
                            <w:hideMark/>
                          </w:tcPr>
                          <w:p w14:paraId="039EC51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3.2% </w:t>
                            </w:r>
                          </w:p>
                        </w:tc>
                        <w:tc>
                          <w:tcPr>
                            <w:tcW w:w="551" w:type="pct"/>
                            <w:tcBorders>
                              <w:top w:val="nil"/>
                              <w:left w:val="nil"/>
                              <w:bottom w:val="nil"/>
                              <w:right w:val="nil"/>
                            </w:tcBorders>
                            <w:hideMark/>
                          </w:tcPr>
                          <w:p w14:paraId="7CFC72E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49" w:type="pct"/>
                            <w:tcBorders>
                              <w:top w:val="nil"/>
                              <w:left w:val="nil"/>
                              <w:bottom w:val="nil"/>
                              <w:right w:val="nil"/>
                            </w:tcBorders>
                            <w:hideMark/>
                          </w:tcPr>
                          <w:p w14:paraId="7BD0D67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r>
                      <w:tr w:rsidR="00A73471" w:rsidRPr="00A73471" w14:paraId="1534576E" w14:textId="77777777" w:rsidTr="00A73471">
                        <w:trPr>
                          <w:trHeight w:val="204"/>
                        </w:trPr>
                        <w:tc>
                          <w:tcPr>
                            <w:tcW w:w="1704" w:type="pct"/>
                            <w:tcBorders>
                              <w:top w:val="nil"/>
                              <w:left w:val="nil"/>
                              <w:bottom w:val="nil"/>
                              <w:right w:val="nil"/>
                            </w:tcBorders>
                            <w:noWrap/>
                            <w:hideMark/>
                          </w:tcPr>
                          <w:p w14:paraId="71B792C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 Margin %</w:t>
                            </w:r>
                          </w:p>
                        </w:tc>
                        <w:tc>
                          <w:tcPr>
                            <w:tcW w:w="549" w:type="pct"/>
                            <w:tcBorders>
                              <w:top w:val="nil"/>
                              <w:left w:val="nil"/>
                              <w:bottom w:val="nil"/>
                              <w:right w:val="nil"/>
                            </w:tcBorders>
                            <w:hideMark/>
                          </w:tcPr>
                          <w:p w14:paraId="2A86C5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2.8% </w:t>
                            </w:r>
                          </w:p>
                        </w:tc>
                        <w:tc>
                          <w:tcPr>
                            <w:tcW w:w="549" w:type="pct"/>
                            <w:tcBorders>
                              <w:top w:val="nil"/>
                              <w:left w:val="nil"/>
                              <w:bottom w:val="nil"/>
                              <w:right w:val="nil"/>
                            </w:tcBorders>
                            <w:hideMark/>
                          </w:tcPr>
                          <w:p w14:paraId="0F590D6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3.0% </w:t>
                            </w:r>
                          </w:p>
                        </w:tc>
                        <w:tc>
                          <w:tcPr>
                            <w:tcW w:w="549" w:type="pct"/>
                            <w:tcBorders>
                              <w:top w:val="nil"/>
                              <w:left w:val="nil"/>
                              <w:bottom w:val="nil"/>
                              <w:right w:val="nil"/>
                            </w:tcBorders>
                            <w:hideMark/>
                          </w:tcPr>
                          <w:p w14:paraId="666406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2661080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2.9% </w:t>
                            </w:r>
                          </w:p>
                        </w:tc>
                        <w:tc>
                          <w:tcPr>
                            <w:tcW w:w="551" w:type="pct"/>
                            <w:tcBorders>
                              <w:top w:val="nil"/>
                              <w:left w:val="nil"/>
                              <w:bottom w:val="nil"/>
                              <w:right w:val="nil"/>
                            </w:tcBorders>
                            <w:hideMark/>
                          </w:tcPr>
                          <w:p w14:paraId="737D743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2EE152D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2.5% </w:t>
                            </w:r>
                          </w:p>
                        </w:tc>
                      </w:tr>
                      <w:tr w:rsidR="00A73471" w:rsidRPr="00A73471" w14:paraId="20659A72" w14:textId="77777777" w:rsidTr="00A73471">
                        <w:trPr>
                          <w:trHeight w:val="204"/>
                        </w:trPr>
                        <w:tc>
                          <w:tcPr>
                            <w:tcW w:w="1704" w:type="pct"/>
                            <w:tcBorders>
                              <w:top w:val="nil"/>
                              <w:left w:val="nil"/>
                              <w:bottom w:val="nil"/>
                              <w:right w:val="nil"/>
                            </w:tcBorders>
                            <w:noWrap/>
                            <w:hideMark/>
                          </w:tcPr>
                          <w:p w14:paraId="140ACF76"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Earnings from Cont. Ops Margin %</w:t>
                            </w:r>
                          </w:p>
                        </w:tc>
                        <w:tc>
                          <w:tcPr>
                            <w:tcW w:w="549" w:type="pct"/>
                            <w:tcBorders>
                              <w:top w:val="nil"/>
                              <w:left w:val="nil"/>
                              <w:bottom w:val="nil"/>
                              <w:right w:val="nil"/>
                            </w:tcBorders>
                            <w:hideMark/>
                          </w:tcPr>
                          <w:p w14:paraId="7DC593B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49" w:type="pct"/>
                            <w:tcBorders>
                              <w:top w:val="nil"/>
                              <w:left w:val="nil"/>
                              <w:bottom w:val="nil"/>
                              <w:right w:val="nil"/>
                            </w:tcBorders>
                            <w:hideMark/>
                          </w:tcPr>
                          <w:p w14:paraId="1FBFE57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1FD3AD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 </w:t>
                            </w:r>
                          </w:p>
                        </w:tc>
                        <w:tc>
                          <w:tcPr>
                            <w:tcW w:w="549" w:type="pct"/>
                            <w:tcBorders>
                              <w:top w:val="nil"/>
                              <w:left w:val="nil"/>
                              <w:bottom w:val="nil"/>
                              <w:right w:val="nil"/>
                            </w:tcBorders>
                            <w:hideMark/>
                          </w:tcPr>
                          <w:p w14:paraId="16AF01D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1.9% </w:t>
                            </w:r>
                          </w:p>
                        </w:tc>
                        <w:tc>
                          <w:tcPr>
                            <w:tcW w:w="551" w:type="pct"/>
                            <w:tcBorders>
                              <w:top w:val="nil"/>
                              <w:left w:val="nil"/>
                              <w:bottom w:val="nil"/>
                              <w:right w:val="nil"/>
                            </w:tcBorders>
                            <w:hideMark/>
                          </w:tcPr>
                          <w:p w14:paraId="52E7216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1.1% </w:t>
                            </w:r>
                          </w:p>
                        </w:tc>
                        <w:tc>
                          <w:tcPr>
                            <w:tcW w:w="549" w:type="pct"/>
                            <w:tcBorders>
                              <w:top w:val="nil"/>
                              <w:left w:val="nil"/>
                              <w:bottom w:val="nil"/>
                              <w:right w:val="nil"/>
                            </w:tcBorders>
                            <w:hideMark/>
                          </w:tcPr>
                          <w:p w14:paraId="07FA178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r>
                      <w:tr w:rsidR="00A73471" w:rsidRPr="00A73471" w14:paraId="7E52F1A0" w14:textId="77777777" w:rsidTr="00A73471">
                        <w:trPr>
                          <w:trHeight w:val="204"/>
                        </w:trPr>
                        <w:tc>
                          <w:tcPr>
                            <w:tcW w:w="1704" w:type="pct"/>
                            <w:tcBorders>
                              <w:top w:val="nil"/>
                              <w:left w:val="nil"/>
                              <w:bottom w:val="nil"/>
                              <w:right w:val="nil"/>
                            </w:tcBorders>
                            <w:noWrap/>
                            <w:hideMark/>
                          </w:tcPr>
                          <w:p w14:paraId="74E2B95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Income Margin %</w:t>
                            </w:r>
                          </w:p>
                        </w:tc>
                        <w:tc>
                          <w:tcPr>
                            <w:tcW w:w="549" w:type="pct"/>
                            <w:tcBorders>
                              <w:top w:val="nil"/>
                              <w:left w:val="nil"/>
                              <w:bottom w:val="nil"/>
                              <w:right w:val="nil"/>
                            </w:tcBorders>
                            <w:hideMark/>
                          </w:tcPr>
                          <w:p w14:paraId="38EC313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 </w:t>
                            </w:r>
                          </w:p>
                        </w:tc>
                        <w:tc>
                          <w:tcPr>
                            <w:tcW w:w="549" w:type="pct"/>
                            <w:tcBorders>
                              <w:top w:val="nil"/>
                              <w:left w:val="nil"/>
                              <w:bottom w:val="nil"/>
                              <w:right w:val="nil"/>
                            </w:tcBorders>
                            <w:hideMark/>
                          </w:tcPr>
                          <w:p w14:paraId="5828EE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c>
                          <w:tcPr>
                            <w:tcW w:w="549" w:type="pct"/>
                            <w:tcBorders>
                              <w:top w:val="nil"/>
                              <w:left w:val="nil"/>
                              <w:bottom w:val="nil"/>
                              <w:right w:val="nil"/>
                            </w:tcBorders>
                            <w:hideMark/>
                          </w:tcPr>
                          <w:p w14:paraId="35494DA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 </w:t>
                            </w:r>
                          </w:p>
                        </w:tc>
                        <w:tc>
                          <w:tcPr>
                            <w:tcW w:w="549" w:type="pct"/>
                            <w:tcBorders>
                              <w:top w:val="nil"/>
                              <w:left w:val="nil"/>
                              <w:bottom w:val="nil"/>
                              <w:right w:val="nil"/>
                            </w:tcBorders>
                            <w:hideMark/>
                          </w:tcPr>
                          <w:p w14:paraId="58355D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1.6% </w:t>
                            </w:r>
                          </w:p>
                        </w:tc>
                        <w:tc>
                          <w:tcPr>
                            <w:tcW w:w="551" w:type="pct"/>
                            <w:tcBorders>
                              <w:top w:val="nil"/>
                              <w:left w:val="nil"/>
                              <w:bottom w:val="nil"/>
                              <w:right w:val="nil"/>
                            </w:tcBorders>
                            <w:hideMark/>
                          </w:tcPr>
                          <w:p w14:paraId="12633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 </w:t>
                            </w:r>
                          </w:p>
                        </w:tc>
                        <w:tc>
                          <w:tcPr>
                            <w:tcW w:w="549" w:type="pct"/>
                            <w:tcBorders>
                              <w:top w:val="nil"/>
                              <w:left w:val="nil"/>
                              <w:bottom w:val="nil"/>
                              <w:right w:val="nil"/>
                            </w:tcBorders>
                            <w:hideMark/>
                          </w:tcPr>
                          <w:p w14:paraId="04319CA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0.8% </w:t>
                            </w:r>
                          </w:p>
                        </w:tc>
                      </w:tr>
                      <w:tr w:rsidR="00A73471" w:rsidRPr="00A73471" w14:paraId="3B57223A" w14:textId="77777777" w:rsidTr="00A73471">
                        <w:trPr>
                          <w:trHeight w:val="204"/>
                        </w:trPr>
                        <w:tc>
                          <w:tcPr>
                            <w:tcW w:w="1704" w:type="pct"/>
                            <w:tcBorders>
                              <w:top w:val="nil"/>
                              <w:left w:val="nil"/>
                              <w:bottom w:val="nil"/>
                              <w:right w:val="nil"/>
                            </w:tcBorders>
                            <w:noWrap/>
                            <w:hideMark/>
                          </w:tcPr>
                          <w:p w14:paraId="4F0C943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Income Avail. for Common Margin %</w:t>
                            </w:r>
                          </w:p>
                        </w:tc>
                        <w:tc>
                          <w:tcPr>
                            <w:tcW w:w="549" w:type="pct"/>
                            <w:tcBorders>
                              <w:top w:val="nil"/>
                              <w:left w:val="nil"/>
                              <w:bottom w:val="nil"/>
                              <w:right w:val="nil"/>
                            </w:tcBorders>
                            <w:hideMark/>
                          </w:tcPr>
                          <w:p w14:paraId="309EDD0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0.0% </w:t>
                            </w:r>
                          </w:p>
                        </w:tc>
                        <w:tc>
                          <w:tcPr>
                            <w:tcW w:w="549" w:type="pct"/>
                            <w:tcBorders>
                              <w:top w:val="nil"/>
                              <w:left w:val="nil"/>
                              <w:bottom w:val="nil"/>
                              <w:right w:val="nil"/>
                            </w:tcBorders>
                            <w:hideMark/>
                          </w:tcPr>
                          <w:p w14:paraId="5991D6E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0.9% </w:t>
                            </w:r>
                          </w:p>
                        </w:tc>
                        <w:tc>
                          <w:tcPr>
                            <w:tcW w:w="549" w:type="pct"/>
                            <w:tcBorders>
                              <w:top w:val="nil"/>
                              <w:left w:val="nil"/>
                              <w:bottom w:val="nil"/>
                              <w:right w:val="nil"/>
                            </w:tcBorders>
                            <w:hideMark/>
                          </w:tcPr>
                          <w:p w14:paraId="4AEDCD0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1FDE99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 </w:t>
                            </w:r>
                          </w:p>
                        </w:tc>
                        <w:tc>
                          <w:tcPr>
                            <w:tcW w:w="551" w:type="pct"/>
                            <w:tcBorders>
                              <w:top w:val="nil"/>
                              <w:left w:val="nil"/>
                              <w:bottom w:val="nil"/>
                              <w:right w:val="nil"/>
                            </w:tcBorders>
                            <w:hideMark/>
                          </w:tcPr>
                          <w:p w14:paraId="39C4B90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1.1% </w:t>
                            </w:r>
                          </w:p>
                        </w:tc>
                        <w:tc>
                          <w:tcPr>
                            <w:tcW w:w="549" w:type="pct"/>
                            <w:tcBorders>
                              <w:top w:val="nil"/>
                              <w:left w:val="nil"/>
                              <w:bottom w:val="nil"/>
                              <w:right w:val="nil"/>
                            </w:tcBorders>
                            <w:hideMark/>
                          </w:tcPr>
                          <w:p w14:paraId="4AFBDCE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0.8% </w:t>
                            </w:r>
                          </w:p>
                        </w:tc>
                      </w:tr>
                      <w:tr w:rsidR="00A73471" w:rsidRPr="00A73471" w14:paraId="47B0B240" w14:textId="77777777" w:rsidTr="00A73471">
                        <w:trPr>
                          <w:trHeight w:val="204"/>
                        </w:trPr>
                        <w:tc>
                          <w:tcPr>
                            <w:tcW w:w="1704" w:type="pct"/>
                            <w:tcBorders>
                              <w:top w:val="nil"/>
                              <w:left w:val="nil"/>
                              <w:bottom w:val="nil"/>
                              <w:right w:val="nil"/>
                            </w:tcBorders>
                            <w:noWrap/>
                            <w:hideMark/>
                          </w:tcPr>
                          <w:p w14:paraId="18C8D26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Normalized Net Income Margin %</w:t>
                            </w:r>
                          </w:p>
                        </w:tc>
                        <w:tc>
                          <w:tcPr>
                            <w:tcW w:w="549" w:type="pct"/>
                            <w:tcBorders>
                              <w:top w:val="nil"/>
                              <w:left w:val="nil"/>
                              <w:bottom w:val="nil"/>
                              <w:right w:val="nil"/>
                            </w:tcBorders>
                            <w:hideMark/>
                          </w:tcPr>
                          <w:p w14:paraId="6B3C90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0D7721D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 </w:t>
                            </w:r>
                          </w:p>
                        </w:tc>
                        <w:tc>
                          <w:tcPr>
                            <w:tcW w:w="549" w:type="pct"/>
                            <w:tcBorders>
                              <w:top w:val="nil"/>
                              <w:left w:val="nil"/>
                              <w:bottom w:val="nil"/>
                              <w:right w:val="nil"/>
                            </w:tcBorders>
                            <w:hideMark/>
                          </w:tcPr>
                          <w:p w14:paraId="2E595A3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34E6E3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51" w:type="pct"/>
                            <w:tcBorders>
                              <w:top w:val="nil"/>
                              <w:left w:val="nil"/>
                              <w:bottom w:val="nil"/>
                              <w:right w:val="nil"/>
                            </w:tcBorders>
                            <w:hideMark/>
                          </w:tcPr>
                          <w:p w14:paraId="18B3429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300EE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 </w:t>
                            </w:r>
                          </w:p>
                        </w:tc>
                      </w:tr>
                      <w:tr w:rsidR="00A73471" w:rsidRPr="00A73471" w14:paraId="496178BA" w14:textId="77777777" w:rsidTr="00A73471">
                        <w:trPr>
                          <w:trHeight w:val="204"/>
                        </w:trPr>
                        <w:tc>
                          <w:tcPr>
                            <w:tcW w:w="1704" w:type="pct"/>
                            <w:tcBorders>
                              <w:top w:val="nil"/>
                              <w:left w:val="nil"/>
                              <w:bottom w:val="nil"/>
                              <w:right w:val="nil"/>
                            </w:tcBorders>
                            <w:noWrap/>
                            <w:hideMark/>
                          </w:tcPr>
                          <w:p w14:paraId="60B320B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Levered Free Cash Flow Margin %</w:t>
                            </w:r>
                          </w:p>
                        </w:tc>
                        <w:tc>
                          <w:tcPr>
                            <w:tcW w:w="549" w:type="pct"/>
                            <w:tcBorders>
                              <w:top w:val="nil"/>
                              <w:left w:val="nil"/>
                              <w:bottom w:val="nil"/>
                              <w:right w:val="nil"/>
                            </w:tcBorders>
                            <w:hideMark/>
                          </w:tcPr>
                          <w:p w14:paraId="52FAA95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1.2% </w:t>
                            </w:r>
                          </w:p>
                        </w:tc>
                        <w:tc>
                          <w:tcPr>
                            <w:tcW w:w="549" w:type="pct"/>
                            <w:tcBorders>
                              <w:top w:val="nil"/>
                              <w:left w:val="nil"/>
                              <w:bottom w:val="nil"/>
                              <w:right w:val="nil"/>
                            </w:tcBorders>
                            <w:hideMark/>
                          </w:tcPr>
                          <w:p w14:paraId="753ED2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c>
                          <w:tcPr>
                            <w:tcW w:w="549" w:type="pct"/>
                            <w:tcBorders>
                              <w:top w:val="nil"/>
                              <w:left w:val="nil"/>
                              <w:bottom w:val="nil"/>
                              <w:right w:val="nil"/>
                            </w:tcBorders>
                            <w:hideMark/>
                          </w:tcPr>
                          <w:p w14:paraId="06273A4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2.0% </w:t>
                            </w:r>
                          </w:p>
                        </w:tc>
                        <w:tc>
                          <w:tcPr>
                            <w:tcW w:w="549" w:type="pct"/>
                            <w:tcBorders>
                              <w:top w:val="nil"/>
                              <w:left w:val="nil"/>
                              <w:bottom w:val="nil"/>
                              <w:right w:val="nil"/>
                            </w:tcBorders>
                            <w:hideMark/>
                          </w:tcPr>
                          <w:p w14:paraId="29F2C63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(0.3%) </w:t>
                            </w:r>
                          </w:p>
                        </w:tc>
                        <w:tc>
                          <w:tcPr>
                            <w:tcW w:w="551" w:type="pct"/>
                            <w:tcBorders>
                              <w:top w:val="nil"/>
                              <w:left w:val="nil"/>
                              <w:bottom w:val="nil"/>
                              <w:right w:val="nil"/>
                            </w:tcBorders>
                            <w:hideMark/>
                          </w:tcPr>
                          <w:p w14:paraId="61AB672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2.2% </w:t>
                            </w:r>
                          </w:p>
                        </w:tc>
                        <w:tc>
                          <w:tcPr>
                            <w:tcW w:w="549" w:type="pct"/>
                            <w:tcBorders>
                              <w:top w:val="nil"/>
                              <w:left w:val="nil"/>
                              <w:bottom w:val="nil"/>
                              <w:right w:val="nil"/>
                            </w:tcBorders>
                            <w:hideMark/>
                          </w:tcPr>
                          <w:p w14:paraId="07A112F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r>
                      <w:tr w:rsidR="00A73471" w:rsidRPr="00A73471" w14:paraId="3E8BA6F3" w14:textId="77777777" w:rsidTr="00A73471">
                        <w:trPr>
                          <w:trHeight w:val="204"/>
                        </w:trPr>
                        <w:tc>
                          <w:tcPr>
                            <w:tcW w:w="1704" w:type="pct"/>
                            <w:tcBorders>
                              <w:top w:val="nil"/>
                              <w:left w:val="nil"/>
                              <w:bottom w:val="nil"/>
                              <w:right w:val="nil"/>
                            </w:tcBorders>
                            <w:noWrap/>
                            <w:hideMark/>
                          </w:tcPr>
                          <w:p w14:paraId="3B61601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Unlevered Free Cash Flow Margin %</w:t>
                            </w:r>
                          </w:p>
                        </w:tc>
                        <w:tc>
                          <w:tcPr>
                            <w:tcW w:w="549" w:type="pct"/>
                            <w:tcBorders>
                              <w:top w:val="nil"/>
                              <w:left w:val="nil"/>
                              <w:bottom w:val="nil"/>
                              <w:right w:val="nil"/>
                            </w:tcBorders>
                            <w:hideMark/>
                          </w:tcPr>
                          <w:p w14:paraId="21B0617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 </w:t>
                            </w:r>
                          </w:p>
                        </w:tc>
                        <w:tc>
                          <w:tcPr>
                            <w:tcW w:w="549" w:type="pct"/>
                            <w:tcBorders>
                              <w:top w:val="nil"/>
                              <w:left w:val="nil"/>
                              <w:bottom w:val="nil"/>
                              <w:right w:val="nil"/>
                            </w:tcBorders>
                            <w:hideMark/>
                          </w:tcPr>
                          <w:p w14:paraId="06980FE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 </w:t>
                            </w:r>
                          </w:p>
                        </w:tc>
                        <w:tc>
                          <w:tcPr>
                            <w:tcW w:w="549" w:type="pct"/>
                            <w:tcBorders>
                              <w:top w:val="nil"/>
                              <w:left w:val="nil"/>
                              <w:bottom w:val="nil"/>
                              <w:right w:val="nil"/>
                            </w:tcBorders>
                            <w:hideMark/>
                          </w:tcPr>
                          <w:p w14:paraId="12A6426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2.2% </w:t>
                            </w:r>
                          </w:p>
                        </w:tc>
                        <w:tc>
                          <w:tcPr>
                            <w:tcW w:w="549" w:type="pct"/>
                            <w:tcBorders>
                              <w:top w:val="nil"/>
                              <w:left w:val="nil"/>
                              <w:bottom w:val="nil"/>
                              <w:right w:val="nil"/>
                            </w:tcBorders>
                            <w:hideMark/>
                          </w:tcPr>
                          <w:p w14:paraId="0F4DE8B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0.1% </w:t>
                            </w:r>
                          </w:p>
                        </w:tc>
                        <w:tc>
                          <w:tcPr>
                            <w:tcW w:w="551" w:type="pct"/>
                            <w:tcBorders>
                              <w:top w:val="nil"/>
                              <w:left w:val="nil"/>
                              <w:bottom w:val="nil"/>
                              <w:right w:val="nil"/>
                            </w:tcBorders>
                            <w:hideMark/>
                          </w:tcPr>
                          <w:p w14:paraId="3AE6A8E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2.7% </w:t>
                            </w:r>
                          </w:p>
                        </w:tc>
                        <w:tc>
                          <w:tcPr>
                            <w:tcW w:w="549" w:type="pct"/>
                            <w:tcBorders>
                              <w:top w:val="nil"/>
                              <w:left w:val="nil"/>
                              <w:bottom w:val="nil"/>
                              <w:right w:val="nil"/>
                            </w:tcBorders>
                            <w:hideMark/>
                          </w:tcPr>
                          <w:p w14:paraId="3DE969C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 </w:t>
                            </w:r>
                          </w:p>
                        </w:tc>
                      </w:tr>
                      <w:tr w:rsidR="00A73471" w:rsidRPr="00A73471" w14:paraId="6307EF70" w14:textId="77777777" w:rsidTr="00A73471">
                        <w:trPr>
                          <w:trHeight w:val="204"/>
                        </w:trPr>
                        <w:tc>
                          <w:tcPr>
                            <w:tcW w:w="1704" w:type="pct"/>
                            <w:tcBorders>
                              <w:top w:val="nil"/>
                              <w:left w:val="nil"/>
                              <w:bottom w:val="nil"/>
                              <w:right w:val="nil"/>
                            </w:tcBorders>
                            <w:noWrap/>
                            <w:hideMark/>
                          </w:tcPr>
                          <w:p w14:paraId="0E907FD6"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Asset Turnover</w:t>
                            </w:r>
                          </w:p>
                        </w:tc>
                        <w:tc>
                          <w:tcPr>
                            <w:tcW w:w="549" w:type="pct"/>
                            <w:tcBorders>
                              <w:top w:val="nil"/>
                              <w:left w:val="nil"/>
                              <w:bottom w:val="nil"/>
                              <w:right w:val="nil"/>
                            </w:tcBorders>
                            <w:noWrap/>
                            <w:hideMark/>
                          </w:tcPr>
                          <w:p w14:paraId="5884FA20"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007C7F1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432514B6"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00986529"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716D8911"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23053B5"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6072A8A4" w14:textId="77777777" w:rsidTr="00A73471">
                        <w:trPr>
                          <w:trHeight w:val="204"/>
                        </w:trPr>
                        <w:tc>
                          <w:tcPr>
                            <w:tcW w:w="1704" w:type="pct"/>
                            <w:tcBorders>
                              <w:top w:val="nil"/>
                              <w:left w:val="nil"/>
                              <w:bottom w:val="nil"/>
                              <w:right w:val="nil"/>
                            </w:tcBorders>
                            <w:noWrap/>
                            <w:hideMark/>
                          </w:tcPr>
                          <w:p w14:paraId="42798DBB"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Asset Turnover</w:t>
                            </w:r>
                          </w:p>
                        </w:tc>
                        <w:tc>
                          <w:tcPr>
                            <w:tcW w:w="549" w:type="pct"/>
                            <w:tcBorders>
                              <w:top w:val="nil"/>
                              <w:left w:val="nil"/>
                              <w:bottom w:val="nil"/>
                              <w:right w:val="nil"/>
                            </w:tcBorders>
                            <w:hideMark/>
                          </w:tcPr>
                          <w:p w14:paraId="4C3F03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2887198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61EC30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3D164F1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1.6x</w:t>
                            </w:r>
                          </w:p>
                        </w:tc>
                        <w:tc>
                          <w:tcPr>
                            <w:tcW w:w="551" w:type="pct"/>
                            <w:tcBorders>
                              <w:top w:val="nil"/>
                              <w:left w:val="nil"/>
                              <w:bottom w:val="nil"/>
                              <w:right w:val="nil"/>
                            </w:tcBorders>
                            <w:hideMark/>
                          </w:tcPr>
                          <w:p w14:paraId="1BE551C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c>
                          <w:tcPr>
                            <w:tcW w:w="549" w:type="pct"/>
                            <w:tcBorders>
                              <w:top w:val="nil"/>
                              <w:left w:val="nil"/>
                              <w:bottom w:val="nil"/>
                              <w:right w:val="nil"/>
                            </w:tcBorders>
                            <w:hideMark/>
                          </w:tcPr>
                          <w:p w14:paraId="477EA45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1.5x</w:t>
                            </w:r>
                          </w:p>
                        </w:tc>
                      </w:tr>
                      <w:tr w:rsidR="00A73471" w:rsidRPr="00A73471" w14:paraId="2E85911D" w14:textId="77777777" w:rsidTr="00A73471">
                        <w:trPr>
                          <w:trHeight w:val="204"/>
                        </w:trPr>
                        <w:tc>
                          <w:tcPr>
                            <w:tcW w:w="1704" w:type="pct"/>
                            <w:tcBorders>
                              <w:top w:val="nil"/>
                              <w:left w:val="nil"/>
                              <w:bottom w:val="nil"/>
                              <w:right w:val="nil"/>
                            </w:tcBorders>
                            <w:noWrap/>
                            <w:hideMark/>
                          </w:tcPr>
                          <w:p w14:paraId="29BC870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Fixed Asset Turnover</w:t>
                            </w:r>
                          </w:p>
                        </w:tc>
                        <w:tc>
                          <w:tcPr>
                            <w:tcW w:w="549" w:type="pct"/>
                            <w:tcBorders>
                              <w:top w:val="nil"/>
                              <w:left w:val="nil"/>
                              <w:bottom w:val="nil"/>
                              <w:right w:val="nil"/>
                            </w:tcBorders>
                            <w:hideMark/>
                          </w:tcPr>
                          <w:p w14:paraId="4094DD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49" w:type="pct"/>
                            <w:tcBorders>
                              <w:top w:val="nil"/>
                              <w:left w:val="nil"/>
                              <w:bottom w:val="nil"/>
                              <w:right w:val="nil"/>
                            </w:tcBorders>
                            <w:hideMark/>
                          </w:tcPr>
                          <w:p w14:paraId="29F4F13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4.6x</w:t>
                            </w:r>
                          </w:p>
                        </w:tc>
                        <w:tc>
                          <w:tcPr>
                            <w:tcW w:w="549" w:type="pct"/>
                            <w:tcBorders>
                              <w:top w:val="nil"/>
                              <w:left w:val="nil"/>
                              <w:bottom w:val="nil"/>
                              <w:right w:val="nil"/>
                            </w:tcBorders>
                            <w:hideMark/>
                          </w:tcPr>
                          <w:p w14:paraId="34D5BE5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4.8x</w:t>
                            </w:r>
                          </w:p>
                        </w:tc>
                        <w:tc>
                          <w:tcPr>
                            <w:tcW w:w="549" w:type="pct"/>
                            <w:tcBorders>
                              <w:top w:val="nil"/>
                              <w:left w:val="nil"/>
                              <w:bottom w:val="nil"/>
                              <w:right w:val="nil"/>
                            </w:tcBorders>
                            <w:hideMark/>
                          </w:tcPr>
                          <w:p w14:paraId="06F3EBC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5.2x</w:t>
                            </w:r>
                          </w:p>
                        </w:tc>
                        <w:tc>
                          <w:tcPr>
                            <w:tcW w:w="551" w:type="pct"/>
                            <w:tcBorders>
                              <w:top w:val="nil"/>
                              <w:left w:val="nil"/>
                              <w:bottom w:val="nil"/>
                              <w:right w:val="nil"/>
                            </w:tcBorders>
                            <w:hideMark/>
                          </w:tcPr>
                          <w:p w14:paraId="56A8A81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5.0x</w:t>
                            </w:r>
                          </w:p>
                        </w:tc>
                        <w:tc>
                          <w:tcPr>
                            <w:tcW w:w="549" w:type="pct"/>
                            <w:tcBorders>
                              <w:top w:val="nil"/>
                              <w:left w:val="nil"/>
                              <w:bottom w:val="nil"/>
                              <w:right w:val="nil"/>
                            </w:tcBorders>
                            <w:hideMark/>
                          </w:tcPr>
                          <w:p w14:paraId="1F44D3F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r>
                      <w:tr w:rsidR="00A73471" w:rsidRPr="00A73471" w14:paraId="58907FA9" w14:textId="77777777" w:rsidTr="00A73471">
                        <w:trPr>
                          <w:trHeight w:val="204"/>
                        </w:trPr>
                        <w:tc>
                          <w:tcPr>
                            <w:tcW w:w="1704" w:type="pct"/>
                            <w:tcBorders>
                              <w:top w:val="nil"/>
                              <w:left w:val="nil"/>
                              <w:bottom w:val="nil"/>
                              <w:right w:val="nil"/>
                            </w:tcBorders>
                            <w:noWrap/>
                            <w:hideMark/>
                          </w:tcPr>
                          <w:p w14:paraId="551CD73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Accounts Receivable Turnover</w:t>
                            </w:r>
                          </w:p>
                        </w:tc>
                        <w:tc>
                          <w:tcPr>
                            <w:tcW w:w="549" w:type="pct"/>
                            <w:tcBorders>
                              <w:top w:val="nil"/>
                              <w:left w:val="nil"/>
                              <w:bottom w:val="nil"/>
                              <w:right w:val="nil"/>
                            </w:tcBorders>
                            <w:hideMark/>
                          </w:tcPr>
                          <w:p w14:paraId="4E78E5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11.0x</w:t>
                            </w:r>
                          </w:p>
                        </w:tc>
                        <w:tc>
                          <w:tcPr>
                            <w:tcW w:w="549" w:type="pct"/>
                            <w:tcBorders>
                              <w:top w:val="nil"/>
                              <w:left w:val="nil"/>
                              <w:bottom w:val="nil"/>
                              <w:right w:val="nil"/>
                            </w:tcBorders>
                            <w:hideMark/>
                          </w:tcPr>
                          <w:p w14:paraId="0F0EB92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11.1x</w:t>
                            </w:r>
                          </w:p>
                        </w:tc>
                        <w:tc>
                          <w:tcPr>
                            <w:tcW w:w="549" w:type="pct"/>
                            <w:tcBorders>
                              <w:top w:val="nil"/>
                              <w:left w:val="nil"/>
                              <w:bottom w:val="nil"/>
                              <w:right w:val="nil"/>
                            </w:tcBorders>
                            <w:hideMark/>
                          </w:tcPr>
                          <w:p w14:paraId="42E272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11.7x</w:t>
                            </w:r>
                          </w:p>
                        </w:tc>
                        <w:tc>
                          <w:tcPr>
                            <w:tcW w:w="549" w:type="pct"/>
                            <w:tcBorders>
                              <w:top w:val="nil"/>
                              <w:left w:val="nil"/>
                              <w:bottom w:val="nil"/>
                              <w:right w:val="nil"/>
                            </w:tcBorders>
                            <w:hideMark/>
                          </w:tcPr>
                          <w:p w14:paraId="044A98D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11.9x</w:t>
                            </w:r>
                          </w:p>
                        </w:tc>
                        <w:tc>
                          <w:tcPr>
                            <w:tcW w:w="551" w:type="pct"/>
                            <w:tcBorders>
                              <w:top w:val="nil"/>
                              <w:left w:val="nil"/>
                              <w:bottom w:val="nil"/>
                              <w:right w:val="nil"/>
                            </w:tcBorders>
                            <w:hideMark/>
                          </w:tcPr>
                          <w:p w14:paraId="3CD6C4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c>
                          <w:tcPr>
                            <w:tcW w:w="549" w:type="pct"/>
                            <w:tcBorders>
                              <w:top w:val="nil"/>
                              <w:left w:val="nil"/>
                              <w:bottom w:val="nil"/>
                              <w:right w:val="nil"/>
                            </w:tcBorders>
                            <w:hideMark/>
                          </w:tcPr>
                          <w:p w14:paraId="162D07C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10.6x</w:t>
                            </w:r>
                          </w:p>
                        </w:tc>
                      </w:tr>
                      <w:tr w:rsidR="00A73471" w:rsidRPr="00A73471" w14:paraId="37590D1B" w14:textId="77777777" w:rsidTr="00A73471">
                        <w:trPr>
                          <w:trHeight w:val="204"/>
                        </w:trPr>
                        <w:tc>
                          <w:tcPr>
                            <w:tcW w:w="1704" w:type="pct"/>
                            <w:tcBorders>
                              <w:top w:val="nil"/>
                              <w:left w:val="nil"/>
                              <w:bottom w:val="nil"/>
                              <w:right w:val="nil"/>
                            </w:tcBorders>
                            <w:noWrap/>
                            <w:hideMark/>
                          </w:tcPr>
                          <w:p w14:paraId="3A7E67D6"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Inventory Turnover</w:t>
                            </w:r>
                          </w:p>
                        </w:tc>
                        <w:tc>
                          <w:tcPr>
                            <w:tcW w:w="549" w:type="pct"/>
                            <w:tcBorders>
                              <w:top w:val="nil"/>
                              <w:left w:val="nil"/>
                              <w:bottom w:val="nil"/>
                              <w:right w:val="nil"/>
                            </w:tcBorders>
                            <w:hideMark/>
                          </w:tcPr>
                          <w:p w14:paraId="1E6256B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9.8x</w:t>
                            </w:r>
                          </w:p>
                        </w:tc>
                        <w:tc>
                          <w:tcPr>
                            <w:tcW w:w="549" w:type="pct"/>
                            <w:tcBorders>
                              <w:top w:val="nil"/>
                              <w:left w:val="nil"/>
                              <w:bottom w:val="nil"/>
                              <w:right w:val="nil"/>
                            </w:tcBorders>
                            <w:hideMark/>
                          </w:tcPr>
                          <w:p w14:paraId="3DA6238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29AE5C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2124F4E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10.6x</w:t>
                            </w:r>
                          </w:p>
                        </w:tc>
                        <w:tc>
                          <w:tcPr>
                            <w:tcW w:w="551" w:type="pct"/>
                            <w:tcBorders>
                              <w:top w:val="nil"/>
                              <w:left w:val="nil"/>
                              <w:bottom w:val="nil"/>
                              <w:right w:val="nil"/>
                            </w:tcBorders>
                            <w:hideMark/>
                          </w:tcPr>
                          <w:p w14:paraId="21D4A01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10.3x</w:t>
                            </w:r>
                          </w:p>
                        </w:tc>
                        <w:tc>
                          <w:tcPr>
                            <w:tcW w:w="549" w:type="pct"/>
                            <w:tcBorders>
                              <w:top w:val="nil"/>
                              <w:left w:val="nil"/>
                              <w:bottom w:val="nil"/>
                              <w:right w:val="nil"/>
                            </w:tcBorders>
                            <w:hideMark/>
                          </w:tcPr>
                          <w:p w14:paraId="750E0EC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r>
                      <w:tr w:rsidR="00A73471" w:rsidRPr="00A73471" w14:paraId="0AD8A766" w14:textId="77777777" w:rsidTr="00A73471">
                        <w:trPr>
                          <w:trHeight w:val="204"/>
                        </w:trPr>
                        <w:tc>
                          <w:tcPr>
                            <w:tcW w:w="1704" w:type="pct"/>
                            <w:tcBorders>
                              <w:top w:val="nil"/>
                              <w:left w:val="nil"/>
                              <w:bottom w:val="nil"/>
                              <w:right w:val="nil"/>
                            </w:tcBorders>
                            <w:noWrap/>
                            <w:hideMark/>
                          </w:tcPr>
                          <w:p w14:paraId="6E589C8C"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Short Term Liquidity</w:t>
                            </w:r>
                          </w:p>
                        </w:tc>
                        <w:tc>
                          <w:tcPr>
                            <w:tcW w:w="549" w:type="pct"/>
                            <w:tcBorders>
                              <w:top w:val="nil"/>
                              <w:left w:val="nil"/>
                              <w:bottom w:val="nil"/>
                              <w:right w:val="nil"/>
                            </w:tcBorders>
                            <w:noWrap/>
                            <w:hideMark/>
                          </w:tcPr>
                          <w:p w14:paraId="587A9B99"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72B0166B"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6858FEE7"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3937E3D2"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302BCB74"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B28E4A7"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7052E38F" w14:textId="77777777" w:rsidTr="00A73471">
                        <w:trPr>
                          <w:trHeight w:val="204"/>
                        </w:trPr>
                        <w:tc>
                          <w:tcPr>
                            <w:tcW w:w="1704" w:type="pct"/>
                            <w:tcBorders>
                              <w:top w:val="nil"/>
                              <w:left w:val="nil"/>
                              <w:bottom w:val="nil"/>
                              <w:right w:val="nil"/>
                            </w:tcBorders>
                            <w:noWrap/>
                            <w:hideMark/>
                          </w:tcPr>
                          <w:p w14:paraId="349AA78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Current Ratio</w:t>
                            </w:r>
                          </w:p>
                        </w:tc>
                        <w:tc>
                          <w:tcPr>
                            <w:tcW w:w="549" w:type="pct"/>
                            <w:tcBorders>
                              <w:top w:val="nil"/>
                              <w:left w:val="nil"/>
                              <w:bottom w:val="nil"/>
                              <w:right w:val="nil"/>
                            </w:tcBorders>
                            <w:hideMark/>
                          </w:tcPr>
                          <w:p w14:paraId="2C19DE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77697EA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252CC1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0.8x</w:t>
                            </w:r>
                          </w:p>
                        </w:tc>
                        <w:tc>
                          <w:tcPr>
                            <w:tcW w:w="549" w:type="pct"/>
                            <w:tcBorders>
                              <w:top w:val="nil"/>
                              <w:left w:val="nil"/>
                              <w:bottom w:val="nil"/>
                              <w:right w:val="nil"/>
                            </w:tcBorders>
                            <w:hideMark/>
                          </w:tcPr>
                          <w:p w14:paraId="40FECCB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c>
                          <w:tcPr>
                            <w:tcW w:w="551" w:type="pct"/>
                            <w:tcBorders>
                              <w:top w:val="nil"/>
                              <w:left w:val="nil"/>
                              <w:bottom w:val="nil"/>
                              <w:right w:val="nil"/>
                            </w:tcBorders>
                            <w:hideMark/>
                          </w:tcPr>
                          <w:p w14:paraId="0A00EDE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c>
                          <w:tcPr>
                            <w:tcW w:w="549" w:type="pct"/>
                            <w:tcBorders>
                              <w:top w:val="nil"/>
                              <w:left w:val="nil"/>
                              <w:bottom w:val="nil"/>
                              <w:right w:val="nil"/>
                            </w:tcBorders>
                            <w:hideMark/>
                          </w:tcPr>
                          <w:p w14:paraId="60B3E48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0.9x</w:t>
                            </w:r>
                          </w:p>
                        </w:tc>
                      </w:tr>
                      <w:tr w:rsidR="00A73471" w:rsidRPr="00A73471" w14:paraId="17DD3F59" w14:textId="77777777" w:rsidTr="00A73471">
                        <w:trPr>
                          <w:trHeight w:val="204"/>
                        </w:trPr>
                        <w:tc>
                          <w:tcPr>
                            <w:tcW w:w="1704" w:type="pct"/>
                            <w:tcBorders>
                              <w:top w:val="nil"/>
                              <w:left w:val="nil"/>
                              <w:bottom w:val="nil"/>
                              <w:right w:val="nil"/>
                            </w:tcBorders>
                            <w:noWrap/>
                            <w:hideMark/>
                          </w:tcPr>
                          <w:p w14:paraId="36F0E0F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Quick Ratio</w:t>
                            </w:r>
                          </w:p>
                        </w:tc>
                        <w:tc>
                          <w:tcPr>
                            <w:tcW w:w="549" w:type="pct"/>
                            <w:tcBorders>
                              <w:top w:val="nil"/>
                              <w:left w:val="nil"/>
                              <w:bottom w:val="nil"/>
                              <w:right w:val="nil"/>
                            </w:tcBorders>
                            <w:hideMark/>
                          </w:tcPr>
                          <w:p w14:paraId="51F2E22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6DDAF97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04A20BE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49" w:type="pct"/>
                            <w:tcBorders>
                              <w:top w:val="nil"/>
                              <w:left w:val="nil"/>
                              <w:bottom w:val="nil"/>
                              <w:right w:val="nil"/>
                            </w:tcBorders>
                            <w:hideMark/>
                          </w:tcPr>
                          <w:p w14:paraId="57AF48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0.5x</w:t>
                            </w:r>
                          </w:p>
                        </w:tc>
                        <w:tc>
                          <w:tcPr>
                            <w:tcW w:w="551" w:type="pct"/>
                            <w:tcBorders>
                              <w:top w:val="nil"/>
                              <w:left w:val="nil"/>
                              <w:bottom w:val="nil"/>
                              <w:right w:val="nil"/>
                            </w:tcBorders>
                            <w:hideMark/>
                          </w:tcPr>
                          <w:p w14:paraId="7A6FD2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0.6x</w:t>
                            </w:r>
                          </w:p>
                        </w:tc>
                        <w:tc>
                          <w:tcPr>
                            <w:tcW w:w="549" w:type="pct"/>
                            <w:tcBorders>
                              <w:top w:val="nil"/>
                              <w:left w:val="nil"/>
                              <w:bottom w:val="nil"/>
                              <w:right w:val="nil"/>
                            </w:tcBorders>
                            <w:hideMark/>
                          </w:tcPr>
                          <w:p w14:paraId="2EEEBD3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0.6x</w:t>
                            </w:r>
                          </w:p>
                        </w:tc>
                      </w:tr>
                      <w:tr w:rsidR="00A73471" w:rsidRPr="00A73471" w14:paraId="0F27F5B8" w14:textId="77777777" w:rsidTr="00A73471">
                        <w:trPr>
                          <w:trHeight w:val="204"/>
                        </w:trPr>
                        <w:tc>
                          <w:tcPr>
                            <w:tcW w:w="1704" w:type="pct"/>
                            <w:tcBorders>
                              <w:top w:val="nil"/>
                              <w:left w:val="nil"/>
                              <w:bottom w:val="nil"/>
                              <w:right w:val="nil"/>
                            </w:tcBorders>
                            <w:noWrap/>
                            <w:hideMark/>
                          </w:tcPr>
                          <w:p w14:paraId="1DD3E97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Cash from Ops. to Curr. </w:t>
                            </w:r>
                            <w:r w:rsidRPr="00A73471">
                              <w:rPr>
                                <w:rFonts w:ascii="Cambria" w:eastAsia="Times New Roman" w:hAnsi="Cambria" w:cs="Arial"/>
                                <w:color w:val="000000"/>
                                <w:kern w:val="0"/>
                                <w:sz w:val="14"/>
                                <w:szCs w:val="14"/>
                                <w:lang w:eastAsia="en-IN"/>
                                <w14:ligatures w14:val="none"/>
                              </w:rPr>
                              <w:t>Liab.</w:t>
                            </w:r>
                          </w:p>
                        </w:tc>
                        <w:tc>
                          <w:tcPr>
                            <w:tcW w:w="549" w:type="pct"/>
                            <w:tcBorders>
                              <w:top w:val="nil"/>
                              <w:left w:val="nil"/>
                              <w:bottom w:val="nil"/>
                              <w:right w:val="nil"/>
                            </w:tcBorders>
                            <w:hideMark/>
                          </w:tcPr>
                          <w:p w14:paraId="65AF38B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0.1x</w:t>
                            </w:r>
                          </w:p>
                        </w:tc>
                        <w:tc>
                          <w:tcPr>
                            <w:tcW w:w="549" w:type="pct"/>
                            <w:tcBorders>
                              <w:top w:val="nil"/>
                              <w:left w:val="nil"/>
                              <w:bottom w:val="nil"/>
                              <w:right w:val="nil"/>
                            </w:tcBorders>
                            <w:hideMark/>
                          </w:tcPr>
                          <w:p w14:paraId="0E1EB15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4A857A8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7DBA11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51" w:type="pct"/>
                            <w:tcBorders>
                              <w:top w:val="nil"/>
                              <w:left w:val="nil"/>
                              <w:bottom w:val="nil"/>
                              <w:right w:val="nil"/>
                            </w:tcBorders>
                            <w:hideMark/>
                          </w:tcPr>
                          <w:p w14:paraId="662E71D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c>
                          <w:tcPr>
                            <w:tcW w:w="549" w:type="pct"/>
                            <w:tcBorders>
                              <w:top w:val="nil"/>
                              <w:left w:val="nil"/>
                              <w:bottom w:val="nil"/>
                              <w:right w:val="nil"/>
                            </w:tcBorders>
                            <w:hideMark/>
                          </w:tcPr>
                          <w:p w14:paraId="1ED291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0.2x</w:t>
                            </w:r>
                          </w:p>
                        </w:tc>
                      </w:tr>
                      <w:tr w:rsidR="00A73471" w:rsidRPr="00A73471" w14:paraId="38A6EFF6" w14:textId="77777777" w:rsidTr="00A73471">
                        <w:trPr>
                          <w:trHeight w:val="204"/>
                        </w:trPr>
                        <w:tc>
                          <w:tcPr>
                            <w:tcW w:w="1704" w:type="pct"/>
                            <w:tcBorders>
                              <w:top w:val="nil"/>
                              <w:left w:val="nil"/>
                              <w:bottom w:val="nil"/>
                              <w:right w:val="nil"/>
                            </w:tcBorders>
                            <w:noWrap/>
                            <w:hideMark/>
                          </w:tcPr>
                          <w:p w14:paraId="0B0A5F9A"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Sales Out.</w:t>
                            </w:r>
                          </w:p>
                        </w:tc>
                        <w:tc>
                          <w:tcPr>
                            <w:tcW w:w="549" w:type="pct"/>
                            <w:tcBorders>
                              <w:top w:val="nil"/>
                              <w:left w:val="nil"/>
                              <w:bottom w:val="nil"/>
                              <w:right w:val="nil"/>
                            </w:tcBorders>
                            <w:hideMark/>
                          </w:tcPr>
                          <w:p w14:paraId="28023C9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33.0 </w:t>
                            </w:r>
                          </w:p>
                        </w:tc>
                        <w:tc>
                          <w:tcPr>
                            <w:tcW w:w="549" w:type="pct"/>
                            <w:tcBorders>
                              <w:top w:val="nil"/>
                              <w:left w:val="nil"/>
                              <w:bottom w:val="nil"/>
                              <w:right w:val="nil"/>
                            </w:tcBorders>
                            <w:hideMark/>
                          </w:tcPr>
                          <w:p w14:paraId="78DA1AD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32.9 </w:t>
                            </w:r>
                          </w:p>
                        </w:tc>
                        <w:tc>
                          <w:tcPr>
                            <w:tcW w:w="549" w:type="pct"/>
                            <w:tcBorders>
                              <w:top w:val="nil"/>
                              <w:left w:val="nil"/>
                              <w:bottom w:val="nil"/>
                              <w:right w:val="nil"/>
                            </w:tcBorders>
                            <w:hideMark/>
                          </w:tcPr>
                          <w:p w14:paraId="624431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31.3 </w:t>
                            </w:r>
                          </w:p>
                        </w:tc>
                        <w:tc>
                          <w:tcPr>
                            <w:tcW w:w="549" w:type="pct"/>
                            <w:tcBorders>
                              <w:top w:val="nil"/>
                              <w:left w:val="nil"/>
                              <w:bottom w:val="nil"/>
                              <w:right w:val="nil"/>
                            </w:tcBorders>
                            <w:hideMark/>
                          </w:tcPr>
                          <w:p w14:paraId="6D3B1A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30.8 </w:t>
                            </w:r>
                          </w:p>
                        </w:tc>
                        <w:tc>
                          <w:tcPr>
                            <w:tcW w:w="551" w:type="pct"/>
                            <w:tcBorders>
                              <w:top w:val="nil"/>
                              <w:left w:val="nil"/>
                              <w:bottom w:val="nil"/>
                              <w:right w:val="nil"/>
                            </w:tcBorders>
                            <w:hideMark/>
                          </w:tcPr>
                          <w:p w14:paraId="0F68E19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34.3 </w:t>
                            </w:r>
                          </w:p>
                        </w:tc>
                        <w:tc>
                          <w:tcPr>
                            <w:tcW w:w="549" w:type="pct"/>
                            <w:tcBorders>
                              <w:top w:val="nil"/>
                              <w:left w:val="nil"/>
                              <w:bottom w:val="nil"/>
                              <w:right w:val="nil"/>
                            </w:tcBorders>
                            <w:hideMark/>
                          </w:tcPr>
                          <w:p w14:paraId="45A3D17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34.4 </w:t>
                            </w:r>
                          </w:p>
                        </w:tc>
                      </w:tr>
                      <w:tr w:rsidR="00A73471" w:rsidRPr="00A73471" w14:paraId="51DB3635" w14:textId="77777777" w:rsidTr="00A73471">
                        <w:trPr>
                          <w:trHeight w:val="204"/>
                        </w:trPr>
                        <w:tc>
                          <w:tcPr>
                            <w:tcW w:w="1704" w:type="pct"/>
                            <w:tcBorders>
                              <w:top w:val="nil"/>
                              <w:left w:val="nil"/>
                              <w:bottom w:val="nil"/>
                              <w:right w:val="nil"/>
                            </w:tcBorders>
                            <w:noWrap/>
                            <w:hideMark/>
                          </w:tcPr>
                          <w:p w14:paraId="7750794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Inventory Out.</w:t>
                            </w:r>
                          </w:p>
                        </w:tc>
                        <w:tc>
                          <w:tcPr>
                            <w:tcW w:w="549" w:type="pct"/>
                            <w:tcBorders>
                              <w:top w:val="nil"/>
                              <w:left w:val="nil"/>
                              <w:bottom w:val="nil"/>
                              <w:right w:val="nil"/>
                            </w:tcBorders>
                            <w:hideMark/>
                          </w:tcPr>
                          <w:p w14:paraId="6549422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37.3 </w:t>
                            </w:r>
                          </w:p>
                        </w:tc>
                        <w:tc>
                          <w:tcPr>
                            <w:tcW w:w="549" w:type="pct"/>
                            <w:tcBorders>
                              <w:top w:val="nil"/>
                              <w:left w:val="nil"/>
                              <w:bottom w:val="nil"/>
                              <w:right w:val="nil"/>
                            </w:tcBorders>
                            <w:hideMark/>
                          </w:tcPr>
                          <w:p w14:paraId="467BB63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35.7 </w:t>
                            </w:r>
                          </w:p>
                        </w:tc>
                        <w:tc>
                          <w:tcPr>
                            <w:tcW w:w="549" w:type="pct"/>
                            <w:tcBorders>
                              <w:top w:val="nil"/>
                              <w:left w:val="nil"/>
                              <w:bottom w:val="nil"/>
                              <w:right w:val="nil"/>
                            </w:tcBorders>
                            <w:hideMark/>
                          </w:tcPr>
                          <w:p w14:paraId="130988D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35.5 </w:t>
                            </w:r>
                          </w:p>
                        </w:tc>
                        <w:tc>
                          <w:tcPr>
                            <w:tcW w:w="549" w:type="pct"/>
                            <w:tcBorders>
                              <w:top w:val="nil"/>
                              <w:left w:val="nil"/>
                              <w:bottom w:val="nil"/>
                              <w:right w:val="nil"/>
                            </w:tcBorders>
                            <w:hideMark/>
                          </w:tcPr>
                          <w:p w14:paraId="6FD2559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34.5 </w:t>
                            </w:r>
                          </w:p>
                        </w:tc>
                        <w:tc>
                          <w:tcPr>
                            <w:tcW w:w="551" w:type="pct"/>
                            <w:tcBorders>
                              <w:top w:val="nil"/>
                              <w:left w:val="nil"/>
                              <w:bottom w:val="nil"/>
                              <w:right w:val="nil"/>
                            </w:tcBorders>
                            <w:hideMark/>
                          </w:tcPr>
                          <w:p w14:paraId="7329C33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35.5 </w:t>
                            </w:r>
                          </w:p>
                        </w:tc>
                        <w:tc>
                          <w:tcPr>
                            <w:tcW w:w="549" w:type="pct"/>
                            <w:tcBorders>
                              <w:top w:val="nil"/>
                              <w:left w:val="nil"/>
                              <w:bottom w:val="nil"/>
                              <w:right w:val="nil"/>
                            </w:tcBorders>
                            <w:hideMark/>
                          </w:tcPr>
                          <w:p w14:paraId="2432F48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34.1 </w:t>
                            </w:r>
                          </w:p>
                        </w:tc>
                      </w:tr>
                      <w:tr w:rsidR="00A73471" w:rsidRPr="00A73471" w14:paraId="557A0EED" w14:textId="77777777" w:rsidTr="00A73471">
                        <w:trPr>
                          <w:trHeight w:val="204"/>
                        </w:trPr>
                        <w:tc>
                          <w:tcPr>
                            <w:tcW w:w="1704" w:type="pct"/>
                            <w:tcBorders>
                              <w:top w:val="nil"/>
                              <w:left w:val="nil"/>
                              <w:bottom w:val="nil"/>
                              <w:right w:val="nil"/>
                            </w:tcBorders>
                            <w:noWrap/>
                            <w:hideMark/>
                          </w:tcPr>
                          <w:p w14:paraId="61BB695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Days Payable Out.</w:t>
                            </w:r>
                          </w:p>
                        </w:tc>
                        <w:tc>
                          <w:tcPr>
                            <w:tcW w:w="549" w:type="pct"/>
                            <w:tcBorders>
                              <w:top w:val="nil"/>
                              <w:left w:val="nil"/>
                              <w:bottom w:val="nil"/>
                              <w:right w:val="nil"/>
                            </w:tcBorders>
                            <w:hideMark/>
                          </w:tcPr>
                          <w:p w14:paraId="6DC42F0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74.0 </w:t>
                            </w:r>
                          </w:p>
                        </w:tc>
                        <w:tc>
                          <w:tcPr>
                            <w:tcW w:w="549" w:type="pct"/>
                            <w:tcBorders>
                              <w:top w:val="nil"/>
                              <w:left w:val="nil"/>
                              <w:bottom w:val="nil"/>
                              <w:right w:val="nil"/>
                            </w:tcBorders>
                            <w:hideMark/>
                          </w:tcPr>
                          <w:p w14:paraId="1A4C066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71.1 </w:t>
                            </w:r>
                          </w:p>
                        </w:tc>
                        <w:tc>
                          <w:tcPr>
                            <w:tcW w:w="549" w:type="pct"/>
                            <w:tcBorders>
                              <w:top w:val="nil"/>
                              <w:left w:val="nil"/>
                              <w:bottom w:val="nil"/>
                              <w:right w:val="nil"/>
                            </w:tcBorders>
                            <w:hideMark/>
                          </w:tcPr>
                          <w:p w14:paraId="719DF9A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67.4 </w:t>
                            </w:r>
                          </w:p>
                        </w:tc>
                        <w:tc>
                          <w:tcPr>
                            <w:tcW w:w="549" w:type="pct"/>
                            <w:tcBorders>
                              <w:top w:val="nil"/>
                              <w:left w:val="nil"/>
                              <w:bottom w:val="nil"/>
                              <w:right w:val="nil"/>
                            </w:tcBorders>
                            <w:hideMark/>
                          </w:tcPr>
                          <w:p w14:paraId="5480496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61.1 </w:t>
                            </w:r>
                          </w:p>
                        </w:tc>
                        <w:tc>
                          <w:tcPr>
                            <w:tcW w:w="551" w:type="pct"/>
                            <w:tcBorders>
                              <w:top w:val="nil"/>
                              <w:left w:val="nil"/>
                              <w:bottom w:val="nil"/>
                              <w:right w:val="nil"/>
                            </w:tcBorders>
                            <w:hideMark/>
                          </w:tcPr>
                          <w:p w14:paraId="588CA91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64.7 </w:t>
                            </w:r>
                          </w:p>
                        </w:tc>
                        <w:tc>
                          <w:tcPr>
                            <w:tcW w:w="549" w:type="pct"/>
                            <w:tcBorders>
                              <w:top w:val="nil"/>
                              <w:left w:val="nil"/>
                              <w:bottom w:val="nil"/>
                              <w:right w:val="nil"/>
                            </w:tcBorders>
                            <w:hideMark/>
                          </w:tcPr>
                          <w:p w14:paraId="273FCBC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65.1 </w:t>
                            </w:r>
                          </w:p>
                        </w:tc>
                      </w:tr>
                      <w:tr w:rsidR="00A73471" w:rsidRPr="00A73471" w14:paraId="0CE43348" w14:textId="77777777" w:rsidTr="00A73471">
                        <w:trPr>
                          <w:trHeight w:val="204"/>
                        </w:trPr>
                        <w:tc>
                          <w:tcPr>
                            <w:tcW w:w="1704" w:type="pct"/>
                            <w:tcBorders>
                              <w:top w:val="nil"/>
                              <w:left w:val="nil"/>
                              <w:bottom w:val="nil"/>
                              <w:right w:val="nil"/>
                            </w:tcBorders>
                            <w:noWrap/>
                            <w:hideMark/>
                          </w:tcPr>
                          <w:p w14:paraId="469B6E51"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Avg. Cash Conversion Cycle</w:t>
                            </w:r>
                          </w:p>
                        </w:tc>
                        <w:tc>
                          <w:tcPr>
                            <w:tcW w:w="549" w:type="pct"/>
                            <w:tcBorders>
                              <w:top w:val="nil"/>
                              <w:left w:val="nil"/>
                              <w:bottom w:val="nil"/>
                              <w:right w:val="nil"/>
                            </w:tcBorders>
                            <w:hideMark/>
                          </w:tcPr>
                          <w:p w14:paraId="53E3F98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  </w:t>
                            </w:r>
                          </w:p>
                        </w:tc>
                        <w:tc>
                          <w:tcPr>
                            <w:tcW w:w="549" w:type="pct"/>
                            <w:tcBorders>
                              <w:top w:val="nil"/>
                              <w:left w:val="nil"/>
                              <w:bottom w:val="nil"/>
                              <w:right w:val="nil"/>
                            </w:tcBorders>
                            <w:hideMark/>
                          </w:tcPr>
                          <w:p w14:paraId="6BE9BE8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(2.6)  </w:t>
                            </w:r>
                          </w:p>
                        </w:tc>
                        <w:tc>
                          <w:tcPr>
                            <w:tcW w:w="549" w:type="pct"/>
                            <w:tcBorders>
                              <w:top w:val="nil"/>
                              <w:left w:val="nil"/>
                              <w:bottom w:val="nil"/>
                              <w:right w:val="nil"/>
                            </w:tcBorders>
                            <w:hideMark/>
                          </w:tcPr>
                          <w:p w14:paraId="013E80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(0.6)  </w:t>
                            </w:r>
                          </w:p>
                        </w:tc>
                        <w:tc>
                          <w:tcPr>
                            <w:tcW w:w="549" w:type="pct"/>
                            <w:tcBorders>
                              <w:top w:val="nil"/>
                              <w:left w:val="nil"/>
                              <w:bottom w:val="nil"/>
                              <w:right w:val="nil"/>
                            </w:tcBorders>
                            <w:hideMark/>
                          </w:tcPr>
                          <w:p w14:paraId="55C46D0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 </w:t>
                            </w:r>
                          </w:p>
                        </w:tc>
                        <w:tc>
                          <w:tcPr>
                            <w:tcW w:w="551" w:type="pct"/>
                            <w:tcBorders>
                              <w:top w:val="nil"/>
                              <w:left w:val="nil"/>
                              <w:bottom w:val="nil"/>
                              <w:right w:val="nil"/>
                            </w:tcBorders>
                            <w:hideMark/>
                          </w:tcPr>
                          <w:p w14:paraId="6B97D01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5.1 </w:t>
                            </w:r>
                          </w:p>
                        </w:tc>
                        <w:tc>
                          <w:tcPr>
                            <w:tcW w:w="549" w:type="pct"/>
                            <w:tcBorders>
                              <w:top w:val="nil"/>
                              <w:left w:val="nil"/>
                              <w:bottom w:val="nil"/>
                              <w:right w:val="nil"/>
                            </w:tcBorders>
                            <w:hideMark/>
                          </w:tcPr>
                          <w:p w14:paraId="3A16847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3.3 </w:t>
                            </w:r>
                          </w:p>
                        </w:tc>
                      </w:tr>
                      <w:tr w:rsidR="00A73471" w:rsidRPr="00A73471" w14:paraId="55433862" w14:textId="77777777" w:rsidTr="00A73471">
                        <w:trPr>
                          <w:trHeight w:val="204"/>
                        </w:trPr>
                        <w:tc>
                          <w:tcPr>
                            <w:tcW w:w="1704" w:type="pct"/>
                            <w:tcBorders>
                              <w:top w:val="nil"/>
                              <w:left w:val="nil"/>
                              <w:bottom w:val="nil"/>
                              <w:right w:val="nil"/>
                            </w:tcBorders>
                            <w:noWrap/>
                            <w:hideMark/>
                          </w:tcPr>
                          <w:p w14:paraId="298FFC2B"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r w:rsidRPr="00A73471">
                              <w:rPr>
                                <w:rFonts w:ascii="Cambria" w:eastAsia="Times New Roman" w:hAnsi="Cambria" w:cs="Arial"/>
                                <w:b/>
                                <w:bCs/>
                                <w:color w:val="000000"/>
                                <w:kern w:val="0"/>
                                <w:sz w:val="14"/>
                                <w:szCs w:val="14"/>
                                <w:lang w:eastAsia="en-IN"/>
                                <w14:ligatures w14:val="none"/>
                              </w:rPr>
                              <w:t>Long Term Solvency</w:t>
                            </w:r>
                          </w:p>
                        </w:tc>
                        <w:tc>
                          <w:tcPr>
                            <w:tcW w:w="549" w:type="pct"/>
                            <w:tcBorders>
                              <w:top w:val="nil"/>
                              <w:left w:val="nil"/>
                              <w:bottom w:val="nil"/>
                              <w:right w:val="nil"/>
                            </w:tcBorders>
                            <w:noWrap/>
                            <w:hideMark/>
                          </w:tcPr>
                          <w:p w14:paraId="13C9BB24" w14:textId="77777777" w:rsidR="00A73471" w:rsidRPr="00A73471" w:rsidRDefault="00A73471" w:rsidP="00A73471">
                            <w:pPr>
                              <w:spacing w:after="0" w:line="240" w:lineRule="auto"/>
                              <w:rPr>
                                <w:rFonts w:ascii="Cambria" w:eastAsia="Times New Roman" w:hAnsi="Cambria" w:cs="Arial"/>
                                <w:b/>
                                <w:bCs/>
                                <w:color w:val="000000"/>
                                <w:kern w:val="0"/>
                                <w:sz w:val="14"/>
                                <w:szCs w:val="14"/>
                                <w:lang w:eastAsia="en-IN"/>
                                <w14:ligatures w14:val="none"/>
                              </w:rPr>
                            </w:pPr>
                          </w:p>
                        </w:tc>
                        <w:tc>
                          <w:tcPr>
                            <w:tcW w:w="549" w:type="pct"/>
                            <w:tcBorders>
                              <w:top w:val="nil"/>
                              <w:left w:val="nil"/>
                              <w:bottom w:val="nil"/>
                              <w:right w:val="nil"/>
                            </w:tcBorders>
                            <w:noWrap/>
                            <w:hideMark/>
                          </w:tcPr>
                          <w:p w14:paraId="3D1D0C6D"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1E727BDB"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29063443"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51" w:type="pct"/>
                            <w:tcBorders>
                              <w:top w:val="nil"/>
                              <w:left w:val="nil"/>
                              <w:bottom w:val="nil"/>
                              <w:right w:val="nil"/>
                            </w:tcBorders>
                            <w:noWrap/>
                            <w:hideMark/>
                          </w:tcPr>
                          <w:p w14:paraId="6E0FAE8D"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c>
                          <w:tcPr>
                            <w:tcW w:w="549" w:type="pct"/>
                            <w:tcBorders>
                              <w:top w:val="nil"/>
                              <w:left w:val="nil"/>
                              <w:bottom w:val="nil"/>
                              <w:right w:val="nil"/>
                            </w:tcBorders>
                            <w:noWrap/>
                            <w:hideMark/>
                          </w:tcPr>
                          <w:p w14:paraId="6AA84A9C" w14:textId="77777777" w:rsidR="00A73471" w:rsidRPr="00A73471" w:rsidRDefault="00A73471" w:rsidP="00A73471">
                            <w:pPr>
                              <w:spacing w:after="0" w:line="240" w:lineRule="auto"/>
                              <w:rPr>
                                <w:rFonts w:ascii="Cambria" w:eastAsia="Times New Roman" w:hAnsi="Cambria" w:cs="Times New Roman"/>
                                <w:kern w:val="0"/>
                                <w:sz w:val="14"/>
                                <w:szCs w:val="14"/>
                                <w:lang w:eastAsia="en-IN"/>
                                <w14:ligatures w14:val="none"/>
                              </w:rPr>
                            </w:pPr>
                          </w:p>
                        </w:tc>
                      </w:tr>
                      <w:tr w:rsidR="00A73471" w:rsidRPr="00A73471" w14:paraId="3766DB42" w14:textId="77777777" w:rsidTr="00A73471">
                        <w:trPr>
                          <w:trHeight w:val="204"/>
                        </w:trPr>
                        <w:tc>
                          <w:tcPr>
                            <w:tcW w:w="1704" w:type="pct"/>
                            <w:tcBorders>
                              <w:top w:val="nil"/>
                              <w:left w:val="nil"/>
                              <w:bottom w:val="nil"/>
                              <w:right w:val="nil"/>
                            </w:tcBorders>
                            <w:noWrap/>
                            <w:hideMark/>
                          </w:tcPr>
                          <w:p w14:paraId="0ED6EF28"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Debt/Equity</w:t>
                            </w:r>
                          </w:p>
                        </w:tc>
                        <w:tc>
                          <w:tcPr>
                            <w:tcW w:w="549" w:type="pct"/>
                            <w:tcBorders>
                              <w:top w:val="nil"/>
                              <w:left w:val="nil"/>
                              <w:bottom w:val="nil"/>
                              <w:right w:val="nil"/>
                            </w:tcBorders>
                            <w:hideMark/>
                          </w:tcPr>
                          <w:p w14:paraId="66A1860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154.8% </w:t>
                            </w:r>
                          </w:p>
                        </w:tc>
                        <w:tc>
                          <w:tcPr>
                            <w:tcW w:w="549" w:type="pct"/>
                            <w:tcBorders>
                              <w:top w:val="nil"/>
                              <w:left w:val="nil"/>
                              <w:bottom w:val="nil"/>
                              <w:right w:val="nil"/>
                            </w:tcBorders>
                            <w:hideMark/>
                          </w:tcPr>
                          <w:p w14:paraId="5DA0AD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143.7% </w:t>
                            </w:r>
                          </w:p>
                        </w:tc>
                        <w:tc>
                          <w:tcPr>
                            <w:tcW w:w="549" w:type="pct"/>
                            <w:tcBorders>
                              <w:top w:val="nil"/>
                              <w:left w:val="nil"/>
                              <w:bottom w:val="nil"/>
                              <w:right w:val="nil"/>
                            </w:tcBorders>
                            <w:hideMark/>
                          </w:tcPr>
                          <w:p w14:paraId="78303FE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134.2% </w:t>
                            </w:r>
                          </w:p>
                        </w:tc>
                        <w:tc>
                          <w:tcPr>
                            <w:tcW w:w="549" w:type="pct"/>
                            <w:tcBorders>
                              <w:top w:val="nil"/>
                              <w:left w:val="nil"/>
                              <w:bottom w:val="nil"/>
                              <w:right w:val="nil"/>
                            </w:tcBorders>
                            <w:hideMark/>
                          </w:tcPr>
                          <w:p w14:paraId="6E10C77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145.8% </w:t>
                            </w:r>
                          </w:p>
                        </w:tc>
                        <w:tc>
                          <w:tcPr>
                            <w:tcW w:w="551" w:type="pct"/>
                            <w:tcBorders>
                              <w:top w:val="nil"/>
                              <w:left w:val="nil"/>
                              <w:bottom w:val="nil"/>
                              <w:right w:val="nil"/>
                            </w:tcBorders>
                            <w:hideMark/>
                          </w:tcPr>
                          <w:p w14:paraId="14C17AA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150.1% </w:t>
                            </w:r>
                          </w:p>
                        </w:tc>
                        <w:tc>
                          <w:tcPr>
                            <w:tcW w:w="549" w:type="pct"/>
                            <w:tcBorders>
                              <w:top w:val="nil"/>
                              <w:left w:val="nil"/>
                              <w:bottom w:val="nil"/>
                              <w:right w:val="nil"/>
                            </w:tcBorders>
                            <w:hideMark/>
                          </w:tcPr>
                          <w:p w14:paraId="5D8AF85C"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172.5% </w:t>
                            </w:r>
                          </w:p>
                        </w:tc>
                      </w:tr>
                      <w:tr w:rsidR="00A73471" w:rsidRPr="00A73471" w14:paraId="4DE55D3C" w14:textId="77777777" w:rsidTr="00A73471">
                        <w:trPr>
                          <w:trHeight w:val="204"/>
                        </w:trPr>
                        <w:tc>
                          <w:tcPr>
                            <w:tcW w:w="1704" w:type="pct"/>
                            <w:tcBorders>
                              <w:top w:val="nil"/>
                              <w:left w:val="nil"/>
                              <w:bottom w:val="nil"/>
                              <w:right w:val="nil"/>
                            </w:tcBorders>
                            <w:noWrap/>
                            <w:hideMark/>
                          </w:tcPr>
                          <w:p w14:paraId="7FF633C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Debt/Capital</w:t>
                            </w:r>
                          </w:p>
                        </w:tc>
                        <w:tc>
                          <w:tcPr>
                            <w:tcW w:w="549" w:type="pct"/>
                            <w:tcBorders>
                              <w:top w:val="nil"/>
                              <w:left w:val="nil"/>
                              <w:bottom w:val="nil"/>
                              <w:right w:val="nil"/>
                            </w:tcBorders>
                            <w:hideMark/>
                          </w:tcPr>
                          <w:p w14:paraId="232DAAC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60.7% </w:t>
                            </w:r>
                          </w:p>
                        </w:tc>
                        <w:tc>
                          <w:tcPr>
                            <w:tcW w:w="549" w:type="pct"/>
                            <w:tcBorders>
                              <w:top w:val="nil"/>
                              <w:left w:val="nil"/>
                              <w:bottom w:val="nil"/>
                              <w:right w:val="nil"/>
                            </w:tcBorders>
                            <w:hideMark/>
                          </w:tcPr>
                          <w:p w14:paraId="29FE027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59.0% </w:t>
                            </w:r>
                          </w:p>
                        </w:tc>
                        <w:tc>
                          <w:tcPr>
                            <w:tcW w:w="549" w:type="pct"/>
                            <w:tcBorders>
                              <w:top w:val="nil"/>
                              <w:left w:val="nil"/>
                              <w:bottom w:val="nil"/>
                              <w:right w:val="nil"/>
                            </w:tcBorders>
                            <w:hideMark/>
                          </w:tcPr>
                          <w:p w14:paraId="10B25FF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57.3% </w:t>
                            </w:r>
                          </w:p>
                        </w:tc>
                        <w:tc>
                          <w:tcPr>
                            <w:tcW w:w="549" w:type="pct"/>
                            <w:tcBorders>
                              <w:top w:val="nil"/>
                              <w:left w:val="nil"/>
                              <w:bottom w:val="nil"/>
                              <w:right w:val="nil"/>
                            </w:tcBorders>
                            <w:hideMark/>
                          </w:tcPr>
                          <w:p w14:paraId="26181F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59.3% </w:t>
                            </w:r>
                          </w:p>
                        </w:tc>
                        <w:tc>
                          <w:tcPr>
                            <w:tcW w:w="551" w:type="pct"/>
                            <w:tcBorders>
                              <w:top w:val="nil"/>
                              <w:left w:val="nil"/>
                              <w:bottom w:val="nil"/>
                              <w:right w:val="nil"/>
                            </w:tcBorders>
                            <w:hideMark/>
                          </w:tcPr>
                          <w:p w14:paraId="066D43BF"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60.0% </w:t>
                            </w:r>
                          </w:p>
                        </w:tc>
                        <w:tc>
                          <w:tcPr>
                            <w:tcW w:w="549" w:type="pct"/>
                            <w:tcBorders>
                              <w:top w:val="nil"/>
                              <w:left w:val="nil"/>
                              <w:bottom w:val="nil"/>
                              <w:right w:val="nil"/>
                            </w:tcBorders>
                            <w:hideMark/>
                          </w:tcPr>
                          <w:p w14:paraId="28CCA51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63.3% </w:t>
                            </w:r>
                          </w:p>
                        </w:tc>
                      </w:tr>
                      <w:tr w:rsidR="00A73471" w:rsidRPr="00A73471" w14:paraId="4DA55B98" w14:textId="77777777" w:rsidTr="00A73471">
                        <w:trPr>
                          <w:trHeight w:val="204"/>
                        </w:trPr>
                        <w:tc>
                          <w:tcPr>
                            <w:tcW w:w="1704" w:type="pct"/>
                            <w:tcBorders>
                              <w:top w:val="nil"/>
                              <w:left w:val="nil"/>
                              <w:bottom w:val="nil"/>
                              <w:right w:val="nil"/>
                            </w:tcBorders>
                            <w:noWrap/>
                            <w:hideMark/>
                          </w:tcPr>
                          <w:p w14:paraId="73369B63"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LT Debt/Equity</w:t>
                            </w:r>
                          </w:p>
                        </w:tc>
                        <w:tc>
                          <w:tcPr>
                            <w:tcW w:w="549" w:type="pct"/>
                            <w:tcBorders>
                              <w:top w:val="nil"/>
                              <w:left w:val="nil"/>
                              <w:bottom w:val="nil"/>
                              <w:right w:val="nil"/>
                            </w:tcBorders>
                            <w:hideMark/>
                          </w:tcPr>
                          <w:p w14:paraId="10F427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106.4% </w:t>
                            </w:r>
                          </w:p>
                        </w:tc>
                        <w:tc>
                          <w:tcPr>
                            <w:tcW w:w="549" w:type="pct"/>
                            <w:tcBorders>
                              <w:top w:val="nil"/>
                              <w:left w:val="nil"/>
                              <w:bottom w:val="nil"/>
                              <w:right w:val="nil"/>
                            </w:tcBorders>
                            <w:hideMark/>
                          </w:tcPr>
                          <w:p w14:paraId="01AD0F8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99.9% </w:t>
                            </w:r>
                          </w:p>
                        </w:tc>
                        <w:tc>
                          <w:tcPr>
                            <w:tcW w:w="549" w:type="pct"/>
                            <w:tcBorders>
                              <w:top w:val="nil"/>
                              <w:left w:val="nil"/>
                              <w:bottom w:val="nil"/>
                              <w:right w:val="nil"/>
                            </w:tcBorders>
                            <w:hideMark/>
                          </w:tcPr>
                          <w:p w14:paraId="6738C89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90.2% </w:t>
                            </w:r>
                          </w:p>
                        </w:tc>
                        <w:tc>
                          <w:tcPr>
                            <w:tcW w:w="549" w:type="pct"/>
                            <w:tcBorders>
                              <w:top w:val="nil"/>
                              <w:left w:val="nil"/>
                              <w:bottom w:val="nil"/>
                              <w:right w:val="nil"/>
                            </w:tcBorders>
                            <w:hideMark/>
                          </w:tcPr>
                          <w:p w14:paraId="087424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91.3% </w:t>
                            </w:r>
                          </w:p>
                        </w:tc>
                        <w:tc>
                          <w:tcPr>
                            <w:tcW w:w="551" w:type="pct"/>
                            <w:tcBorders>
                              <w:top w:val="nil"/>
                              <w:left w:val="nil"/>
                              <w:bottom w:val="nil"/>
                              <w:right w:val="nil"/>
                            </w:tcBorders>
                            <w:hideMark/>
                          </w:tcPr>
                          <w:p w14:paraId="6ABA2B7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97.8% </w:t>
                            </w:r>
                          </w:p>
                        </w:tc>
                        <w:tc>
                          <w:tcPr>
                            <w:tcW w:w="549" w:type="pct"/>
                            <w:tcBorders>
                              <w:top w:val="nil"/>
                              <w:left w:val="nil"/>
                              <w:bottom w:val="nil"/>
                              <w:right w:val="nil"/>
                            </w:tcBorders>
                            <w:hideMark/>
                          </w:tcPr>
                          <w:p w14:paraId="032215A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109.6% </w:t>
                            </w:r>
                          </w:p>
                        </w:tc>
                      </w:tr>
                      <w:tr w:rsidR="00A73471" w:rsidRPr="00A73471" w14:paraId="1EDD20E7" w14:textId="77777777" w:rsidTr="00A73471">
                        <w:trPr>
                          <w:trHeight w:val="204"/>
                        </w:trPr>
                        <w:tc>
                          <w:tcPr>
                            <w:tcW w:w="1704" w:type="pct"/>
                            <w:tcBorders>
                              <w:top w:val="nil"/>
                              <w:left w:val="nil"/>
                              <w:bottom w:val="nil"/>
                              <w:right w:val="nil"/>
                            </w:tcBorders>
                            <w:noWrap/>
                            <w:hideMark/>
                          </w:tcPr>
                          <w:p w14:paraId="5BB7AB57"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LT Debt/Capital</w:t>
                            </w:r>
                          </w:p>
                        </w:tc>
                        <w:tc>
                          <w:tcPr>
                            <w:tcW w:w="549" w:type="pct"/>
                            <w:tcBorders>
                              <w:top w:val="nil"/>
                              <w:left w:val="nil"/>
                              <w:bottom w:val="nil"/>
                              <w:right w:val="nil"/>
                            </w:tcBorders>
                            <w:hideMark/>
                          </w:tcPr>
                          <w:p w14:paraId="3035004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41.8% </w:t>
                            </w:r>
                          </w:p>
                        </w:tc>
                        <w:tc>
                          <w:tcPr>
                            <w:tcW w:w="549" w:type="pct"/>
                            <w:tcBorders>
                              <w:top w:val="nil"/>
                              <w:left w:val="nil"/>
                              <w:bottom w:val="nil"/>
                              <w:right w:val="nil"/>
                            </w:tcBorders>
                            <w:hideMark/>
                          </w:tcPr>
                          <w:p w14:paraId="7C5844D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41.0% </w:t>
                            </w:r>
                          </w:p>
                        </w:tc>
                        <w:tc>
                          <w:tcPr>
                            <w:tcW w:w="549" w:type="pct"/>
                            <w:tcBorders>
                              <w:top w:val="nil"/>
                              <w:left w:val="nil"/>
                              <w:bottom w:val="nil"/>
                              <w:right w:val="nil"/>
                            </w:tcBorders>
                            <w:hideMark/>
                          </w:tcPr>
                          <w:p w14:paraId="6155A3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38.5% </w:t>
                            </w:r>
                          </w:p>
                        </w:tc>
                        <w:tc>
                          <w:tcPr>
                            <w:tcW w:w="549" w:type="pct"/>
                            <w:tcBorders>
                              <w:top w:val="nil"/>
                              <w:left w:val="nil"/>
                              <w:bottom w:val="nil"/>
                              <w:right w:val="nil"/>
                            </w:tcBorders>
                            <w:hideMark/>
                          </w:tcPr>
                          <w:p w14:paraId="2D7041F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37.1% </w:t>
                            </w:r>
                          </w:p>
                        </w:tc>
                        <w:tc>
                          <w:tcPr>
                            <w:tcW w:w="551" w:type="pct"/>
                            <w:tcBorders>
                              <w:top w:val="nil"/>
                              <w:left w:val="nil"/>
                              <w:bottom w:val="nil"/>
                              <w:right w:val="nil"/>
                            </w:tcBorders>
                            <w:hideMark/>
                          </w:tcPr>
                          <w:p w14:paraId="469EC61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39.1% </w:t>
                            </w:r>
                          </w:p>
                        </w:tc>
                        <w:tc>
                          <w:tcPr>
                            <w:tcW w:w="549" w:type="pct"/>
                            <w:tcBorders>
                              <w:top w:val="nil"/>
                              <w:left w:val="nil"/>
                              <w:bottom w:val="nil"/>
                              <w:right w:val="nil"/>
                            </w:tcBorders>
                            <w:hideMark/>
                          </w:tcPr>
                          <w:p w14:paraId="54215C4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40.2% </w:t>
                            </w:r>
                          </w:p>
                        </w:tc>
                      </w:tr>
                      <w:tr w:rsidR="00A73471" w:rsidRPr="00A73471" w14:paraId="662B00F6" w14:textId="77777777" w:rsidTr="00A73471">
                        <w:trPr>
                          <w:trHeight w:val="204"/>
                        </w:trPr>
                        <w:tc>
                          <w:tcPr>
                            <w:tcW w:w="1704" w:type="pct"/>
                            <w:tcBorders>
                              <w:top w:val="nil"/>
                              <w:left w:val="nil"/>
                              <w:bottom w:val="nil"/>
                              <w:right w:val="nil"/>
                            </w:tcBorders>
                            <w:noWrap/>
                            <w:hideMark/>
                          </w:tcPr>
                          <w:p w14:paraId="2443F7FD"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Liabilities/Total Assets</w:t>
                            </w:r>
                          </w:p>
                        </w:tc>
                        <w:tc>
                          <w:tcPr>
                            <w:tcW w:w="549" w:type="pct"/>
                            <w:tcBorders>
                              <w:top w:val="nil"/>
                              <w:left w:val="nil"/>
                              <w:bottom w:val="nil"/>
                              <w:right w:val="nil"/>
                            </w:tcBorders>
                            <w:hideMark/>
                          </w:tcPr>
                          <w:p w14:paraId="5E8D75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77.3% </w:t>
                            </w:r>
                          </w:p>
                        </w:tc>
                        <w:tc>
                          <w:tcPr>
                            <w:tcW w:w="549" w:type="pct"/>
                            <w:tcBorders>
                              <w:top w:val="nil"/>
                              <w:left w:val="nil"/>
                              <w:bottom w:val="nil"/>
                              <w:right w:val="nil"/>
                            </w:tcBorders>
                            <w:hideMark/>
                          </w:tcPr>
                          <w:p w14:paraId="73F40C8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75.6% </w:t>
                            </w:r>
                          </w:p>
                        </w:tc>
                        <w:tc>
                          <w:tcPr>
                            <w:tcW w:w="549" w:type="pct"/>
                            <w:tcBorders>
                              <w:top w:val="nil"/>
                              <w:left w:val="nil"/>
                              <w:bottom w:val="nil"/>
                              <w:right w:val="nil"/>
                            </w:tcBorders>
                            <w:hideMark/>
                          </w:tcPr>
                          <w:p w14:paraId="74926C6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75.2% </w:t>
                            </w:r>
                          </w:p>
                        </w:tc>
                        <w:tc>
                          <w:tcPr>
                            <w:tcW w:w="549" w:type="pct"/>
                            <w:tcBorders>
                              <w:top w:val="nil"/>
                              <w:left w:val="nil"/>
                              <w:bottom w:val="nil"/>
                              <w:right w:val="nil"/>
                            </w:tcBorders>
                            <w:hideMark/>
                          </w:tcPr>
                          <w:p w14:paraId="30560DA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76.7% </w:t>
                            </w:r>
                          </w:p>
                        </w:tc>
                        <w:tc>
                          <w:tcPr>
                            <w:tcW w:w="551" w:type="pct"/>
                            <w:tcBorders>
                              <w:top w:val="nil"/>
                              <w:left w:val="nil"/>
                              <w:bottom w:val="nil"/>
                              <w:right w:val="nil"/>
                            </w:tcBorders>
                            <w:hideMark/>
                          </w:tcPr>
                          <w:p w14:paraId="70559B5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76.2% </w:t>
                            </w:r>
                          </w:p>
                        </w:tc>
                        <w:tc>
                          <w:tcPr>
                            <w:tcW w:w="549" w:type="pct"/>
                            <w:tcBorders>
                              <w:top w:val="nil"/>
                              <w:left w:val="nil"/>
                              <w:bottom w:val="nil"/>
                              <w:right w:val="nil"/>
                            </w:tcBorders>
                            <w:hideMark/>
                          </w:tcPr>
                          <w:p w14:paraId="1F35989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78.2% </w:t>
                            </w:r>
                          </w:p>
                        </w:tc>
                      </w:tr>
                      <w:tr w:rsidR="00A73471" w:rsidRPr="00A73471" w14:paraId="7F6D1DEB" w14:textId="77777777" w:rsidTr="00A73471">
                        <w:trPr>
                          <w:trHeight w:val="204"/>
                        </w:trPr>
                        <w:tc>
                          <w:tcPr>
                            <w:tcW w:w="1704" w:type="pct"/>
                            <w:tcBorders>
                              <w:top w:val="nil"/>
                              <w:left w:val="nil"/>
                              <w:bottom w:val="nil"/>
                              <w:right w:val="nil"/>
                            </w:tcBorders>
                            <w:noWrap/>
                            <w:hideMark/>
                          </w:tcPr>
                          <w:p w14:paraId="1AD0DB19"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 / Interest Exp.</w:t>
                            </w:r>
                          </w:p>
                        </w:tc>
                        <w:tc>
                          <w:tcPr>
                            <w:tcW w:w="549" w:type="pct"/>
                            <w:tcBorders>
                              <w:top w:val="nil"/>
                              <w:left w:val="nil"/>
                              <w:bottom w:val="nil"/>
                              <w:right w:val="nil"/>
                            </w:tcBorders>
                            <w:hideMark/>
                          </w:tcPr>
                          <w:p w14:paraId="59721FF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6.8x</w:t>
                            </w:r>
                          </w:p>
                        </w:tc>
                        <w:tc>
                          <w:tcPr>
                            <w:tcW w:w="549" w:type="pct"/>
                            <w:tcBorders>
                              <w:top w:val="nil"/>
                              <w:left w:val="nil"/>
                              <w:bottom w:val="nil"/>
                              <w:right w:val="nil"/>
                            </w:tcBorders>
                            <w:hideMark/>
                          </w:tcPr>
                          <w:p w14:paraId="0A41A81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7.8x</w:t>
                            </w:r>
                          </w:p>
                        </w:tc>
                        <w:tc>
                          <w:tcPr>
                            <w:tcW w:w="549" w:type="pct"/>
                            <w:tcBorders>
                              <w:top w:val="nil"/>
                              <w:left w:val="nil"/>
                              <w:bottom w:val="nil"/>
                              <w:right w:val="nil"/>
                            </w:tcBorders>
                            <w:hideMark/>
                          </w:tcPr>
                          <w:p w14:paraId="13DB48C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8.2x</w:t>
                            </w:r>
                          </w:p>
                        </w:tc>
                        <w:tc>
                          <w:tcPr>
                            <w:tcW w:w="549" w:type="pct"/>
                            <w:tcBorders>
                              <w:top w:val="nil"/>
                              <w:left w:val="nil"/>
                              <w:bottom w:val="nil"/>
                              <w:right w:val="nil"/>
                            </w:tcBorders>
                            <w:hideMark/>
                          </w:tcPr>
                          <w:p w14:paraId="5E832DB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4.8x</w:t>
                            </w:r>
                          </w:p>
                        </w:tc>
                        <w:tc>
                          <w:tcPr>
                            <w:tcW w:w="551" w:type="pct"/>
                            <w:tcBorders>
                              <w:top w:val="nil"/>
                              <w:left w:val="nil"/>
                              <w:bottom w:val="nil"/>
                              <w:right w:val="nil"/>
                            </w:tcBorders>
                            <w:hideMark/>
                          </w:tcPr>
                          <w:p w14:paraId="697DAD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3.8x</w:t>
                            </w:r>
                          </w:p>
                        </w:tc>
                        <w:tc>
                          <w:tcPr>
                            <w:tcW w:w="549" w:type="pct"/>
                            <w:tcBorders>
                              <w:top w:val="nil"/>
                              <w:left w:val="nil"/>
                              <w:bottom w:val="nil"/>
                              <w:right w:val="nil"/>
                            </w:tcBorders>
                            <w:hideMark/>
                          </w:tcPr>
                          <w:p w14:paraId="156C866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3.3x</w:t>
                            </w:r>
                          </w:p>
                        </w:tc>
                      </w:tr>
                      <w:tr w:rsidR="00A73471" w:rsidRPr="00A73471" w14:paraId="791F5F03" w14:textId="77777777" w:rsidTr="00A73471">
                        <w:trPr>
                          <w:trHeight w:val="204"/>
                        </w:trPr>
                        <w:tc>
                          <w:tcPr>
                            <w:tcW w:w="1704" w:type="pct"/>
                            <w:tcBorders>
                              <w:top w:val="nil"/>
                              <w:left w:val="nil"/>
                              <w:bottom w:val="nil"/>
                              <w:right w:val="nil"/>
                            </w:tcBorders>
                            <w:noWrap/>
                            <w:hideMark/>
                          </w:tcPr>
                          <w:p w14:paraId="1821ADEB"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 / Interest Exp.</w:t>
                            </w:r>
                          </w:p>
                        </w:tc>
                        <w:tc>
                          <w:tcPr>
                            <w:tcW w:w="549" w:type="pct"/>
                            <w:tcBorders>
                              <w:top w:val="nil"/>
                              <w:left w:val="nil"/>
                              <w:bottom w:val="nil"/>
                              <w:right w:val="nil"/>
                            </w:tcBorders>
                            <w:hideMark/>
                          </w:tcPr>
                          <w:p w14:paraId="5F19D96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14.3x</w:t>
                            </w:r>
                          </w:p>
                        </w:tc>
                        <w:tc>
                          <w:tcPr>
                            <w:tcW w:w="549" w:type="pct"/>
                            <w:tcBorders>
                              <w:top w:val="nil"/>
                              <w:left w:val="nil"/>
                              <w:bottom w:val="nil"/>
                              <w:right w:val="nil"/>
                            </w:tcBorders>
                            <w:hideMark/>
                          </w:tcPr>
                          <w:p w14:paraId="7DB7084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16.1x</w:t>
                            </w:r>
                          </w:p>
                        </w:tc>
                        <w:tc>
                          <w:tcPr>
                            <w:tcW w:w="549" w:type="pct"/>
                            <w:tcBorders>
                              <w:top w:val="nil"/>
                              <w:left w:val="nil"/>
                              <w:bottom w:val="nil"/>
                              <w:right w:val="nil"/>
                            </w:tcBorders>
                            <w:hideMark/>
                          </w:tcPr>
                          <w:p w14:paraId="71C4A7C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16.1x</w:t>
                            </w:r>
                          </w:p>
                        </w:tc>
                        <w:tc>
                          <w:tcPr>
                            <w:tcW w:w="549" w:type="pct"/>
                            <w:tcBorders>
                              <w:top w:val="nil"/>
                              <w:left w:val="nil"/>
                              <w:bottom w:val="nil"/>
                              <w:right w:val="nil"/>
                            </w:tcBorders>
                            <w:hideMark/>
                          </w:tcPr>
                          <w:p w14:paraId="2064D15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9.4x</w:t>
                            </w:r>
                          </w:p>
                        </w:tc>
                        <w:tc>
                          <w:tcPr>
                            <w:tcW w:w="551" w:type="pct"/>
                            <w:tcBorders>
                              <w:top w:val="nil"/>
                              <w:left w:val="nil"/>
                              <w:bottom w:val="nil"/>
                              <w:right w:val="nil"/>
                            </w:tcBorders>
                            <w:hideMark/>
                          </w:tcPr>
                          <w:p w14:paraId="56BEAC1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7.6x</w:t>
                            </w:r>
                          </w:p>
                        </w:tc>
                        <w:tc>
                          <w:tcPr>
                            <w:tcW w:w="549" w:type="pct"/>
                            <w:tcBorders>
                              <w:top w:val="nil"/>
                              <w:left w:val="nil"/>
                              <w:bottom w:val="nil"/>
                              <w:right w:val="nil"/>
                            </w:tcBorders>
                            <w:hideMark/>
                          </w:tcPr>
                          <w:p w14:paraId="6BDC2FB7"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7.0x</w:t>
                            </w:r>
                          </w:p>
                        </w:tc>
                      </w:tr>
                      <w:tr w:rsidR="00A73471" w:rsidRPr="00A73471" w14:paraId="0B59C6B6" w14:textId="77777777" w:rsidTr="00A73471">
                        <w:trPr>
                          <w:trHeight w:val="204"/>
                        </w:trPr>
                        <w:tc>
                          <w:tcPr>
                            <w:tcW w:w="1704" w:type="pct"/>
                            <w:tcBorders>
                              <w:top w:val="nil"/>
                              <w:left w:val="nil"/>
                              <w:bottom w:val="nil"/>
                              <w:right w:val="nil"/>
                            </w:tcBorders>
                            <w:noWrap/>
                            <w:hideMark/>
                          </w:tcPr>
                          <w:p w14:paraId="438CE6B5"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(EBITDA-CAPEX) / Interest Exp.</w:t>
                            </w:r>
                          </w:p>
                        </w:tc>
                        <w:tc>
                          <w:tcPr>
                            <w:tcW w:w="549" w:type="pct"/>
                            <w:tcBorders>
                              <w:top w:val="nil"/>
                              <w:left w:val="nil"/>
                              <w:bottom w:val="nil"/>
                              <w:right w:val="nil"/>
                            </w:tcBorders>
                            <w:hideMark/>
                          </w:tcPr>
                          <w:p w14:paraId="0F7B87E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8.7x</w:t>
                            </w:r>
                          </w:p>
                        </w:tc>
                        <w:tc>
                          <w:tcPr>
                            <w:tcW w:w="549" w:type="pct"/>
                            <w:tcBorders>
                              <w:top w:val="nil"/>
                              <w:left w:val="nil"/>
                              <w:bottom w:val="nil"/>
                              <w:right w:val="nil"/>
                            </w:tcBorders>
                            <w:hideMark/>
                          </w:tcPr>
                          <w:p w14:paraId="1119236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10.7x</w:t>
                            </w:r>
                          </w:p>
                        </w:tc>
                        <w:tc>
                          <w:tcPr>
                            <w:tcW w:w="549" w:type="pct"/>
                            <w:tcBorders>
                              <w:top w:val="nil"/>
                              <w:left w:val="nil"/>
                              <w:bottom w:val="nil"/>
                              <w:right w:val="nil"/>
                            </w:tcBorders>
                            <w:hideMark/>
                          </w:tcPr>
                          <w:p w14:paraId="0C6EE2C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10.2x</w:t>
                            </w:r>
                          </w:p>
                        </w:tc>
                        <w:tc>
                          <w:tcPr>
                            <w:tcW w:w="549" w:type="pct"/>
                            <w:tcBorders>
                              <w:top w:val="nil"/>
                              <w:left w:val="nil"/>
                              <w:bottom w:val="nil"/>
                              <w:right w:val="nil"/>
                            </w:tcBorders>
                            <w:hideMark/>
                          </w:tcPr>
                          <w:p w14:paraId="14FEE262"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5.6x</w:t>
                            </w:r>
                          </w:p>
                        </w:tc>
                        <w:tc>
                          <w:tcPr>
                            <w:tcW w:w="551" w:type="pct"/>
                            <w:tcBorders>
                              <w:top w:val="nil"/>
                              <w:left w:val="nil"/>
                              <w:bottom w:val="nil"/>
                              <w:right w:val="nil"/>
                            </w:tcBorders>
                            <w:hideMark/>
                          </w:tcPr>
                          <w:p w14:paraId="113F874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4.5x</w:t>
                            </w:r>
                          </w:p>
                        </w:tc>
                        <w:tc>
                          <w:tcPr>
                            <w:tcW w:w="549" w:type="pct"/>
                            <w:tcBorders>
                              <w:top w:val="nil"/>
                              <w:left w:val="nil"/>
                              <w:bottom w:val="nil"/>
                              <w:right w:val="nil"/>
                            </w:tcBorders>
                            <w:hideMark/>
                          </w:tcPr>
                          <w:p w14:paraId="4D35285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4.3x</w:t>
                            </w:r>
                          </w:p>
                        </w:tc>
                      </w:tr>
                      <w:tr w:rsidR="00A73471" w:rsidRPr="00A73471" w14:paraId="5505990D" w14:textId="77777777" w:rsidTr="00A73471">
                        <w:trPr>
                          <w:trHeight w:val="204"/>
                        </w:trPr>
                        <w:tc>
                          <w:tcPr>
                            <w:tcW w:w="1704" w:type="pct"/>
                            <w:tcBorders>
                              <w:top w:val="nil"/>
                              <w:left w:val="nil"/>
                              <w:bottom w:val="nil"/>
                              <w:right w:val="nil"/>
                            </w:tcBorders>
                            <w:noWrap/>
                            <w:hideMark/>
                          </w:tcPr>
                          <w:p w14:paraId="0E28E892"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Debt/EBITDA</w:t>
                            </w:r>
                          </w:p>
                        </w:tc>
                        <w:tc>
                          <w:tcPr>
                            <w:tcW w:w="549" w:type="pct"/>
                            <w:tcBorders>
                              <w:top w:val="nil"/>
                              <w:left w:val="nil"/>
                              <w:bottom w:val="nil"/>
                              <w:right w:val="nil"/>
                            </w:tcBorders>
                            <w:hideMark/>
                          </w:tcPr>
                          <w:p w14:paraId="526EE23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4.1x</w:t>
                            </w:r>
                          </w:p>
                        </w:tc>
                        <w:tc>
                          <w:tcPr>
                            <w:tcW w:w="549" w:type="pct"/>
                            <w:tcBorders>
                              <w:top w:val="nil"/>
                              <w:left w:val="nil"/>
                              <w:bottom w:val="nil"/>
                              <w:right w:val="nil"/>
                            </w:tcBorders>
                            <w:hideMark/>
                          </w:tcPr>
                          <w:p w14:paraId="02E8FBCD"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3.7x</w:t>
                            </w:r>
                          </w:p>
                        </w:tc>
                        <w:tc>
                          <w:tcPr>
                            <w:tcW w:w="549" w:type="pct"/>
                            <w:tcBorders>
                              <w:top w:val="nil"/>
                              <w:left w:val="nil"/>
                              <w:bottom w:val="nil"/>
                              <w:right w:val="nil"/>
                            </w:tcBorders>
                            <w:hideMark/>
                          </w:tcPr>
                          <w:p w14:paraId="3F10943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3.7x</w:t>
                            </w:r>
                          </w:p>
                        </w:tc>
                        <w:tc>
                          <w:tcPr>
                            <w:tcW w:w="549" w:type="pct"/>
                            <w:tcBorders>
                              <w:top w:val="nil"/>
                              <w:left w:val="nil"/>
                              <w:bottom w:val="nil"/>
                              <w:right w:val="nil"/>
                            </w:tcBorders>
                            <w:hideMark/>
                          </w:tcPr>
                          <w:p w14:paraId="7A12799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4.2x</w:t>
                            </w:r>
                          </w:p>
                        </w:tc>
                        <w:tc>
                          <w:tcPr>
                            <w:tcW w:w="551" w:type="pct"/>
                            <w:tcBorders>
                              <w:top w:val="nil"/>
                              <w:left w:val="nil"/>
                              <w:bottom w:val="nil"/>
                              <w:right w:val="nil"/>
                            </w:tcBorders>
                            <w:hideMark/>
                          </w:tcPr>
                          <w:p w14:paraId="31CF7983"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4.4x</w:t>
                            </w:r>
                          </w:p>
                        </w:tc>
                        <w:tc>
                          <w:tcPr>
                            <w:tcW w:w="549" w:type="pct"/>
                            <w:tcBorders>
                              <w:top w:val="nil"/>
                              <w:left w:val="nil"/>
                              <w:bottom w:val="nil"/>
                              <w:right w:val="nil"/>
                            </w:tcBorders>
                            <w:hideMark/>
                          </w:tcPr>
                          <w:p w14:paraId="7F75608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4.7x</w:t>
                            </w:r>
                          </w:p>
                        </w:tc>
                      </w:tr>
                      <w:tr w:rsidR="00A73471" w:rsidRPr="00A73471" w14:paraId="2E8B8F73" w14:textId="77777777" w:rsidTr="00A73471">
                        <w:trPr>
                          <w:trHeight w:val="204"/>
                        </w:trPr>
                        <w:tc>
                          <w:tcPr>
                            <w:tcW w:w="1704" w:type="pct"/>
                            <w:tcBorders>
                              <w:top w:val="nil"/>
                              <w:left w:val="nil"/>
                              <w:bottom w:val="nil"/>
                              <w:right w:val="nil"/>
                            </w:tcBorders>
                            <w:noWrap/>
                            <w:hideMark/>
                          </w:tcPr>
                          <w:p w14:paraId="52CD5892"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Debt/EBITDA</w:t>
                            </w:r>
                          </w:p>
                        </w:tc>
                        <w:tc>
                          <w:tcPr>
                            <w:tcW w:w="549" w:type="pct"/>
                            <w:tcBorders>
                              <w:top w:val="nil"/>
                              <w:left w:val="nil"/>
                              <w:bottom w:val="nil"/>
                              <w:right w:val="nil"/>
                            </w:tcBorders>
                            <w:hideMark/>
                          </w:tcPr>
                          <w:p w14:paraId="2ACBB28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3.1x</w:t>
                            </w:r>
                          </w:p>
                        </w:tc>
                        <w:tc>
                          <w:tcPr>
                            <w:tcW w:w="549" w:type="pct"/>
                            <w:tcBorders>
                              <w:top w:val="nil"/>
                              <w:left w:val="nil"/>
                              <w:bottom w:val="nil"/>
                              <w:right w:val="nil"/>
                            </w:tcBorders>
                            <w:hideMark/>
                          </w:tcPr>
                          <w:p w14:paraId="638BD40E"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2.7x</w:t>
                            </w:r>
                          </w:p>
                        </w:tc>
                        <w:tc>
                          <w:tcPr>
                            <w:tcW w:w="549" w:type="pct"/>
                            <w:tcBorders>
                              <w:top w:val="nil"/>
                              <w:left w:val="nil"/>
                              <w:bottom w:val="nil"/>
                              <w:right w:val="nil"/>
                            </w:tcBorders>
                            <w:hideMark/>
                          </w:tcPr>
                          <w:p w14:paraId="06530B1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2.8x</w:t>
                            </w:r>
                          </w:p>
                        </w:tc>
                        <w:tc>
                          <w:tcPr>
                            <w:tcW w:w="549" w:type="pct"/>
                            <w:tcBorders>
                              <w:top w:val="nil"/>
                              <w:left w:val="nil"/>
                              <w:bottom w:val="nil"/>
                              <w:right w:val="nil"/>
                            </w:tcBorders>
                            <w:hideMark/>
                          </w:tcPr>
                          <w:p w14:paraId="3ADCF0F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3.0x</w:t>
                            </w:r>
                          </w:p>
                        </w:tc>
                        <w:tc>
                          <w:tcPr>
                            <w:tcW w:w="551" w:type="pct"/>
                            <w:tcBorders>
                              <w:top w:val="nil"/>
                              <w:left w:val="nil"/>
                              <w:bottom w:val="nil"/>
                              <w:right w:val="nil"/>
                            </w:tcBorders>
                            <w:hideMark/>
                          </w:tcPr>
                          <w:p w14:paraId="4915AA8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3.0x</w:t>
                            </w:r>
                          </w:p>
                        </w:tc>
                        <w:tc>
                          <w:tcPr>
                            <w:tcW w:w="549" w:type="pct"/>
                            <w:tcBorders>
                              <w:top w:val="nil"/>
                              <w:left w:val="nil"/>
                              <w:bottom w:val="nil"/>
                              <w:right w:val="nil"/>
                            </w:tcBorders>
                            <w:hideMark/>
                          </w:tcPr>
                          <w:p w14:paraId="5F3C7CC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3.2x</w:t>
                            </w:r>
                          </w:p>
                        </w:tc>
                      </w:tr>
                      <w:tr w:rsidR="00A73471" w:rsidRPr="00A73471" w14:paraId="0C0CD5AA" w14:textId="77777777" w:rsidTr="00A73471">
                        <w:trPr>
                          <w:trHeight w:val="204"/>
                        </w:trPr>
                        <w:tc>
                          <w:tcPr>
                            <w:tcW w:w="1704" w:type="pct"/>
                            <w:tcBorders>
                              <w:top w:val="nil"/>
                              <w:left w:val="nil"/>
                              <w:bottom w:val="nil"/>
                              <w:right w:val="nil"/>
                            </w:tcBorders>
                            <w:noWrap/>
                            <w:hideMark/>
                          </w:tcPr>
                          <w:p w14:paraId="3B0AE83F"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Total Debt/(EBITDA-CAPEX)</w:t>
                            </w:r>
                          </w:p>
                        </w:tc>
                        <w:tc>
                          <w:tcPr>
                            <w:tcW w:w="549" w:type="pct"/>
                            <w:tcBorders>
                              <w:top w:val="nil"/>
                              <w:left w:val="nil"/>
                              <w:bottom w:val="nil"/>
                              <w:right w:val="nil"/>
                            </w:tcBorders>
                            <w:hideMark/>
                          </w:tcPr>
                          <w:p w14:paraId="2C7C9EF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6.8x</w:t>
                            </w:r>
                          </w:p>
                        </w:tc>
                        <w:tc>
                          <w:tcPr>
                            <w:tcW w:w="549" w:type="pct"/>
                            <w:tcBorders>
                              <w:top w:val="nil"/>
                              <w:left w:val="nil"/>
                              <w:bottom w:val="nil"/>
                              <w:right w:val="nil"/>
                            </w:tcBorders>
                            <w:hideMark/>
                          </w:tcPr>
                          <w:p w14:paraId="43EA462A"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5.6x</w:t>
                            </w:r>
                          </w:p>
                        </w:tc>
                        <w:tc>
                          <w:tcPr>
                            <w:tcW w:w="549" w:type="pct"/>
                            <w:tcBorders>
                              <w:top w:val="nil"/>
                              <w:left w:val="nil"/>
                              <w:bottom w:val="nil"/>
                              <w:right w:val="nil"/>
                            </w:tcBorders>
                            <w:hideMark/>
                          </w:tcPr>
                          <w:p w14:paraId="0D927F18"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5.8x</w:t>
                            </w:r>
                          </w:p>
                        </w:tc>
                        <w:tc>
                          <w:tcPr>
                            <w:tcW w:w="549" w:type="pct"/>
                            <w:tcBorders>
                              <w:top w:val="nil"/>
                              <w:left w:val="nil"/>
                              <w:bottom w:val="nil"/>
                              <w:right w:val="nil"/>
                            </w:tcBorders>
                            <w:hideMark/>
                          </w:tcPr>
                          <w:p w14:paraId="48227A49"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7.1x</w:t>
                            </w:r>
                          </w:p>
                        </w:tc>
                        <w:tc>
                          <w:tcPr>
                            <w:tcW w:w="551" w:type="pct"/>
                            <w:tcBorders>
                              <w:top w:val="nil"/>
                              <w:left w:val="nil"/>
                              <w:bottom w:val="nil"/>
                              <w:right w:val="nil"/>
                            </w:tcBorders>
                            <w:hideMark/>
                          </w:tcPr>
                          <w:p w14:paraId="6DBA0FB1"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7.5x</w:t>
                            </w:r>
                          </w:p>
                        </w:tc>
                        <w:tc>
                          <w:tcPr>
                            <w:tcW w:w="549" w:type="pct"/>
                            <w:tcBorders>
                              <w:top w:val="nil"/>
                              <w:left w:val="nil"/>
                              <w:bottom w:val="nil"/>
                              <w:right w:val="nil"/>
                            </w:tcBorders>
                            <w:hideMark/>
                          </w:tcPr>
                          <w:p w14:paraId="15F8FCF4"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7.6x</w:t>
                            </w:r>
                          </w:p>
                        </w:tc>
                      </w:tr>
                      <w:tr w:rsidR="00A73471" w:rsidRPr="00A73471" w14:paraId="57D2AD08" w14:textId="77777777" w:rsidTr="00A73471">
                        <w:trPr>
                          <w:trHeight w:val="204"/>
                        </w:trPr>
                        <w:tc>
                          <w:tcPr>
                            <w:tcW w:w="1704" w:type="pct"/>
                            <w:tcBorders>
                              <w:top w:val="nil"/>
                              <w:left w:val="nil"/>
                              <w:bottom w:val="nil"/>
                              <w:right w:val="nil"/>
                            </w:tcBorders>
                            <w:noWrap/>
                            <w:hideMark/>
                          </w:tcPr>
                          <w:p w14:paraId="636D9700" w14:textId="77777777" w:rsidR="00A73471" w:rsidRPr="00A73471" w:rsidRDefault="00A73471" w:rsidP="00A73471">
                            <w:pPr>
                              <w:spacing w:after="0" w:line="240" w:lineRule="auto"/>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 xml:space="preserve">  Net Debt/(EBITDA-CAPEX)</w:t>
                            </w:r>
                          </w:p>
                        </w:tc>
                        <w:tc>
                          <w:tcPr>
                            <w:tcW w:w="549" w:type="pct"/>
                            <w:tcBorders>
                              <w:top w:val="nil"/>
                              <w:left w:val="nil"/>
                              <w:bottom w:val="nil"/>
                              <w:right w:val="nil"/>
                            </w:tcBorders>
                            <w:hideMark/>
                          </w:tcPr>
                          <w:p w14:paraId="7E46B656"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49" w:type="pct"/>
                            <w:tcBorders>
                              <w:top w:val="nil"/>
                              <w:left w:val="nil"/>
                              <w:bottom w:val="nil"/>
                              <w:right w:val="nil"/>
                            </w:tcBorders>
                            <w:hideMark/>
                          </w:tcPr>
                          <w:p w14:paraId="79CDEB30"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4.1x</w:t>
                            </w:r>
                          </w:p>
                        </w:tc>
                        <w:tc>
                          <w:tcPr>
                            <w:tcW w:w="549" w:type="pct"/>
                            <w:tcBorders>
                              <w:top w:val="nil"/>
                              <w:left w:val="nil"/>
                              <w:bottom w:val="nil"/>
                              <w:right w:val="nil"/>
                            </w:tcBorders>
                            <w:hideMark/>
                          </w:tcPr>
                          <w:p w14:paraId="6BC48AA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4.4x</w:t>
                            </w:r>
                          </w:p>
                        </w:tc>
                        <w:tc>
                          <w:tcPr>
                            <w:tcW w:w="549" w:type="pct"/>
                            <w:tcBorders>
                              <w:top w:val="nil"/>
                              <w:left w:val="nil"/>
                              <w:bottom w:val="nil"/>
                              <w:right w:val="nil"/>
                            </w:tcBorders>
                            <w:hideMark/>
                          </w:tcPr>
                          <w:p w14:paraId="6E07BFA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5.1x</w:t>
                            </w:r>
                          </w:p>
                        </w:tc>
                        <w:tc>
                          <w:tcPr>
                            <w:tcW w:w="551" w:type="pct"/>
                            <w:tcBorders>
                              <w:top w:val="nil"/>
                              <w:left w:val="nil"/>
                              <w:bottom w:val="nil"/>
                              <w:right w:val="nil"/>
                            </w:tcBorders>
                            <w:hideMark/>
                          </w:tcPr>
                          <w:p w14:paraId="3A50FA55"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5.0x</w:t>
                            </w:r>
                          </w:p>
                        </w:tc>
                        <w:tc>
                          <w:tcPr>
                            <w:tcW w:w="549" w:type="pct"/>
                            <w:tcBorders>
                              <w:top w:val="nil"/>
                              <w:left w:val="nil"/>
                              <w:bottom w:val="nil"/>
                              <w:right w:val="nil"/>
                            </w:tcBorders>
                            <w:hideMark/>
                          </w:tcPr>
                          <w:p w14:paraId="4FA0686B" w14:textId="77777777" w:rsidR="00A73471" w:rsidRPr="00A73471" w:rsidRDefault="00A73471" w:rsidP="00A73471">
                            <w:pPr>
                              <w:spacing w:after="0" w:line="240" w:lineRule="auto"/>
                              <w:jc w:val="right"/>
                              <w:rPr>
                                <w:rFonts w:ascii="Cambria" w:eastAsia="Times New Roman" w:hAnsi="Cambria" w:cs="Arial"/>
                                <w:color w:val="000000"/>
                                <w:kern w:val="0"/>
                                <w:sz w:val="14"/>
                                <w:szCs w:val="14"/>
                                <w:lang w:eastAsia="en-IN"/>
                                <w14:ligatures w14:val="none"/>
                              </w:rPr>
                            </w:pPr>
                            <w:r w:rsidRPr="00A73471">
                              <w:rPr>
                                <w:rFonts w:ascii="Cambria" w:eastAsia="Times New Roman" w:hAnsi="Cambria" w:cs="Arial"/>
                                <w:color w:val="000000"/>
                                <w:kern w:val="0"/>
                                <w:sz w:val="14"/>
                                <w:szCs w:val="14"/>
                                <w:lang w:eastAsia="en-IN"/>
                                <w14:ligatures w14:val="none"/>
                              </w:rPr>
                              <w:t>5.2x</w:t>
                            </w:r>
                          </w:p>
                        </w:tc>
                      </w:tr>
                    </w:tbl>
                    <w:p w14:paraId="1ABCB185" w14:textId="00DDECA8" w:rsidR="00A73471" w:rsidRDefault="00A73471"/>
                  </w:txbxContent>
                </v:textbox>
                <w10:wrap type="square" anchorx="margin"/>
              </v:shape>
            </w:pict>
          </mc:Fallback>
        </mc:AlternateContent>
      </w:r>
      <w:r w:rsidR="00FB728D" w:rsidRPr="00456405">
        <w:rPr>
          <w:rFonts w:ascii="Cambria" w:hAnsi="Cambria"/>
          <w:b/>
          <w:bCs/>
          <w:sz w:val="24"/>
          <w:szCs w:val="24"/>
        </w:rPr>
        <w:br/>
      </w:r>
      <w:r w:rsidR="00FB728D"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73366" w:rsidRPr="00456405">
        <w:rPr>
          <w:rFonts w:ascii="Cambria" w:hAnsi="Cambria"/>
          <w:b/>
          <w:bCs/>
          <w:noProof/>
          <w:sz w:val="24"/>
          <w:szCs w:val="24"/>
        </w:rPr>
        <w:lastRenderedPageBreak/>
        <mc:AlternateContent>
          <mc:Choice Requires="wps">
            <w:drawing>
              <wp:anchor distT="45720" distB="45720" distL="114300" distR="114300" simplePos="0" relativeHeight="251730944" behindDoc="0" locked="0" layoutInCell="1" allowOverlap="1" wp14:anchorId="7B29D090" wp14:editId="32F118ED">
                <wp:simplePos x="0" y="0"/>
                <wp:positionH relativeFrom="margin">
                  <wp:align>right</wp:align>
                </wp:positionH>
                <wp:positionV relativeFrom="paragraph">
                  <wp:posOffset>0</wp:posOffset>
                </wp:positionV>
                <wp:extent cx="6164580" cy="1404620"/>
                <wp:effectExtent l="0" t="0" r="7620" b="0"/>
                <wp:wrapSquare wrapText="bothSides"/>
                <wp:docPr id="2107666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40462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972"/>
                              <w:gridCol w:w="1032"/>
                              <w:gridCol w:w="1033"/>
                              <w:gridCol w:w="1157"/>
                              <w:gridCol w:w="1033"/>
                              <w:gridCol w:w="1161"/>
                              <w:gridCol w:w="1033"/>
                            </w:tblGrid>
                            <w:tr w:rsidR="00475BB7" w:rsidRPr="00475BB7" w14:paraId="56A34DC6" w14:textId="77777777" w:rsidTr="00475BB7">
                              <w:trPr>
                                <w:trHeight w:val="336"/>
                              </w:trPr>
                              <w:tc>
                                <w:tcPr>
                                  <w:tcW w:w="4452" w:type="pct"/>
                                  <w:gridSpan w:val="6"/>
                                  <w:tcBorders>
                                    <w:top w:val="nil"/>
                                    <w:left w:val="nil"/>
                                    <w:bottom w:val="nil"/>
                                    <w:right w:val="nil"/>
                                  </w:tcBorders>
                                  <w:noWrap/>
                                  <w:vAlign w:val="bottom"/>
                                  <w:hideMark/>
                                </w:tcPr>
                                <w:p w14:paraId="7AF68E4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Carrefour SA (ENXTPA:CA) &gt; Financials &gt; Income Statement</w:t>
                                  </w:r>
                                </w:p>
                              </w:tc>
                              <w:tc>
                                <w:tcPr>
                                  <w:tcW w:w="548" w:type="pct"/>
                                  <w:tcBorders>
                                    <w:top w:val="nil"/>
                                    <w:left w:val="nil"/>
                                    <w:bottom w:val="nil"/>
                                    <w:right w:val="nil"/>
                                  </w:tcBorders>
                                  <w:noWrap/>
                                  <w:vAlign w:val="bottom"/>
                                  <w:hideMark/>
                                </w:tcPr>
                                <w:p w14:paraId="5FBC5204"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r>
                            <w:tr w:rsidR="00475BB7" w:rsidRPr="00475BB7" w14:paraId="7DA06450" w14:textId="77777777" w:rsidTr="00475BB7">
                              <w:trPr>
                                <w:trHeight w:val="204"/>
                              </w:trPr>
                              <w:tc>
                                <w:tcPr>
                                  <w:tcW w:w="1578" w:type="pct"/>
                                  <w:tcBorders>
                                    <w:top w:val="nil"/>
                                    <w:left w:val="nil"/>
                                    <w:bottom w:val="nil"/>
                                    <w:right w:val="nil"/>
                                  </w:tcBorders>
                                  <w:shd w:val="clear" w:color="000000" w:fill="003366"/>
                                  <w:noWrap/>
                                  <w:vAlign w:val="bottom"/>
                                  <w:hideMark/>
                                </w:tcPr>
                                <w:p w14:paraId="51EB9B77"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Income Statement</w:t>
                                  </w:r>
                                </w:p>
                              </w:tc>
                              <w:tc>
                                <w:tcPr>
                                  <w:tcW w:w="548" w:type="pct"/>
                                  <w:tcBorders>
                                    <w:top w:val="nil"/>
                                    <w:left w:val="nil"/>
                                    <w:bottom w:val="nil"/>
                                    <w:right w:val="nil"/>
                                  </w:tcBorders>
                                  <w:shd w:val="clear" w:color="000000" w:fill="003366"/>
                                  <w:noWrap/>
                                  <w:vAlign w:val="bottom"/>
                                  <w:hideMark/>
                                </w:tcPr>
                                <w:p w14:paraId="56B80BB5"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6DA5F2A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614" w:type="pct"/>
                                  <w:tcBorders>
                                    <w:top w:val="nil"/>
                                    <w:left w:val="nil"/>
                                    <w:bottom w:val="nil"/>
                                    <w:right w:val="nil"/>
                                  </w:tcBorders>
                                  <w:shd w:val="clear" w:color="000000" w:fill="003366"/>
                                  <w:noWrap/>
                                  <w:vAlign w:val="bottom"/>
                                  <w:hideMark/>
                                </w:tcPr>
                                <w:p w14:paraId="125B9B1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5F5A46EE"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614" w:type="pct"/>
                                  <w:tcBorders>
                                    <w:top w:val="nil"/>
                                    <w:left w:val="nil"/>
                                    <w:bottom w:val="nil"/>
                                    <w:right w:val="nil"/>
                                  </w:tcBorders>
                                  <w:shd w:val="clear" w:color="000000" w:fill="003366"/>
                                  <w:noWrap/>
                                  <w:vAlign w:val="bottom"/>
                                  <w:hideMark/>
                                </w:tcPr>
                                <w:p w14:paraId="255FF66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6D7D5E87"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r>
                            <w:tr w:rsidR="00475BB7" w:rsidRPr="00475BB7" w14:paraId="13D1A2EA" w14:textId="77777777" w:rsidTr="00475BB7">
                              <w:trPr>
                                <w:trHeight w:val="816"/>
                              </w:trPr>
                              <w:tc>
                                <w:tcPr>
                                  <w:tcW w:w="1578" w:type="pct"/>
                                  <w:tcBorders>
                                    <w:top w:val="nil"/>
                                    <w:left w:val="nil"/>
                                    <w:bottom w:val="nil"/>
                                    <w:right w:val="nil"/>
                                  </w:tcBorders>
                                  <w:shd w:val="clear" w:color="000000" w:fill="F0F0DC"/>
                                  <w:vAlign w:val="bottom"/>
                                  <w:hideMark/>
                                </w:tcPr>
                                <w:p w14:paraId="0D355A42"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For the Fiscal Period Ending</w:t>
                                  </w:r>
                                </w:p>
                              </w:tc>
                              <w:tc>
                                <w:tcPr>
                                  <w:tcW w:w="548" w:type="pct"/>
                                  <w:tcBorders>
                                    <w:top w:val="nil"/>
                                    <w:left w:val="nil"/>
                                    <w:bottom w:val="nil"/>
                                    <w:right w:val="nil"/>
                                  </w:tcBorders>
                                  <w:shd w:val="clear" w:color="000000" w:fill="F0F0DC"/>
                                  <w:vAlign w:val="bottom"/>
                                  <w:hideMark/>
                                </w:tcPr>
                                <w:p w14:paraId="52D45FE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Restated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Dec-31-2019</w:t>
                                  </w:r>
                                </w:p>
                              </w:tc>
                              <w:tc>
                                <w:tcPr>
                                  <w:tcW w:w="548" w:type="pct"/>
                                  <w:tcBorders>
                                    <w:top w:val="nil"/>
                                    <w:left w:val="nil"/>
                                    <w:bottom w:val="nil"/>
                                    <w:right w:val="nil"/>
                                  </w:tcBorders>
                                  <w:shd w:val="clear" w:color="000000" w:fill="F0F0DC"/>
                                  <w:vAlign w:val="bottom"/>
                                  <w:hideMark/>
                                </w:tcPr>
                                <w:p w14:paraId="3871120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Dec-31-2020</w:t>
                                  </w:r>
                                </w:p>
                              </w:tc>
                              <w:tc>
                                <w:tcPr>
                                  <w:tcW w:w="614" w:type="pct"/>
                                  <w:tcBorders>
                                    <w:top w:val="nil"/>
                                    <w:left w:val="nil"/>
                                    <w:bottom w:val="nil"/>
                                    <w:right w:val="nil"/>
                                  </w:tcBorders>
                                  <w:shd w:val="clear" w:color="000000" w:fill="F0F0DC"/>
                                  <w:vAlign w:val="bottom"/>
                                  <w:hideMark/>
                                </w:tcPr>
                                <w:p w14:paraId="64CCF42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Reclassified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Dec-31-2021</w:t>
                                  </w:r>
                                </w:p>
                              </w:tc>
                              <w:tc>
                                <w:tcPr>
                                  <w:tcW w:w="548" w:type="pct"/>
                                  <w:tcBorders>
                                    <w:top w:val="nil"/>
                                    <w:left w:val="nil"/>
                                    <w:bottom w:val="nil"/>
                                    <w:right w:val="nil"/>
                                  </w:tcBorders>
                                  <w:shd w:val="clear" w:color="000000" w:fill="F0F0DC"/>
                                  <w:vAlign w:val="bottom"/>
                                  <w:hideMark/>
                                </w:tcPr>
                                <w:p w14:paraId="25BF47B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Dec-31-2022</w:t>
                                  </w:r>
                                </w:p>
                              </w:tc>
                              <w:tc>
                                <w:tcPr>
                                  <w:tcW w:w="614" w:type="pct"/>
                                  <w:tcBorders>
                                    <w:top w:val="nil"/>
                                    <w:left w:val="nil"/>
                                    <w:bottom w:val="nil"/>
                                    <w:right w:val="nil"/>
                                  </w:tcBorders>
                                  <w:shd w:val="clear" w:color="000000" w:fill="F0F0DC"/>
                                  <w:vAlign w:val="bottom"/>
                                  <w:hideMark/>
                                </w:tcPr>
                                <w:p w14:paraId="362E551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Reclassified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Dec-31-2023</w:t>
                                  </w:r>
                                </w:p>
                              </w:tc>
                              <w:tc>
                                <w:tcPr>
                                  <w:tcW w:w="548" w:type="pct"/>
                                  <w:tcBorders>
                                    <w:top w:val="nil"/>
                                    <w:left w:val="nil"/>
                                    <w:bottom w:val="nil"/>
                                    <w:right w:val="nil"/>
                                  </w:tcBorders>
                                  <w:shd w:val="clear" w:color="000000" w:fill="F0F0DC"/>
                                  <w:vAlign w:val="bottom"/>
                                  <w:hideMark/>
                                </w:tcPr>
                                <w:p w14:paraId="2A838D5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Dec-31-2024</w:t>
                                  </w:r>
                                </w:p>
                              </w:tc>
                            </w:tr>
                            <w:tr w:rsidR="00475BB7" w:rsidRPr="00475BB7" w14:paraId="4A9F2A73" w14:textId="77777777" w:rsidTr="00475BB7">
                              <w:trPr>
                                <w:trHeight w:val="204"/>
                              </w:trPr>
                              <w:tc>
                                <w:tcPr>
                                  <w:tcW w:w="1578" w:type="pct"/>
                                  <w:tcBorders>
                                    <w:top w:val="nil"/>
                                    <w:left w:val="nil"/>
                                    <w:bottom w:val="nil"/>
                                    <w:right w:val="nil"/>
                                  </w:tcBorders>
                                  <w:shd w:val="clear" w:color="000000" w:fill="F0F0DC"/>
                                  <w:vAlign w:val="bottom"/>
                                  <w:hideMark/>
                                </w:tcPr>
                                <w:p w14:paraId="6C63A4DA" w14:textId="77777777" w:rsidR="00475BB7" w:rsidRPr="00475BB7" w:rsidRDefault="00475BB7" w:rsidP="00475BB7">
                                  <w:pPr>
                                    <w:spacing w:after="0" w:line="240" w:lineRule="auto"/>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Currency</w:t>
                                  </w:r>
                                </w:p>
                              </w:tc>
                              <w:tc>
                                <w:tcPr>
                                  <w:tcW w:w="548" w:type="pct"/>
                                  <w:tcBorders>
                                    <w:top w:val="nil"/>
                                    <w:left w:val="nil"/>
                                    <w:bottom w:val="nil"/>
                                    <w:right w:val="nil"/>
                                  </w:tcBorders>
                                  <w:shd w:val="clear" w:color="000000" w:fill="F0F0DC"/>
                                  <w:vAlign w:val="bottom"/>
                                  <w:hideMark/>
                                </w:tcPr>
                                <w:p w14:paraId="45B821BA"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43F2B104"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614" w:type="pct"/>
                                  <w:tcBorders>
                                    <w:top w:val="nil"/>
                                    <w:left w:val="nil"/>
                                    <w:bottom w:val="nil"/>
                                    <w:right w:val="nil"/>
                                  </w:tcBorders>
                                  <w:shd w:val="clear" w:color="000000" w:fill="F0F0DC"/>
                                  <w:vAlign w:val="bottom"/>
                                  <w:hideMark/>
                                </w:tcPr>
                                <w:p w14:paraId="507DB521"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019A8231"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614" w:type="pct"/>
                                  <w:tcBorders>
                                    <w:top w:val="nil"/>
                                    <w:left w:val="nil"/>
                                    <w:bottom w:val="nil"/>
                                    <w:right w:val="nil"/>
                                  </w:tcBorders>
                                  <w:shd w:val="clear" w:color="000000" w:fill="F0F0DC"/>
                                  <w:vAlign w:val="bottom"/>
                                  <w:hideMark/>
                                </w:tcPr>
                                <w:p w14:paraId="1F81450E"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3D42E6DB"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r>
                            <w:tr w:rsidR="003C2F53" w:rsidRPr="00475BB7" w14:paraId="21250272" w14:textId="77777777" w:rsidTr="00475BB7">
                              <w:trPr>
                                <w:trHeight w:val="204"/>
                              </w:trPr>
                              <w:tc>
                                <w:tcPr>
                                  <w:tcW w:w="1578" w:type="pct"/>
                                  <w:tcBorders>
                                    <w:top w:val="nil"/>
                                    <w:left w:val="nil"/>
                                    <w:bottom w:val="nil"/>
                                    <w:right w:val="nil"/>
                                  </w:tcBorders>
                                  <w:noWrap/>
                                  <w:hideMark/>
                                </w:tcPr>
                                <w:p w14:paraId="572C597D"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Revenue</w:t>
                                  </w:r>
                                </w:p>
                              </w:tc>
                              <w:tc>
                                <w:tcPr>
                                  <w:tcW w:w="548" w:type="pct"/>
                                  <w:tcBorders>
                                    <w:top w:val="nil"/>
                                    <w:left w:val="nil"/>
                                    <w:bottom w:val="nil"/>
                                    <w:right w:val="nil"/>
                                  </w:tcBorders>
                                  <w:hideMark/>
                                </w:tcPr>
                                <w:p w14:paraId="5B71F6D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80.4 </w:t>
                                  </w:r>
                                </w:p>
                              </w:tc>
                              <w:tc>
                                <w:tcPr>
                                  <w:tcW w:w="548" w:type="pct"/>
                                  <w:tcBorders>
                                    <w:top w:val="nil"/>
                                    <w:left w:val="nil"/>
                                    <w:bottom w:val="nil"/>
                                    <w:right w:val="nil"/>
                                  </w:tcBorders>
                                  <w:hideMark/>
                                </w:tcPr>
                                <w:p w14:paraId="3E17553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85.6 </w:t>
                                  </w:r>
                                </w:p>
                              </w:tc>
                              <w:tc>
                                <w:tcPr>
                                  <w:tcW w:w="614" w:type="pct"/>
                                  <w:tcBorders>
                                    <w:top w:val="nil"/>
                                    <w:left w:val="nil"/>
                                    <w:bottom w:val="nil"/>
                                    <w:right w:val="nil"/>
                                  </w:tcBorders>
                                  <w:hideMark/>
                                </w:tcPr>
                                <w:p w14:paraId="202C36C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79.2 </w:t>
                                  </w:r>
                                </w:p>
                              </w:tc>
                              <w:tc>
                                <w:tcPr>
                                  <w:tcW w:w="548" w:type="pct"/>
                                  <w:tcBorders>
                                    <w:top w:val="nil"/>
                                    <w:left w:val="nil"/>
                                    <w:bottom w:val="nil"/>
                                    <w:right w:val="nil"/>
                                  </w:tcBorders>
                                  <w:hideMark/>
                                </w:tcPr>
                                <w:p w14:paraId="5B3D70E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86.1 </w:t>
                                  </w:r>
                                </w:p>
                              </w:tc>
                              <w:tc>
                                <w:tcPr>
                                  <w:tcW w:w="614" w:type="pct"/>
                                  <w:tcBorders>
                                    <w:top w:val="nil"/>
                                    <w:left w:val="nil"/>
                                    <w:bottom w:val="nil"/>
                                    <w:right w:val="nil"/>
                                  </w:tcBorders>
                                  <w:hideMark/>
                                </w:tcPr>
                                <w:p w14:paraId="5F21A2F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90.9 </w:t>
                                  </w:r>
                                </w:p>
                              </w:tc>
                              <w:tc>
                                <w:tcPr>
                                  <w:tcW w:w="548" w:type="pct"/>
                                  <w:tcBorders>
                                    <w:top w:val="nil"/>
                                    <w:left w:val="nil"/>
                                    <w:bottom w:val="nil"/>
                                    <w:right w:val="nil"/>
                                  </w:tcBorders>
                                  <w:hideMark/>
                                </w:tcPr>
                                <w:p w14:paraId="2874BA8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87.5 </w:t>
                                  </w:r>
                                </w:p>
                              </w:tc>
                            </w:tr>
                            <w:tr w:rsidR="003C2F53" w:rsidRPr="00475BB7" w14:paraId="002343A9" w14:textId="77777777" w:rsidTr="00475BB7">
                              <w:trPr>
                                <w:trHeight w:val="204"/>
                              </w:trPr>
                              <w:tc>
                                <w:tcPr>
                                  <w:tcW w:w="1578" w:type="pct"/>
                                  <w:tcBorders>
                                    <w:top w:val="nil"/>
                                    <w:left w:val="nil"/>
                                    <w:bottom w:val="nil"/>
                                    <w:right w:val="nil"/>
                                  </w:tcBorders>
                                  <w:noWrap/>
                                  <w:hideMark/>
                                </w:tcPr>
                                <w:p w14:paraId="23DB9FBD"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Revenue</w:t>
                                  </w:r>
                                </w:p>
                              </w:tc>
                              <w:tc>
                                <w:tcPr>
                                  <w:tcW w:w="548" w:type="pct"/>
                                  <w:tcBorders>
                                    <w:top w:val="nil"/>
                                    <w:left w:val="nil"/>
                                    <w:bottom w:val="nil"/>
                                    <w:right w:val="nil"/>
                                  </w:tcBorders>
                                  <w:hideMark/>
                                </w:tcPr>
                                <w:p w14:paraId="3B8BE4B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00D1E5C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2.4 </w:t>
                                  </w:r>
                                </w:p>
                              </w:tc>
                              <w:tc>
                                <w:tcPr>
                                  <w:tcW w:w="614" w:type="pct"/>
                                  <w:tcBorders>
                                    <w:top w:val="nil"/>
                                    <w:left w:val="nil"/>
                                    <w:bottom w:val="nil"/>
                                    <w:right w:val="nil"/>
                                  </w:tcBorders>
                                  <w:hideMark/>
                                </w:tcPr>
                                <w:p w14:paraId="0F69881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c>
                                <w:tcPr>
                                  <w:tcW w:w="548" w:type="pct"/>
                                  <w:tcBorders>
                                    <w:top w:val="nil"/>
                                    <w:left w:val="nil"/>
                                    <w:bottom w:val="nil"/>
                                    <w:right w:val="nil"/>
                                  </w:tcBorders>
                                  <w:hideMark/>
                                </w:tcPr>
                                <w:p w14:paraId="5E97CBE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00763C9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2.7 </w:t>
                                  </w:r>
                                </w:p>
                              </w:tc>
                              <w:tc>
                                <w:tcPr>
                                  <w:tcW w:w="548" w:type="pct"/>
                                  <w:tcBorders>
                                    <w:top w:val="nil"/>
                                    <w:left w:val="nil"/>
                                    <w:bottom w:val="nil"/>
                                    <w:right w:val="nil"/>
                                  </w:tcBorders>
                                  <w:hideMark/>
                                </w:tcPr>
                                <w:p w14:paraId="52FE48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r>
                            <w:tr w:rsidR="003C2F53" w:rsidRPr="00475BB7" w14:paraId="53EC664D" w14:textId="77777777" w:rsidTr="00475BB7">
                              <w:trPr>
                                <w:trHeight w:val="204"/>
                              </w:trPr>
                              <w:tc>
                                <w:tcPr>
                                  <w:tcW w:w="1578" w:type="pct"/>
                                  <w:tcBorders>
                                    <w:top w:val="nil"/>
                                    <w:left w:val="nil"/>
                                    <w:bottom w:val="nil"/>
                                    <w:right w:val="nil"/>
                                  </w:tcBorders>
                                  <w:noWrap/>
                                  <w:hideMark/>
                                </w:tcPr>
                                <w:p w14:paraId="63E76583"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Total Revenue</w:t>
                                  </w:r>
                                </w:p>
                              </w:tc>
                              <w:tc>
                                <w:tcPr>
                                  <w:tcW w:w="548" w:type="pct"/>
                                  <w:tcBorders>
                                    <w:top w:val="single" w:sz="4" w:space="0" w:color="000000"/>
                                    <w:left w:val="nil"/>
                                    <w:bottom w:val="nil"/>
                                    <w:right w:val="nil"/>
                                  </w:tcBorders>
                                  <w:hideMark/>
                                </w:tcPr>
                                <w:p w14:paraId="3F2E387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82.9 </w:t>
                                  </w:r>
                                </w:p>
                              </w:tc>
                              <w:tc>
                                <w:tcPr>
                                  <w:tcW w:w="548" w:type="pct"/>
                                  <w:tcBorders>
                                    <w:top w:val="single" w:sz="4" w:space="0" w:color="000000"/>
                                    <w:left w:val="nil"/>
                                    <w:bottom w:val="nil"/>
                                    <w:right w:val="nil"/>
                                  </w:tcBorders>
                                  <w:hideMark/>
                                </w:tcPr>
                                <w:p w14:paraId="6B3A233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88.0 </w:t>
                                  </w:r>
                                </w:p>
                              </w:tc>
                              <w:tc>
                                <w:tcPr>
                                  <w:tcW w:w="614" w:type="pct"/>
                                  <w:tcBorders>
                                    <w:top w:val="single" w:sz="4" w:space="0" w:color="000000"/>
                                    <w:left w:val="nil"/>
                                    <w:bottom w:val="nil"/>
                                    <w:right w:val="nil"/>
                                  </w:tcBorders>
                                  <w:hideMark/>
                                </w:tcPr>
                                <w:p w14:paraId="306524C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81.4 </w:t>
                                  </w:r>
                                </w:p>
                              </w:tc>
                              <w:tc>
                                <w:tcPr>
                                  <w:tcW w:w="548" w:type="pct"/>
                                  <w:tcBorders>
                                    <w:top w:val="single" w:sz="4" w:space="0" w:color="000000"/>
                                    <w:left w:val="nil"/>
                                    <w:bottom w:val="nil"/>
                                    <w:right w:val="nil"/>
                                  </w:tcBorders>
                                  <w:hideMark/>
                                </w:tcPr>
                                <w:p w14:paraId="3341E58D"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88.6 </w:t>
                                  </w:r>
                                </w:p>
                              </w:tc>
                              <w:tc>
                                <w:tcPr>
                                  <w:tcW w:w="614" w:type="pct"/>
                                  <w:tcBorders>
                                    <w:top w:val="single" w:sz="4" w:space="0" w:color="000000"/>
                                    <w:left w:val="nil"/>
                                    <w:bottom w:val="nil"/>
                                    <w:right w:val="nil"/>
                                  </w:tcBorders>
                                  <w:hideMark/>
                                </w:tcPr>
                                <w:p w14:paraId="02102F9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93.6 </w:t>
                                  </w:r>
                                </w:p>
                              </w:tc>
                              <w:tc>
                                <w:tcPr>
                                  <w:tcW w:w="548" w:type="pct"/>
                                  <w:tcBorders>
                                    <w:top w:val="single" w:sz="4" w:space="0" w:color="000000"/>
                                    <w:left w:val="nil"/>
                                    <w:bottom w:val="nil"/>
                                    <w:right w:val="nil"/>
                                  </w:tcBorders>
                                  <w:hideMark/>
                                </w:tcPr>
                                <w:p w14:paraId="41FE4D6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90.1 </w:t>
                                  </w:r>
                                </w:p>
                              </w:tc>
                            </w:tr>
                            <w:tr w:rsidR="003C2F53" w:rsidRPr="00475BB7" w14:paraId="5ED24414" w14:textId="77777777" w:rsidTr="00475BB7">
                              <w:trPr>
                                <w:trHeight w:val="204"/>
                              </w:trPr>
                              <w:tc>
                                <w:tcPr>
                                  <w:tcW w:w="1578" w:type="pct"/>
                                  <w:tcBorders>
                                    <w:top w:val="nil"/>
                                    <w:left w:val="nil"/>
                                    <w:bottom w:val="nil"/>
                                    <w:right w:val="nil"/>
                                  </w:tcBorders>
                                  <w:noWrap/>
                                  <w:hideMark/>
                                </w:tcPr>
                                <w:p w14:paraId="2F1D687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Cost Of Goods Sold</w:t>
                                  </w:r>
                                </w:p>
                              </w:tc>
                              <w:tc>
                                <w:tcPr>
                                  <w:tcW w:w="548" w:type="pct"/>
                                  <w:tcBorders>
                                    <w:top w:val="nil"/>
                                    <w:left w:val="nil"/>
                                    <w:bottom w:val="nil"/>
                                    <w:right w:val="nil"/>
                                  </w:tcBorders>
                                  <w:hideMark/>
                                </w:tcPr>
                                <w:p w14:paraId="163CBA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65.9 </w:t>
                                  </w:r>
                                </w:p>
                              </w:tc>
                              <w:tc>
                                <w:tcPr>
                                  <w:tcW w:w="548" w:type="pct"/>
                                  <w:tcBorders>
                                    <w:top w:val="nil"/>
                                    <w:left w:val="nil"/>
                                    <w:bottom w:val="nil"/>
                                    <w:right w:val="nil"/>
                                  </w:tcBorders>
                                  <w:hideMark/>
                                </w:tcPr>
                                <w:p w14:paraId="32C7C4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70.3 </w:t>
                                  </w:r>
                                </w:p>
                              </w:tc>
                              <w:tc>
                                <w:tcPr>
                                  <w:tcW w:w="614" w:type="pct"/>
                                  <w:tcBorders>
                                    <w:top w:val="nil"/>
                                    <w:left w:val="nil"/>
                                    <w:bottom w:val="nil"/>
                                    <w:right w:val="nil"/>
                                  </w:tcBorders>
                                  <w:hideMark/>
                                </w:tcPr>
                                <w:p w14:paraId="34D7CB5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65.4 </w:t>
                                  </w:r>
                                </w:p>
                              </w:tc>
                              <w:tc>
                                <w:tcPr>
                                  <w:tcW w:w="548" w:type="pct"/>
                                  <w:tcBorders>
                                    <w:top w:val="nil"/>
                                    <w:left w:val="nil"/>
                                    <w:bottom w:val="nil"/>
                                    <w:right w:val="nil"/>
                                  </w:tcBorders>
                                  <w:hideMark/>
                                </w:tcPr>
                                <w:p w14:paraId="559FC06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72.2 </w:t>
                                  </w:r>
                                </w:p>
                              </w:tc>
                              <w:tc>
                                <w:tcPr>
                                  <w:tcW w:w="614" w:type="pct"/>
                                  <w:tcBorders>
                                    <w:top w:val="nil"/>
                                    <w:left w:val="nil"/>
                                    <w:bottom w:val="nil"/>
                                    <w:right w:val="nil"/>
                                  </w:tcBorders>
                                  <w:hideMark/>
                                </w:tcPr>
                                <w:p w14:paraId="6CA4674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76.3 </w:t>
                                  </w:r>
                                </w:p>
                              </w:tc>
                              <w:tc>
                                <w:tcPr>
                                  <w:tcW w:w="548" w:type="pct"/>
                                  <w:tcBorders>
                                    <w:top w:val="nil"/>
                                    <w:left w:val="nil"/>
                                    <w:bottom w:val="nil"/>
                                    <w:right w:val="nil"/>
                                  </w:tcBorders>
                                  <w:hideMark/>
                                </w:tcPr>
                                <w:p w14:paraId="7A1A52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73.7 </w:t>
                                  </w:r>
                                </w:p>
                              </w:tc>
                            </w:tr>
                            <w:tr w:rsidR="003C2F53" w:rsidRPr="00475BB7" w14:paraId="7CB7C603" w14:textId="77777777" w:rsidTr="00475BB7">
                              <w:trPr>
                                <w:trHeight w:val="204"/>
                              </w:trPr>
                              <w:tc>
                                <w:tcPr>
                                  <w:tcW w:w="1578" w:type="pct"/>
                                  <w:tcBorders>
                                    <w:top w:val="nil"/>
                                    <w:left w:val="nil"/>
                                    <w:bottom w:val="nil"/>
                                    <w:right w:val="nil"/>
                                  </w:tcBorders>
                                  <w:noWrap/>
                                  <w:hideMark/>
                                </w:tcPr>
                                <w:p w14:paraId="438AA395"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Gross Profit</w:t>
                                  </w:r>
                                </w:p>
                              </w:tc>
                              <w:tc>
                                <w:tcPr>
                                  <w:tcW w:w="548" w:type="pct"/>
                                  <w:tcBorders>
                                    <w:top w:val="single" w:sz="4" w:space="0" w:color="000000"/>
                                    <w:left w:val="nil"/>
                                    <w:bottom w:val="nil"/>
                                    <w:right w:val="nil"/>
                                  </w:tcBorders>
                                  <w:hideMark/>
                                </w:tcPr>
                                <w:p w14:paraId="38B26FA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17.0 </w:t>
                                  </w:r>
                                </w:p>
                              </w:tc>
                              <w:tc>
                                <w:tcPr>
                                  <w:tcW w:w="548" w:type="pct"/>
                                  <w:tcBorders>
                                    <w:top w:val="single" w:sz="4" w:space="0" w:color="000000"/>
                                    <w:left w:val="nil"/>
                                    <w:bottom w:val="nil"/>
                                    <w:right w:val="nil"/>
                                  </w:tcBorders>
                                  <w:hideMark/>
                                </w:tcPr>
                                <w:p w14:paraId="30735D4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17.8 </w:t>
                                  </w:r>
                                </w:p>
                              </w:tc>
                              <w:tc>
                                <w:tcPr>
                                  <w:tcW w:w="614" w:type="pct"/>
                                  <w:tcBorders>
                                    <w:top w:val="single" w:sz="4" w:space="0" w:color="000000"/>
                                    <w:left w:val="nil"/>
                                    <w:bottom w:val="nil"/>
                                    <w:right w:val="nil"/>
                                  </w:tcBorders>
                                  <w:hideMark/>
                                </w:tcPr>
                                <w:p w14:paraId="54CE11F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16.0 </w:t>
                                  </w:r>
                                </w:p>
                              </w:tc>
                              <w:tc>
                                <w:tcPr>
                                  <w:tcW w:w="548" w:type="pct"/>
                                  <w:tcBorders>
                                    <w:top w:val="single" w:sz="4" w:space="0" w:color="000000"/>
                                    <w:left w:val="nil"/>
                                    <w:bottom w:val="nil"/>
                                    <w:right w:val="nil"/>
                                  </w:tcBorders>
                                  <w:hideMark/>
                                </w:tcPr>
                                <w:p w14:paraId="0093C17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16.4 </w:t>
                                  </w:r>
                                </w:p>
                              </w:tc>
                              <w:tc>
                                <w:tcPr>
                                  <w:tcW w:w="614" w:type="pct"/>
                                  <w:tcBorders>
                                    <w:top w:val="single" w:sz="4" w:space="0" w:color="000000"/>
                                    <w:left w:val="nil"/>
                                    <w:bottom w:val="nil"/>
                                    <w:right w:val="nil"/>
                                  </w:tcBorders>
                                  <w:hideMark/>
                                </w:tcPr>
                                <w:p w14:paraId="3F70D2E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17.3 </w:t>
                                  </w:r>
                                </w:p>
                              </w:tc>
                              <w:tc>
                                <w:tcPr>
                                  <w:tcW w:w="548" w:type="pct"/>
                                  <w:tcBorders>
                                    <w:top w:val="single" w:sz="4" w:space="0" w:color="000000"/>
                                    <w:left w:val="nil"/>
                                    <w:bottom w:val="nil"/>
                                    <w:right w:val="nil"/>
                                  </w:tcBorders>
                                  <w:hideMark/>
                                </w:tcPr>
                                <w:p w14:paraId="6658EE3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16.5 </w:t>
                                  </w:r>
                                </w:p>
                              </w:tc>
                            </w:tr>
                            <w:tr w:rsidR="003C2F53" w:rsidRPr="00475BB7" w14:paraId="595241BC" w14:textId="77777777" w:rsidTr="00475BB7">
                              <w:trPr>
                                <w:trHeight w:val="204"/>
                              </w:trPr>
                              <w:tc>
                                <w:tcPr>
                                  <w:tcW w:w="1578" w:type="pct"/>
                                  <w:tcBorders>
                                    <w:top w:val="nil"/>
                                    <w:left w:val="nil"/>
                                    <w:bottom w:val="nil"/>
                                    <w:right w:val="nil"/>
                                  </w:tcBorders>
                                  <w:noWrap/>
                                  <w:hideMark/>
                                </w:tcPr>
                                <w:p w14:paraId="313461F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Selling General &amp; Admin Exp.</w:t>
                                  </w:r>
                                </w:p>
                              </w:tc>
                              <w:tc>
                                <w:tcPr>
                                  <w:tcW w:w="548" w:type="pct"/>
                                  <w:tcBorders>
                                    <w:top w:val="nil"/>
                                    <w:left w:val="nil"/>
                                    <w:bottom w:val="nil"/>
                                    <w:right w:val="nil"/>
                                  </w:tcBorders>
                                  <w:hideMark/>
                                </w:tcPr>
                                <w:p w14:paraId="419F2AC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12.0 </w:t>
                                  </w:r>
                                </w:p>
                              </w:tc>
                              <w:tc>
                                <w:tcPr>
                                  <w:tcW w:w="548" w:type="pct"/>
                                  <w:tcBorders>
                                    <w:top w:val="nil"/>
                                    <w:left w:val="nil"/>
                                    <w:bottom w:val="nil"/>
                                    <w:right w:val="nil"/>
                                  </w:tcBorders>
                                  <w:hideMark/>
                                </w:tcPr>
                                <w:p w14:paraId="123808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12.3 </w:t>
                                  </w:r>
                                </w:p>
                              </w:tc>
                              <w:tc>
                                <w:tcPr>
                                  <w:tcW w:w="614" w:type="pct"/>
                                  <w:tcBorders>
                                    <w:top w:val="nil"/>
                                    <w:left w:val="nil"/>
                                    <w:bottom w:val="nil"/>
                                    <w:right w:val="nil"/>
                                  </w:tcBorders>
                                  <w:hideMark/>
                                </w:tcPr>
                                <w:p w14:paraId="0AB58BE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11.0 </w:t>
                                  </w:r>
                                </w:p>
                              </w:tc>
                              <w:tc>
                                <w:tcPr>
                                  <w:tcW w:w="548" w:type="pct"/>
                                  <w:tcBorders>
                                    <w:top w:val="nil"/>
                                    <w:left w:val="nil"/>
                                    <w:bottom w:val="nil"/>
                                    <w:right w:val="nil"/>
                                  </w:tcBorders>
                                  <w:hideMark/>
                                </w:tcPr>
                                <w:p w14:paraId="71C47C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11.4 </w:t>
                                  </w:r>
                                </w:p>
                              </w:tc>
                              <w:tc>
                                <w:tcPr>
                                  <w:tcW w:w="614" w:type="pct"/>
                                  <w:tcBorders>
                                    <w:top w:val="nil"/>
                                    <w:left w:val="nil"/>
                                    <w:bottom w:val="nil"/>
                                    <w:right w:val="nil"/>
                                  </w:tcBorders>
                                  <w:hideMark/>
                                </w:tcPr>
                                <w:p w14:paraId="19DF759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12.2 </w:t>
                                  </w:r>
                                </w:p>
                              </w:tc>
                              <w:tc>
                                <w:tcPr>
                                  <w:tcW w:w="548" w:type="pct"/>
                                  <w:tcBorders>
                                    <w:top w:val="nil"/>
                                    <w:left w:val="nil"/>
                                    <w:bottom w:val="nil"/>
                                    <w:right w:val="nil"/>
                                  </w:tcBorders>
                                  <w:hideMark/>
                                </w:tcPr>
                                <w:p w14:paraId="2CAF3A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11.6 </w:t>
                                  </w:r>
                                </w:p>
                              </w:tc>
                            </w:tr>
                            <w:tr w:rsidR="003C2F53" w:rsidRPr="00475BB7" w14:paraId="2E204D80" w14:textId="77777777" w:rsidTr="00475BB7">
                              <w:trPr>
                                <w:trHeight w:val="204"/>
                              </w:trPr>
                              <w:tc>
                                <w:tcPr>
                                  <w:tcW w:w="1578" w:type="pct"/>
                                  <w:tcBorders>
                                    <w:top w:val="nil"/>
                                    <w:left w:val="nil"/>
                                    <w:bottom w:val="nil"/>
                                    <w:right w:val="nil"/>
                                  </w:tcBorders>
                                  <w:noWrap/>
                                  <w:hideMark/>
                                </w:tcPr>
                                <w:p w14:paraId="43B0BAAA"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Depreciation &amp; Amort.</w:t>
                                  </w:r>
                                </w:p>
                              </w:tc>
                              <w:tc>
                                <w:tcPr>
                                  <w:tcW w:w="548" w:type="pct"/>
                                  <w:tcBorders>
                                    <w:top w:val="nil"/>
                                    <w:left w:val="nil"/>
                                    <w:bottom w:val="nil"/>
                                    <w:right w:val="nil"/>
                                  </w:tcBorders>
                                  <w:hideMark/>
                                </w:tcPr>
                                <w:p w14:paraId="6DF5DEC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c>
                                <w:tcPr>
                                  <w:tcW w:w="548" w:type="pct"/>
                                  <w:tcBorders>
                                    <w:top w:val="nil"/>
                                    <w:left w:val="nil"/>
                                    <w:bottom w:val="nil"/>
                                    <w:right w:val="nil"/>
                                  </w:tcBorders>
                                  <w:hideMark/>
                                </w:tcPr>
                                <w:p w14:paraId="0C705C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4D8723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2.1 </w:t>
                                  </w:r>
                                </w:p>
                              </w:tc>
                              <w:tc>
                                <w:tcPr>
                                  <w:tcW w:w="548" w:type="pct"/>
                                  <w:tcBorders>
                                    <w:top w:val="nil"/>
                                    <w:left w:val="nil"/>
                                    <w:bottom w:val="nil"/>
                                    <w:right w:val="nil"/>
                                  </w:tcBorders>
                                  <w:hideMark/>
                                </w:tcPr>
                                <w:p w14:paraId="54579D0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2.1 </w:t>
                                  </w:r>
                                </w:p>
                              </w:tc>
                              <w:tc>
                                <w:tcPr>
                                  <w:tcW w:w="614" w:type="pct"/>
                                  <w:tcBorders>
                                    <w:top w:val="nil"/>
                                    <w:left w:val="nil"/>
                                    <w:bottom w:val="nil"/>
                                    <w:right w:val="nil"/>
                                  </w:tcBorders>
                                  <w:hideMark/>
                                </w:tcPr>
                                <w:p w14:paraId="402F2A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c>
                                <w:tcPr>
                                  <w:tcW w:w="548" w:type="pct"/>
                                  <w:tcBorders>
                                    <w:top w:val="nil"/>
                                    <w:left w:val="nil"/>
                                    <w:bottom w:val="nil"/>
                                    <w:right w:val="nil"/>
                                  </w:tcBorders>
                                  <w:hideMark/>
                                </w:tcPr>
                                <w:p w14:paraId="6C8E675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r>
                            <w:tr w:rsidR="003C2F53" w:rsidRPr="00475BB7" w14:paraId="2BDC8EDA" w14:textId="77777777" w:rsidTr="00475BB7">
                              <w:trPr>
                                <w:trHeight w:val="204"/>
                              </w:trPr>
                              <w:tc>
                                <w:tcPr>
                                  <w:tcW w:w="1578" w:type="pct"/>
                                  <w:tcBorders>
                                    <w:top w:val="nil"/>
                                    <w:left w:val="nil"/>
                                    <w:bottom w:val="nil"/>
                                    <w:right w:val="nil"/>
                                  </w:tcBorders>
                                  <w:noWrap/>
                                  <w:hideMark/>
                                </w:tcPr>
                                <w:p w14:paraId="284A04F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Operating Expense/(Income)</w:t>
                                  </w:r>
                                </w:p>
                              </w:tc>
                              <w:tc>
                                <w:tcPr>
                                  <w:tcW w:w="548" w:type="pct"/>
                                  <w:tcBorders>
                                    <w:top w:val="nil"/>
                                    <w:left w:val="nil"/>
                                    <w:bottom w:val="nil"/>
                                    <w:right w:val="nil"/>
                                  </w:tcBorders>
                                  <w:hideMark/>
                                </w:tcPr>
                                <w:p w14:paraId="3AAC321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7B09AFE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3DAF440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07D1C97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1629A20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563AE12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r>
                            <w:tr w:rsidR="003C2F53" w:rsidRPr="00475BB7" w14:paraId="532EF7D5" w14:textId="77777777" w:rsidTr="00475BB7">
                              <w:trPr>
                                <w:trHeight w:val="204"/>
                              </w:trPr>
                              <w:tc>
                                <w:tcPr>
                                  <w:tcW w:w="1578" w:type="pct"/>
                                  <w:tcBorders>
                                    <w:top w:val="nil"/>
                                    <w:left w:val="nil"/>
                                    <w:bottom w:val="nil"/>
                                    <w:right w:val="nil"/>
                                  </w:tcBorders>
                                  <w:noWrap/>
                                  <w:hideMark/>
                                </w:tcPr>
                                <w:p w14:paraId="47611A6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Other Operating Exp., Total</w:t>
                                  </w:r>
                                </w:p>
                              </w:tc>
                              <w:tc>
                                <w:tcPr>
                                  <w:tcW w:w="548" w:type="pct"/>
                                  <w:tcBorders>
                                    <w:top w:val="single" w:sz="4" w:space="0" w:color="000000"/>
                                    <w:left w:val="nil"/>
                                    <w:bottom w:val="nil"/>
                                    <w:right w:val="nil"/>
                                  </w:tcBorders>
                                  <w:hideMark/>
                                </w:tcPr>
                                <w:p w14:paraId="733FFAF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14.7 </w:t>
                                  </w:r>
                                </w:p>
                              </w:tc>
                              <w:tc>
                                <w:tcPr>
                                  <w:tcW w:w="548" w:type="pct"/>
                                  <w:tcBorders>
                                    <w:top w:val="single" w:sz="4" w:space="0" w:color="000000"/>
                                    <w:left w:val="nil"/>
                                    <w:bottom w:val="nil"/>
                                    <w:right w:val="nil"/>
                                  </w:tcBorders>
                                  <w:hideMark/>
                                </w:tcPr>
                                <w:p w14:paraId="788C1CD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15.1 </w:t>
                                  </w:r>
                                </w:p>
                              </w:tc>
                              <w:tc>
                                <w:tcPr>
                                  <w:tcW w:w="614" w:type="pct"/>
                                  <w:tcBorders>
                                    <w:top w:val="single" w:sz="4" w:space="0" w:color="000000"/>
                                    <w:left w:val="nil"/>
                                    <w:bottom w:val="nil"/>
                                    <w:right w:val="nil"/>
                                  </w:tcBorders>
                                  <w:hideMark/>
                                </w:tcPr>
                                <w:p w14:paraId="323A493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13.5 </w:t>
                                  </w:r>
                                </w:p>
                              </w:tc>
                              <w:tc>
                                <w:tcPr>
                                  <w:tcW w:w="548" w:type="pct"/>
                                  <w:tcBorders>
                                    <w:top w:val="single" w:sz="4" w:space="0" w:color="000000"/>
                                    <w:left w:val="nil"/>
                                    <w:bottom w:val="nil"/>
                                    <w:right w:val="nil"/>
                                  </w:tcBorders>
                                  <w:hideMark/>
                                </w:tcPr>
                                <w:p w14:paraId="0118250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13.9 </w:t>
                                  </w:r>
                                </w:p>
                              </w:tc>
                              <w:tc>
                                <w:tcPr>
                                  <w:tcW w:w="614" w:type="pct"/>
                                  <w:tcBorders>
                                    <w:top w:val="single" w:sz="4" w:space="0" w:color="000000"/>
                                    <w:left w:val="nil"/>
                                    <w:bottom w:val="nil"/>
                                    <w:right w:val="nil"/>
                                  </w:tcBorders>
                                  <w:hideMark/>
                                </w:tcPr>
                                <w:p w14:paraId="1651CAD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14.8 </w:t>
                                  </w:r>
                                </w:p>
                              </w:tc>
                              <w:tc>
                                <w:tcPr>
                                  <w:tcW w:w="548" w:type="pct"/>
                                  <w:tcBorders>
                                    <w:top w:val="single" w:sz="4" w:space="0" w:color="000000"/>
                                    <w:left w:val="nil"/>
                                    <w:bottom w:val="nil"/>
                                    <w:right w:val="nil"/>
                                  </w:tcBorders>
                                  <w:hideMark/>
                                </w:tcPr>
                                <w:p w14:paraId="5ADFB4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14.2 </w:t>
                                  </w:r>
                                </w:p>
                              </w:tc>
                            </w:tr>
                            <w:tr w:rsidR="003C2F53" w:rsidRPr="00475BB7" w14:paraId="5864E200" w14:textId="77777777" w:rsidTr="00475BB7">
                              <w:trPr>
                                <w:trHeight w:val="204"/>
                              </w:trPr>
                              <w:tc>
                                <w:tcPr>
                                  <w:tcW w:w="1578" w:type="pct"/>
                                  <w:tcBorders>
                                    <w:top w:val="nil"/>
                                    <w:left w:val="nil"/>
                                    <w:bottom w:val="nil"/>
                                    <w:right w:val="nil"/>
                                  </w:tcBorders>
                                  <w:noWrap/>
                                  <w:hideMark/>
                                </w:tcPr>
                                <w:p w14:paraId="4BE68516"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Operating Income</w:t>
                                  </w:r>
                                </w:p>
                              </w:tc>
                              <w:tc>
                                <w:tcPr>
                                  <w:tcW w:w="548" w:type="pct"/>
                                  <w:tcBorders>
                                    <w:top w:val="nil"/>
                                    <w:left w:val="nil"/>
                                    <w:bottom w:val="nil"/>
                                    <w:right w:val="nil"/>
                                  </w:tcBorders>
                                  <w:hideMark/>
                                </w:tcPr>
                                <w:p w14:paraId="658C8D9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2.3 </w:t>
                                  </w:r>
                                </w:p>
                              </w:tc>
                              <w:tc>
                                <w:tcPr>
                                  <w:tcW w:w="548" w:type="pct"/>
                                  <w:tcBorders>
                                    <w:top w:val="nil"/>
                                    <w:left w:val="nil"/>
                                    <w:bottom w:val="nil"/>
                                    <w:right w:val="nil"/>
                                  </w:tcBorders>
                                  <w:hideMark/>
                                </w:tcPr>
                                <w:p w14:paraId="5C2173B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2.6 </w:t>
                                  </w:r>
                                </w:p>
                              </w:tc>
                              <w:tc>
                                <w:tcPr>
                                  <w:tcW w:w="614" w:type="pct"/>
                                  <w:tcBorders>
                                    <w:top w:val="nil"/>
                                    <w:left w:val="nil"/>
                                    <w:bottom w:val="nil"/>
                                    <w:right w:val="nil"/>
                                  </w:tcBorders>
                                  <w:hideMark/>
                                </w:tcPr>
                                <w:p w14:paraId="0A61D9E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548" w:type="pct"/>
                                  <w:tcBorders>
                                    <w:top w:val="nil"/>
                                    <w:left w:val="nil"/>
                                    <w:bottom w:val="nil"/>
                                    <w:right w:val="nil"/>
                                  </w:tcBorders>
                                  <w:hideMark/>
                                </w:tcPr>
                                <w:p w14:paraId="66F0336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614" w:type="pct"/>
                                  <w:tcBorders>
                                    <w:top w:val="nil"/>
                                    <w:left w:val="nil"/>
                                    <w:bottom w:val="nil"/>
                                    <w:right w:val="nil"/>
                                  </w:tcBorders>
                                  <w:hideMark/>
                                </w:tcPr>
                                <w:p w14:paraId="27F0C5C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548" w:type="pct"/>
                                  <w:tcBorders>
                                    <w:top w:val="nil"/>
                                    <w:left w:val="nil"/>
                                    <w:bottom w:val="nil"/>
                                    <w:right w:val="nil"/>
                                  </w:tcBorders>
                                  <w:hideMark/>
                                </w:tcPr>
                                <w:p w14:paraId="5ADFD7C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2.3 </w:t>
                                  </w:r>
                                </w:p>
                              </w:tc>
                            </w:tr>
                            <w:tr w:rsidR="003C2F53" w:rsidRPr="00475BB7" w14:paraId="3932AF0C" w14:textId="77777777" w:rsidTr="00475BB7">
                              <w:trPr>
                                <w:trHeight w:val="204"/>
                              </w:trPr>
                              <w:tc>
                                <w:tcPr>
                                  <w:tcW w:w="1578" w:type="pct"/>
                                  <w:tcBorders>
                                    <w:top w:val="nil"/>
                                    <w:left w:val="nil"/>
                                    <w:bottom w:val="nil"/>
                                    <w:right w:val="nil"/>
                                  </w:tcBorders>
                                  <w:noWrap/>
                                  <w:hideMark/>
                                </w:tcPr>
                                <w:p w14:paraId="313F008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Interest Expense</w:t>
                                  </w:r>
                                </w:p>
                              </w:tc>
                              <w:tc>
                                <w:tcPr>
                                  <w:tcW w:w="548" w:type="pct"/>
                                  <w:tcBorders>
                                    <w:top w:val="nil"/>
                                    <w:left w:val="nil"/>
                                    <w:bottom w:val="nil"/>
                                    <w:right w:val="nil"/>
                                  </w:tcBorders>
                                  <w:hideMark/>
                                </w:tcPr>
                                <w:p w14:paraId="59031A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672CA33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614" w:type="pct"/>
                                  <w:tcBorders>
                                    <w:top w:val="nil"/>
                                    <w:left w:val="nil"/>
                                    <w:bottom w:val="nil"/>
                                    <w:right w:val="nil"/>
                                  </w:tcBorders>
                                  <w:hideMark/>
                                </w:tcPr>
                                <w:p w14:paraId="367DE91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17630F9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(0.5)  </w:t>
                                  </w:r>
                                </w:p>
                              </w:tc>
                              <w:tc>
                                <w:tcPr>
                                  <w:tcW w:w="614" w:type="pct"/>
                                  <w:tcBorders>
                                    <w:top w:val="nil"/>
                                    <w:left w:val="nil"/>
                                    <w:bottom w:val="nil"/>
                                    <w:right w:val="nil"/>
                                  </w:tcBorders>
                                  <w:hideMark/>
                                </w:tcPr>
                                <w:p w14:paraId="4E59C2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647D625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6E9EF975" w14:textId="77777777" w:rsidTr="00475BB7">
                              <w:trPr>
                                <w:trHeight w:val="204"/>
                              </w:trPr>
                              <w:tc>
                                <w:tcPr>
                                  <w:tcW w:w="1578" w:type="pct"/>
                                  <w:tcBorders>
                                    <w:top w:val="nil"/>
                                    <w:left w:val="nil"/>
                                    <w:bottom w:val="nil"/>
                                    <w:right w:val="nil"/>
                                  </w:tcBorders>
                                  <w:noWrap/>
                                  <w:hideMark/>
                                </w:tcPr>
                                <w:p w14:paraId="68723A7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Interest and </w:t>
                                  </w:r>
                                  <w:r w:rsidRPr="00475BB7">
                                    <w:rPr>
                                      <w:rFonts w:ascii="Cambria" w:eastAsia="Times New Roman" w:hAnsi="Cambria" w:cs="Arial"/>
                                      <w:color w:val="000000"/>
                                      <w:kern w:val="0"/>
                                      <w:sz w:val="14"/>
                                      <w:szCs w:val="14"/>
                                      <w:lang w:eastAsia="en-IN"/>
                                      <w14:ligatures w14:val="none"/>
                                    </w:rPr>
                                    <w:t>Invest. Income</w:t>
                                  </w:r>
                                </w:p>
                              </w:tc>
                              <w:tc>
                                <w:tcPr>
                                  <w:tcW w:w="548" w:type="pct"/>
                                  <w:tcBorders>
                                    <w:top w:val="nil"/>
                                    <w:left w:val="nil"/>
                                    <w:bottom w:val="nil"/>
                                    <w:right w:val="nil"/>
                                  </w:tcBorders>
                                  <w:hideMark/>
                                </w:tcPr>
                                <w:p w14:paraId="013A090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2A78250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5E32850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326DF1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154A0AB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548ADF2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40F2E99C" w14:textId="77777777" w:rsidTr="00475BB7">
                              <w:trPr>
                                <w:trHeight w:val="204"/>
                              </w:trPr>
                              <w:tc>
                                <w:tcPr>
                                  <w:tcW w:w="1578" w:type="pct"/>
                                  <w:tcBorders>
                                    <w:top w:val="nil"/>
                                    <w:left w:val="nil"/>
                                    <w:bottom w:val="nil"/>
                                    <w:right w:val="nil"/>
                                  </w:tcBorders>
                                  <w:noWrap/>
                                  <w:hideMark/>
                                </w:tcPr>
                                <w:p w14:paraId="63D50319"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Interest Exp.</w:t>
                                  </w:r>
                                </w:p>
                              </w:tc>
                              <w:tc>
                                <w:tcPr>
                                  <w:tcW w:w="548" w:type="pct"/>
                                  <w:tcBorders>
                                    <w:top w:val="single" w:sz="4" w:space="0" w:color="000000"/>
                                    <w:left w:val="nil"/>
                                    <w:bottom w:val="nil"/>
                                    <w:right w:val="nil"/>
                                  </w:tcBorders>
                                  <w:hideMark/>
                                </w:tcPr>
                                <w:p w14:paraId="7DE4D13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548" w:type="pct"/>
                                  <w:tcBorders>
                                    <w:top w:val="single" w:sz="4" w:space="0" w:color="000000"/>
                                    <w:left w:val="nil"/>
                                    <w:bottom w:val="nil"/>
                                    <w:right w:val="nil"/>
                                  </w:tcBorders>
                                  <w:hideMark/>
                                </w:tcPr>
                                <w:p w14:paraId="4E3A08F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614" w:type="pct"/>
                                  <w:tcBorders>
                                    <w:top w:val="single" w:sz="4" w:space="0" w:color="000000"/>
                                    <w:left w:val="nil"/>
                                    <w:bottom w:val="nil"/>
                                    <w:right w:val="nil"/>
                                  </w:tcBorders>
                                  <w:hideMark/>
                                </w:tcPr>
                                <w:p w14:paraId="237790C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548" w:type="pct"/>
                                  <w:tcBorders>
                                    <w:top w:val="single" w:sz="4" w:space="0" w:color="000000"/>
                                    <w:left w:val="nil"/>
                                    <w:bottom w:val="nil"/>
                                    <w:right w:val="nil"/>
                                  </w:tcBorders>
                                  <w:hideMark/>
                                </w:tcPr>
                                <w:p w14:paraId="3CF9E4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(0.5)  </w:t>
                                  </w:r>
                                </w:p>
                              </w:tc>
                              <w:tc>
                                <w:tcPr>
                                  <w:tcW w:w="614" w:type="pct"/>
                                  <w:tcBorders>
                                    <w:top w:val="single" w:sz="4" w:space="0" w:color="000000"/>
                                    <w:left w:val="nil"/>
                                    <w:bottom w:val="nil"/>
                                    <w:right w:val="nil"/>
                                  </w:tcBorders>
                                  <w:hideMark/>
                                </w:tcPr>
                                <w:p w14:paraId="59D23DF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(0.5)  </w:t>
                                  </w:r>
                                </w:p>
                              </w:tc>
                              <w:tc>
                                <w:tcPr>
                                  <w:tcW w:w="548" w:type="pct"/>
                                  <w:tcBorders>
                                    <w:top w:val="single" w:sz="4" w:space="0" w:color="000000"/>
                                    <w:left w:val="nil"/>
                                    <w:bottom w:val="nil"/>
                                    <w:right w:val="nil"/>
                                  </w:tcBorders>
                                  <w:hideMark/>
                                </w:tcPr>
                                <w:p w14:paraId="71A0CD5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(0.6)  </w:t>
                                  </w:r>
                                </w:p>
                              </w:tc>
                            </w:tr>
                            <w:tr w:rsidR="003C2F53" w:rsidRPr="00475BB7" w14:paraId="3B1A5A0B" w14:textId="77777777" w:rsidTr="00475BB7">
                              <w:trPr>
                                <w:trHeight w:val="204"/>
                              </w:trPr>
                              <w:tc>
                                <w:tcPr>
                                  <w:tcW w:w="1578" w:type="pct"/>
                                  <w:tcBorders>
                                    <w:top w:val="nil"/>
                                    <w:left w:val="nil"/>
                                    <w:bottom w:val="nil"/>
                                    <w:right w:val="nil"/>
                                  </w:tcBorders>
                                  <w:noWrap/>
                                  <w:hideMark/>
                                </w:tcPr>
                                <w:p w14:paraId="41F8DF8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Income/(Loss) from Affiliates</w:t>
                                  </w:r>
                                </w:p>
                              </w:tc>
                              <w:tc>
                                <w:tcPr>
                                  <w:tcW w:w="548" w:type="pct"/>
                                  <w:tcBorders>
                                    <w:top w:val="nil"/>
                                    <w:left w:val="nil"/>
                                    <w:bottom w:val="nil"/>
                                    <w:right w:val="nil"/>
                                  </w:tcBorders>
                                  <w:hideMark/>
                                </w:tcPr>
                                <w:p w14:paraId="03A3764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30FCC1B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6BA0F12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18507D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62F1155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5CD2BE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425D1DCA" w14:textId="77777777" w:rsidTr="00475BB7">
                              <w:trPr>
                                <w:trHeight w:val="204"/>
                              </w:trPr>
                              <w:tc>
                                <w:tcPr>
                                  <w:tcW w:w="1578" w:type="pct"/>
                                  <w:tcBorders>
                                    <w:top w:val="nil"/>
                                    <w:left w:val="nil"/>
                                    <w:bottom w:val="nil"/>
                                    <w:right w:val="nil"/>
                                  </w:tcBorders>
                                  <w:noWrap/>
                                  <w:hideMark/>
                                </w:tcPr>
                                <w:p w14:paraId="7CFD2E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Currency Exchange Gains (Loss)</w:t>
                                  </w:r>
                                </w:p>
                              </w:tc>
                              <w:tc>
                                <w:tcPr>
                                  <w:tcW w:w="548" w:type="pct"/>
                                  <w:tcBorders>
                                    <w:top w:val="nil"/>
                                    <w:left w:val="nil"/>
                                    <w:bottom w:val="nil"/>
                                    <w:right w:val="nil"/>
                                  </w:tcBorders>
                                  <w:hideMark/>
                                </w:tcPr>
                                <w:p w14:paraId="17DB170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4B0E938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093F4A5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C129A7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50BD3C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06B755A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r>
                            <w:tr w:rsidR="003C2F53" w:rsidRPr="00475BB7" w14:paraId="5993CB00" w14:textId="77777777" w:rsidTr="00475BB7">
                              <w:trPr>
                                <w:trHeight w:val="204"/>
                              </w:trPr>
                              <w:tc>
                                <w:tcPr>
                                  <w:tcW w:w="1578" w:type="pct"/>
                                  <w:tcBorders>
                                    <w:top w:val="nil"/>
                                    <w:left w:val="nil"/>
                                    <w:bottom w:val="nil"/>
                                    <w:right w:val="nil"/>
                                  </w:tcBorders>
                                  <w:noWrap/>
                                  <w:hideMark/>
                                </w:tcPr>
                                <w:p w14:paraId="094CA47B"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Non-Operating Inc. (Exp.)</w:t>
                                  </w:r>
                                </w:p>
                              </w:tc>
                              <w:tc>
                                <w:tcPr>
                                  <w:tcW w:w="548" w:type="pct"/>
                                  <w:tcBorders>
                                    <w:top w:val="nil"/>
                                    <w:left w:val="nil"/>
                                    <w:bottom w:val="nil"/>
                                    <w:right w:val="nil"/>
                                  </w:tcBorders>
                                  <w:hideMark/>
                                </w:tcPr>
                                <w:p w14:paraId="5C4EAAD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50FD08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162C629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3FCE83C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70A27C7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248D3E1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7F34497A" w14:textId="77777777" w:rsidTr="00475BB7">
                              <w:trPr>
                                <w:trHeight w:val="204"/>
                              </w:trPr>
                              <w:tc>
                                <w:tcPr>
                                  <w:tcW w:w="1578" w:type="pct"/>
                                  <w:tcBorders>
                                    <w:top w:val="nil"/>
                                    <w:left w:val="nil"/>
                                    <w:bottom w:val="nil"/>
                                    <w:right w:val="nil"/>
                                  </w:tcBorders>
                                  <w:noWrap/>
                                  <w:hideMark/>
                                </w:tcPr>
                                <w:p w14:paraId="15DFA64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EBT Excl. Unusual Items</w:t>
                                  </w:r>
                                </w:p>
                              </w:tc>
                              <w:tc>
                                <w:tcPr>
                                  <w:tcW w:w="548" w:type="pct"/>
                                  <w:tcBorders>
                                    <w:top w:val="single" w:sz="4" w:space="0" w:color="000000"/>
                                    <w:left w:val="nil"/>
                                    <w:bottom w:val="nil"/>
                                    <w:right w:val="nil"/>
                                  </w:tcBorders>
                                  <w:hideMark/>
                                </w:tcPr>
                                <w:p w14:paraId="3FF9CAA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1.9 </w:t>
                                  </w:r>
                                </w:p>
                              </w:tc>
                              <w:tc>
                                <w:tcPr>
                                  <w:tcW w:w="548" w:type="pct"/>
                                  <w:tcBorders>
                                    <w:top w:val="single" w:sz="4" w:space="0" w:color="000000"/>
                                    <w:left w:val="nil"/>
                                    <w:bottom w:val="nil"/>
                                    <w:right w:val="nil"/>
                                  </w:tcBorders>
                                  <w:hideMark/>
                                </w:tcPr>
                                <w:p w14:paraId="6CDF531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2.2 </w:t>
                                  </w:r>
                                </w:p>
                              </w:tc>
                              <w:tc>
                                <w:tcPr>
                                  <w:tcW w:w="614" w:type="pct"/>
                                  <w:tcBorders>
                                    <w:top w:val="single" w:sz="4" w:space="0" w:color="000000"/>
                                    <w:left w:val="nil"/>
                                    <w:bottom w:val="nil"/>
                                    <w:right w:val="nil"/>
                                  </w:tcBorders>
                                  <w:hideMark/>
                                </w:tcPr>
                                <w:p w14:paraId="4E84441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2.2 </w:t>
                                  </w:r>
                                </w:p>
                              </w:tc>
                              <w:tc>
                                <w:tcPr>
                                  <w:tcW w:w="548" w:type="pct"/>
                                  <w:tcBorders>
                                    <w:top w:val="single" w:sz="4" w:space="0" w:color="000000"/>
                                    <w:left w:val="nil"/>
                                    <w:bottom w:val="nil"/>
                                    <w:right w:val="nil"/>
                                  </w:tcBorders>
                                  <w:hideMark/>
                                </w:tcPr>
                                <w:p w14:paraId="43352E5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2.0 </w:t>
                                  </w:r>
                                </w:p>
                              </w:tc>
                              <w:tc>
                                <w:tcPr>
                                  <w:tcW w:w="614" w:type="pct"/>
                                  <w:tcBorders>
                                    <w:top w:val="single" w:sz="4" w:space="0" w:color="000000"/>
                                    <w:left w:val="nil"/>
                                    <w:bottom w:val="nil"/>
                                    <w:right w:val="nil"/>
                                  </w:tcBorders>
                                  <w:hideMark/>
                                </w:tcPr>
                                <w:p w14:paraId="6A40002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2.0 </w:t>
                                  </w:r>
                                </w:p>
                              </w:tc>
                              <w:tc>
                                <w:tcPr>
                                  <w:tcW w:w="548" w:type="pct"/>
                                  <w:tcBorders>
                                    <w:top w:val="single" w:sz="4" w:space="0" w:color="000000"/>
                                    <w:left w:val="nil"/>
                                    <w:bottom w:val="nil"/>
                                    <w:right w:val="nil"/>
                                  </w:tcBorders>
                                  <w:hideMark/>
                                </w:tcPr>
                                <w:p w14:paraId="34536AC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 </w:t>
                                  </w:r>
                                </w:p>
                              </w:tc>
                            </w:tr>
                            <w:tr w:rsidR="003C2F53" w:rsidRPr="00475BB7" w14:paraId="5422DC2B" w14:textId="77777777" w:rsidTr="00475BB7">
                              <w:trPr>
                                <w:trHeight w:val="204"/>
                              </w:trPr>
                              <w:tc>
                                <w:tcPr>
                                  <w:tcW w:w="1578" w:type="pct"/>
                                  <w:tcBorders>
                                    <w:top w:val="nil"/>
                                    <w:left w:val="nil"/>
                                    <w:bottom w:val="nil"/>
                                    <w:right w:val="nil"/>
                                  </w:tcBorders>
                                  <w:noWrap/>
                                  <w:hideMark/>
                                </w:tcPr>
                                <w:p w14:paraId="13F3D0D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Restructuring Charges</w:t>
                                  </w:r>
                                </w:p>
                              </w:tc>
                              <w:tc>
                                <w:tcPr>
                                  <w:tcW w:w="548" w:type="pct"/>
                                  <w:tcBorders>
                                    <w:top w:val="nil"/>
                                    <w:left w:val="nil"/>
                                    <w:bottom w:val="nil"/>
                                    <w:right w:val="nil"/>
                                  </w:tcBorders>
                                  <w:hideMark/>
                                </w:tcPr>
                                <w:p w14:paraId="0B9ED9B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548" w:type="pct"/>
                                  <w:tcBorders>
                                    <w:top w:val="nil"/>
                                    <w:left w:val="nil"/>
                                    <w:bottom w:val="nil"/>
                                    <w:right w:val="nil"/>
                                  </w:tcBorders>
                                  <w:hideMark/>
                                </w:tcPr>
                                <w:p w14:paraId="6813EC2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5F5722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2CC1578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1047F95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343444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22BEAEB4" w14:textId="77777777" w:rsidTr="00475BB7">
                              <w:trPr>
                                <w:trHeight w:val="204"/>
                              </w:trPr>
                              <w:tc>
                                <w:tcPr>
                                  <w:tcW w:w="1578" w:type="pct"/>
                                  <w:tcBorders>
                                    <w:top w:val="nil"/>
                                    <w:left w:val="nil"/>
                                    <w:bottom w:val="nil"/>
                                    <w:right w:val="nil"/>
                                  </w:tcBorders>
                                  <w:noWrap/>
                                  <w:hideMark/>
                                </w:tcPr>
                                <w:p w14:paraId="586541B9"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Impairment of Goodwill</w:t>
                                  </w:r>
                                </w:p>
                              </w:tc>
                              <w:tc>
                                <w:tcPr>
                                  <w:tcW w:w="548" w:type="pct"/>
                                  <w:tcBorders>
                                    <w:top w:val="nil"/>
                                    <w:left w:val="nil"/>
                                    <w:bottom w:val="nil"/>
                                    <w:right w:val="nil"/>
                                  </w:tcBorders>
                                  <w:hideMark/>
                                </w:tcPr>
                                <w:p w14:paraId="3F9749D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9F7E18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25946CB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4A1A519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6EB8C36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412E27E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310A292C" w14:textId="77777777" w:rsidTr="00475BB7">
                              <w:trPr>
                                <w:trHeight w:val="204"/>
                              </w:trPr>
                              <w:tc>
                                <w:tcPr>
                                  <w:tcW w:w="1578" w:type="pct"/>
                                  <w:tcBorders>
                                    <w:top w:val="nil"/>
                                    <w:left w:val="nil"/>
                                    <w:bottom w:val="nil"/>
                                    <w:right w:val="nil"/>
                                  </w:tcBorders>
                                  <w:noWrap/>
                                  <w:hideMark/>
                                </w:tcPr>
                                <w:p w14:paraId="0840EFAF"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Gain (Loss) On Sale Of Invest.</w:t>
                                  </w:r>
                                </w:p>
                              </w:tc>
                              <w:tc>
                                <w:tcPr>
                                  <w:tcW w:w="548" w:type="pct"/>
                                  <w:tcBorders>
                                    <w:top w:val="nil"/>
                                    <w:left w:val="nil"/>
                                    <w:bottom w:val="nil"/>
                                    <w:right w:val="nil"/>
                                  </w:tcBorders>
                                  <w:hideMark/>
                                </w:tcPr>
                                <w:p w14:paraId="3E37BA3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AEF4E7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49A2AC9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00C4B41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153E95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1CF6543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r>
                            <w:tr w:rsidR="003C2F53" w:rsidRPr="00475BB7" w14:paraId="2DF855EC" w14:textId="77777777" w:rsidTr="00475BB7">
                              <w:trPr>
                                <w:trHeight w:val="204"/>
                              </w:trPr>
                              <w:tc>
                                <w:tcPr>
                                  <w:tcW w:w="1578" w:type="pct"/>
                                  <w:tcBorders>
                                    <w:top w:val="nil"/>
                                    <w:left w:val="nil"/>
                                    <w:bottom w:val="nil"/>
                                    <w:right w:val="nil"/>
                                  </w:tcBorders>
                                  <w:noWrap/>
                                  <w:hideMark/>
                                </w:tcPr>
                                <w:p w14:paraId="6DDA54FC"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Asset </w:t>
                                  </w:r>
                                  <w:r w:rsidRPr="00475BB7">
                                    <w:rPr>
                                      <w:rFonts w:ascii="Cambria" w:eastAsia="Times New Roman" w:hAnsi="Cambria" w:cs="Arial"/>
                                      <w:color w:val="000000"/>
                                      <w:kern w:val="0"/>
                                      <w:sz w:val="14"/>
                                      <w:szCs w:val="14"/>
                                      <w:lang w:eastAsia="en-IN"/>
                                      <w14:ligatures w14:val="none"/>
                                    </w:rPr>
                                    <w:t>Writedown</w:t>
                                  </w:r>
                                </w:p>
                              </w:tc>
                              <w:tc>
                                <w:tcPr>
                                  <w:tcW w:w="548" w:type="pct"/>
                                  <w:tcBorders>
                                    <w:top w:val="nil"/>
                                    <w:left w:val="nil"/>
                                    <w:bottom w:val="nil"/>
                                    <w:right w:val="nil"/>
                                  </w:tcBorders>
                                  <w:hideMark/>
                                </w:tcPr>
                                <w:p w14:paraId="6BFB417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210C5D4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726288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49258E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40CE752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4B704A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5E786F0B" w14:textId="77777777" w:rsidTr="00475BB7">
                              <w:trPr>
                                <w:trHeight w:val="204"/>
                              </w:trPr>
                              <w:tc>
                                <w:tcPr>
                                  <w:tcW w:w="1578" w:type="pct"/>
                                  <w:tcBorders>
                                    <w:top w:val="nil"/>
                                    <w:left w:val="nil"/>
                                    <w:bottom w:val="nil"/>
                                    <w:right w:val="nil"/>
                                  </w:tcBorders>
                                  <w:noWrap/>
                                  <w:hideMark/>
                                </w:tcPr>
                                <w:p w14:paraId="2B050C1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Legal Settlements</w:t>
                                  </w:r>
                                </w:p>
                              </w:tc>
                              <w:tc>
                                <w:tcPr>
                                  <w:tcW w:w="548" w:type="pct"/>
                                  <w:tcBorders>
                                    <w:top w:val="nil"/>
                                    <w:left w:val="nil"/>
                                    <w:bottom w:val="nil"/>
                                    <w:right w:val="nil"/>
                                  </w:tcBorders>
                                  <w:hideMark/>
                                </w:tcPr>
                                <w:p w14:paraId="7BAC86A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4B74B8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26DA3C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1D59C4D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17E0D78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7B825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r>
                            <w:tr w:rsidR="003C2F53" w:rsidRPr="00475BB7" w14:paraId="4D77360B" w14:textId="77777777" w:rsidTr="00475BB7">
                              <w:trPr>
                                <w:trHeight w:val="204"/>
                              </w:trPr>
                              <w:tc>
                                <w:tcPr>
                                  <w:tcW w:w="1578" w:type="pct"/>
                                  <w:tcBorders>
                                    <w:top w:val="nil"/>
                                    <w:left w:val="nil"/>
                                    <w:bottom w:val="nil"/>
                                    <w:right w:val="nil"/>
                                  </w:tcBorders>
                                  <w:noWrap/>
                                  <w:hideMark/>
                                </w:tcPr>
                                <w:p w14:paraId="4D48DE7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Unusual Items</w:t>
                                  </w:r>
                                </w:p>
                              </w:tc>
                              <w:tc>
                                <w:tcPr>
                                  <w:tcW w:w="548" w:type="pct"/>
                                  <w:tcBorders>
                                    <w:top w:val="nil"/>
                                    <w:left w:val="nil"/>
                                    <w:bottom w:val="nil"/>
                                    <w:right w:val="nil"/>
                                  </w:tcBorders>
                                  <w:hideMark/>
                                </w:tcPr>
                                <w:p w14:paraId="7F8AB95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07F631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0AE7193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5EBEEF9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614" w:type="pct"/>
                                  <w:tcBorders>
                                    <w:top w:val="nil"/>
                                    <w:left w:val="nil"/>
                                    <w:bottom w:val="nil"/>
                                    <w:right w:val="nil"/>
                                  </w:tcBorders>
                                  <w:hideMark/>
                                </w:tcPr>
                                <w:p w14:paraId="5DFACF9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9FBD71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7FDA0E88" w14:textId="77777777" w:rsidTr="00475BB7">
                              <w:trPr>
                                <w:trHeight w:val="204"/>
                              </w:trPr>
                              <w:tc>
                                <w:tcPr>
                                  <w:tcW w:w="1578" w:type="pct"/>
                                  <w:tcBorders>
                                    <w:top w:val="nil"/>
                                    <w:left w:val="nil"/>
                                    <w:bottom w:val="nil"/>
                                    <w:right w:val="nil"/>
                                  </w:tcBorders>
                                  <w:noWrap/>
                                  <w:hideMark/>
                                </w:tcPr>
                                <w:p w14:paraId="71610FB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EBT Incl. Unusual Items</w:t>
                                  </w:r>
                                </w:p>
                              </w:tc>
                              <w:tc>
                                <w:tcPr>
                                  <w:tcW w:w="548" w:type="pct"/>
                                  <w:tcBorders>
                                    <w:top w:val="single" w:sz="4" w:space="0" w:color="000000"/>
                                    <w:left w:val="nil"/>
                                    <w:bottom w:val="nil"/>
                                    <w:right w:val="nil"/>
                                  </w:tcBorders>
                                  <w:hideMark/>
                                </w:tcPr>
                                <w:p w14:paraId="33A604B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548" w:type="pct"/>
                                  <w:tcBorders>
                                    <w:top w:val="single" w:sz="4" w:space="0" w:color="000000"/>
                                    <w:left w:val="nil"/>
                                    <w:bottom w:val="nil"/>
                                    <w:right w:val="nil"/>
                                  </w:tcBorders>
                                  <w:hideMark/>
                                </w:tcPr>
                                <w:p w14:paraId="0310349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1FBEDA6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single" w:sz="4" w:space="0" w:color="000000"/>
                                    <w:left w:val="nil"/>
                                    <w:bottom w:val="nil"/>
                                    <w:right w:val="nil"/>
                                  </w:tcBorders>
                                  <w:hideMark/>
                                </w:tcPr>
                                <w:p w14:paraId="77CD6ED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2.1 </w:t>
                                  </w:r>
                                </w:p>
                              </w:tc>
                              <w:tc>
                                <w:tcPr>
                                  <w:tcW w:w="614" w:type="pct"/>
                                  <w:tcBorders>
                                    <w:top w:val="single" w:sz="4" w:space="0" w:color="000000"/>
                                    <w:left w:val="nil"/>
                                    <w:bottom w:val="nil"/>
                                    <w:right w:val="nil"/>
                                  </w:tcBorders>
                                  <w:hideMark/>
                                </w:tcPr>
                                <w:p w14:paraId="1F21511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5C31DC3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1.1 </w:t>
                                  </w:r>
                                </w:p>
                              </w:tc>
                            </w:tr>
                            <w:tr w:rsidR="003C2F53" w:rsidRPr="00475BB7" w14:paraId="59082589" w14:textId="77777777" w:rsidTr="00475BB7">
                              <w:trPr>
                                <w:trHeight w:val="204"/>
                              </w:trPr>
                              <w:tc>
                                <w:tcPr>
                                  <w:tcW w:w="1578" w:type="pct"/>
                                  <w:tcBorders>
                                    <w:top w:val="nil"/>
                                    <w:left w:val="nil"/>
                                    <w:bottom w:val="nil"/>
                                    <w:right w:val="nil"/>
                                  </w:tcBorders>
                                  <w:noWrap/>
                                  <w:hideMark/>
                                </w:tcPr>
                                <w:p w14:paraId="6B6C6E77"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Income Tax Expense</w:t>
                                  </w:r>
                                </w:p>
                              </w:tc>
                              <w:tc>
                                <w:tcPr>
                                  <w:tcW w:w="548" w:type="pct"/>
                                  <w:tcBorders>
                                    <w:top w:val="nil"/>
                                    <w:left w:val="nil"/>
                                    <w:bottom w:val="nil"/>
                                    <w:right w:val="nil"/>
                                  </w:tcBorders>
                                  <w:hideMark/>
                                </w:tcPr>
                                <w:p w14:paraId="39D6BD3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548" w:type="pct"/>
                                  <w:tcBorders>
                                    <w:top w:val="nil"/>
                                    <w:left w:val="nil"/>
                                    <w:bottom w:val="nil"/>
                                    <w:right w:val="nil"/>
                                  </w:tcBorders>
                                  <w:hideMark/>
                                </w:tcPr>
                                <w:p w14:paraId="7E250BA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614" w:type="pct"/>
                                  <w:tcBorders>
                                    <w:top w:val="nil"/>
                                    <w:left w:val="nil"/>
                                    <w:bottom w:val="nil"/>
                                    <w:right w:val="nil"/>
                                  </w:tcBorders>
                                  <w:hideMark/>
                                </w:tcPr>
                                <w:p w14:paraId="6E3C82A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226DD02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69D6857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0.5 </w:t>
                                  </w:r>
                                </w:p>
                              </w:tc>
                              <w:tc>
                                <w:tcPr>
                                  <w:tcW w:w="548" w:type="pct"/>
                                  <w:tcBorders>
                                    <w:top w:val="nil"/>
                                    <w:left w:val="nil"/>
                                    <w:bottom w:val="nil"/>
                                    <w:right w:val="nil"/>
                                  </w:tcBorders>
                                  <w:hideMark/>
                                </w:tcPr>
                                <w:p w14:paraId="65CBDD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r>
                            <w:tr w:rsidR="003C2F53" w:rsidRPr="00475BB7" w14:paraId="01602EF2" w14:textId="77777777" w:rsidTr="00475BB7">
                              <w:trPr>
                                <w:trHeight w:val="204"/>
                              </w:trPr>
                              <w:tc>
                                <w:tcPr>
                                  <w:tcW w:w="1578" w:type="pct"/>
                                  <w:tcBorders>
                                    <w:top w:val="nil"/>
                                    <w:left w:val="nil"/>
                                    <w:bottom w:val="nil"/>
                                    <w:right w:val="nil"/>
                                  </w:tcBorders>
                                  <w:noWrap/>
                                  <w:hideMark/>
                                </w:tcPr>
                                <w:p w14:paraId="2894D77B"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Earnings from Cont. Ops.</w:t>
                                  </w:r>
                                </w:p>
                              </w:tc>
                              <w:tc>
                                <w:tcPr>
                                  <w:tcW w:w="548" w:type="pct"/>
                                  <w:tcBorders>
                                    <w:top w:val="single" w:sz="4" w:space="0" w:color="000000"/>
                                    <w:left w:val="nil"/>
                                    <w:bottom w:val="nil"/>
                                    <w:right w:val="nil"/>
                                  </w:tcBorders>
                                  <w:hideMark/>
                                </w:tcPr>
                                <w:p w14:paraId="711B53E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0.2 </w:t>
                                  </w:r>
                                </w:p>
                              </w:tc>
                              <w:tc>
                                <w:tcPr>
                                  <w:tcW w:w="548" w:type="pct"/>
                                  <w:tcBorders>
                                    <w:top w:val="single" w:sz="4" w:space="0" w:color="000000"/>
                                    <w:left w:val="nil"/>
                                    <w:bottom w:val="nil"/>
                                    <w:right w:val="nil"/>
                                  </w:tcBorders>
                                  <w:hideMark/>
                                </w:tcPr>
                                <w:p w14:paraId="406FF84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614" w:type="pct"/>
                                  <w:tcBorders>
                                    <w:top w:val="single" w:sz="4" w:space="0" w:color="000000"/>
                                    <w:left w:val="nil"/>
                                    <w:bottom w:val="nil"/>
                                    <w:right w:val="nil"/>
                                  </w:tcBorders>
                                  <w:hideMark/>
                                </w:tcPr>
                                <w:p w14:paraId="229395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 </w:t>
                                  </w:r>
                                </w:p>
                              </w:tc>
                              <w:tc>
                                <w:tcPr>
                                  <w:tcW w:w="548" w:type="pct"/>
                                  <w:tcBorders>
                                    <w:top w:val="single" w:sz="4" w:space="0" w:color="000000"/>
                                    <w:left w:val="nil"/>
                                    <w:bottom w:val="nil"/>
                                    <w:right w:val="nil"/>
                                  </w:tcBorders>
                                  <w:hideMark/>
                                </w:tcPr>
                                <w:p w14:paraId="12ED72C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3A59502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548" w:type="pct"/>
                                  <w:tcBorders>
                                    <w:top w:val="single" w:sz="4" w:space="0" w:color="000000"/>
                                    <w:left w:val="nil"/>
                                    <w:bottom w:val="nil"/>
                                    <w:right w:val="nil"/>
                                  </w:tcBorders>
                                  <w:hideMark/>
                                </w:tcPr>
                                <w:p w14:paraId="0F63C3E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r>
                            <w:tr w:rsidR="003C2F53" w:rsidRPr="00475BB7" w14:paraId="060605FC" w14:textId="77777777" w:rsidTr="00475BB7">
                              <w:trPr>
                                <w:trHeight w:val="204"/>
                              </w:trPr>
                              <w:tc>
                                <w:tcPr>
                                  <w:tcW w:w="1578" w:type="pct"/>
                                  <w:tcBorders>
                                    <w:top w:val="nil"/>
                                    <w:left w:val="nil"/>
                                    <w:bottom w:val="nil"/>
                                    <w:right w:val="nil"/>
                                  </w:tcBorders>
                                  <w:noWrap/>
                                  <w:hideMark/>
                                </w:tcPr>
                                <w:p w14:paraId="61F5B734"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Earnings of Discontinued Ops.</w:t>
                                  </w:r>
                                </w:p>
                              </w:tc>
                              <w:tc>
                                <w:tcPr>
                                  <w:tcW w:w="548" w:type="pct"/>
                                  <w:tcBorders>
                                    <w:top w:val="nil"/>
                                    <w:left w:val="nil"/>
                                    <w:bottom w:val="nil"/>
                                    <w:right w:val="nil"/>
                                  </w:tcBorders>
                                  <w:hideMark/>
                                </w:tcPr>
                                <w:p w14:paraId="2A82361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 </w:t>
                                  </w:r>
                                </w:p>
                              </w:tc>
                              <w:tc>
                                <w:tcPr>
                                  <w:tcW w:w="548" w:type="pct"/>
                                  <w:tcBorders>
                                    <w:top w:val="nil"/>
                                    <w:left w:val="nil"/>
                                    <w:bottom w:val="nil"/>
                                    <w:right w:val="nil"/>
                                  </w:tcBorders>
                                  <w:hideMark/>
                                </w:tcPr>
                                <w:p w14:paraId="6060BF8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7AA0955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D8D97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3C0B166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106822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t>
                                  </w:r>
                                </w:p>
                              </w:tc>
                            </w:tr>
                            <w:tr w:rsidR="003C2F53" w:rsidRPr="00475BB7" w14:paraId="5823FFE7" w14:textId="77777777" w:rsidTr="00475BB7">
                              <w:trPr>
                                <w:trHeight w:val="204"/>
                              </w:trPr>
                              <w:tc>
                                <w:tcPr>
                                  <w:tcW w:w="1578" w:type="pct"/>
                                  <w:tcBorders>
                                    <w:top w:val="nil"/>
                                    <w:left w:val="nil"/>
                                    <w:bottom w:val="nil"/>
                                    <w:right w:val="nil"/>
                                  </w:tcBorders>
                                  <w:noWrap/>
                                  <w:hideMark/>
                                </w:tcPr>
                                <w:p w14:paraId="3020598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Income to Company</w:t>
                                  </w:r>
                                </w:p>
                              </w:tc>
                              <w:tc>
                                <w:tcPr>
                                  <w:tcW w:w="548" w:type="pct"/>
                                  <w:tcBorders>
                                    <w:top w:val="single" w:sz="4" w:space="0" w:color="000000"/>
                                    <w:left w:val="nil"/>
                                    <w:bottom w:val="nil"/>
                                    <w:right w:val="nil"/>
                                  </w:tcBorders>
                                  <w:hideMark/>
                                </w:tcPr>
                                <w:p w14:paraId="6418819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1B30520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614" w:type="pct"/>
                                  <w:tcBorders>
                                    <w:top w:val="single" w:sz="4" w:space="0" w:color="000000"/>
                                    <w:left w:val="nil"/>
                                    <w:bottom w:val="nil"/>
                                    <w:right w:val="nil"/>
                                  </w:tcBorders>
                                  <w:hideMark/>
                                </w:tcPr>
                                <w:p w14:paraId="27C6A32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0A6E61F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47B032A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single" w:sz="4" w:space="0" w:color="000000"/>
                                    <w:left w:val="nil"/>
                                    <w:bottom w:val="nil"/>
                                    <w:right w:val="nil"/>
                                  </w:tcBorders>
                                  <w:hideMark/>
                                </w:tcPr>
                                <w:p w14:paraId="4D9494F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r>
                            <w:tr w:rsidR="003C2F53" w:rsidRPr="00475BB7" w14:paraId="1766B4B7" w14:textId="77777777" w:rsidTr="00475BB7">
                              <w:trPr>
                                <w:trHeight w:val="204"/>
                              </w:trPr>
                              <w:tc>
                                <w:tcPr>
                                  <w:tcW w:w="1578" w:type="pct"/>
                                  <w:tcBorders>
                                    <w:top w:val="nil"/>
                                    <w:left w:val="nil"/>
                                    <w:bottom w:val="nil"/>
                                    <w:right w:val="nil"/>
                                  </w:tcBorders>
                                  <w:noWrap/>
                                  <w:hideMark/>
                                </w:tcPr>
                                <w:p w14:paraId="781D2CE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Minority Int. in Earnings</w:t>
                                  </w:r>
                                </w:p>
                              </w:tc>
                              <w:tc>
                                <w:tcPr>
                                  <w:tcW w:w="548" w:type="pct"/>
                                  <w:tcBorders>
                                    <w:top w:val="nil"/>
                                    <w:left w:val="nil"/>
                                    <w:bottom w:val="nil"/>
                                    <w:right w:val="nil"/>
                                  </w:tcBorders>
                                  <w:hideMark/>
                                </w:tcPr>
                                <w:p w14:paraId="124FF6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20BDE2B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2FB0227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1326CC6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527B71F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64CFEA9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65516555" w14:textId="77777777" w:rsidTr="00475BB7">
                              <w:trPr>
                                <w:trHeight w:val="204"/>
                              </w:trPr>
                              <w:tc>
                                <w:tcPr>
                                  <w:tcW w:w="1578" w:type="pct"/>
                                  <w:tcBorders>
                                    <w:top w:val="nil"/>
                                    <w:left w:val="nil"/>
                                    <w:bottom w:val="nil"/>
                                    <w:right w:val="nil"/>
                                  </w:tcBorders>
                                  <w:noWrap/>
                                  <w:hideMark/>
                                </w:tcPr>
                                <w:p w14:paraId="5A2F838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Income</w:t>
                                  </w:r>
                                </w:p>
                              </w:tc>
                              <w:tc>
                                <w:tcPr>
                                  <w:tcW w:w="548" w:type="pct"/>
                                  <w:tcBorders>
                                    <w:top w:val="single" w:sz="4" w:space="0" w:color="000000"/>
                                    <w:left w:val="nil"/>
                                    <w:bottom w:val="nil"/>
                                    <w:right w:val="nil"/>
                                  </w:tcBorders>
                                  <w:hideMark/>
                                </w:tcPr>
                                <w:p w14:paraId="6BD4E07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1.3 </w:t>
                                  </w:r>
                                </w:p>
                              </w:tc>
                              <w:tc>
                                <w:tcPr>
                                  <w:tcW w:w="548" w:type="pct"/>
                                  <w:tcBorders>
                                    <w:top w:val="single" w:sz="4" w:space="0" w:color="000000"/>
                                    <w:left w:val="nil"/>
                                    <w:bottom w:val="nil"/>
                                    <w:right w:val="nil"/>
                                  </w:tcBorders>
                                  <w:hideMark/>
                                </w:tcPr>
                                <w:p w14:paraId="60B38DE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0.8 </w:t>
                                  </w:r>
                                </w:p>
                              </w:tc>
                              <w:tc>
                                <w:tcPr>
                                  <w:tcW w:w="614" w:type="pct"/>
                                  <w:tcBorders>
                                    <w:top w:val="single" w:sz="4" w:space="0" w:color="000000"/>
                                    <w:left w:val="nil"/>
                                    <w:bottom w:val="nil"/>
                                    <w:right w:val="nil"/>
                                  </w:tcBorders>
                                  <w:hideMark/>
                                </w:tcPr>
                                <w:p w14:paraId="6357563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1.2 </w:t>
                                  </w:r>
                                </w:p>
                              </w:tc>
                              <w:tc>
                                <w:tcPr>
                                  <w:tcW w:w="548" w:type="pct"/>
                                  <w:tcBorders>
                                    <w:top w:val="single" w:sz="4" w:space="0" w:color="000000"/>
                                    <w:left w:val="nil"/>
                                    <w:bottom w:val="nil"/>
                                    <w:right w:val="nil"/>
                                  </w:tcBorders>
                                  <w:hideMark/>
                                </w:tcPr>
                                <w:p w14:paraId="2894706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1.4 </w:t>
                                  </w:r>
                                </w:p>
                              </w:tc>
                              <w:tc>
                                <w:tcPr>
                                  <w:tcW w:w="614" w:type="pct"/>
                                  <w:tcBorders>
                                    <w:top w:val="single" w:sz="4" w:space="0" w:color="000000"/>
                                    <w:left w:val="nil"/>
                                    <w:bottom w:val="nil"/>
                                    <w:right w:val="nil"/>
                                  </w:tcBorders>
                                  <w:hideMark/>
                                </w:tcPr>
                                <w:p w14:paraId="61A7E34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1.8 </w:t>
                                  </w:r>
                                </w:p>
                              </w:tc>
                              <w:tc>
                                <w:tcPr>
                                  <w:tcW w:w="548" w:type="pct"/>
                                  <w:tcBorders>
                                    <w:top w:val="single" w:sz="4" w:space="0" w:color="000000"/>
                                    <w:left w:val="nil"/>
                                    <w:bottom w:val="nil"/>
                                    <w:right w:val="nil"/>
                                  </w:tcBorders>
                                  <w:hideMark/>
                                </w:tcPr>
                                <w:p w14:paraId="00C6CA7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0.7 </w:t>
                                  </w:r>
                                </w:p>
                              </w:tc>
                            </w:tr>
                            <w:tr w:rsidR="003C2F53" w:rsidRPr="00475BB7" w14:paraId="02CAA5A5" w14:textId="77777777" w:rsidTr="00475BB7">
                              <w:trPr>
                                <w:trHeight w:val="204"/>
                              </w:trPr>
                              <w:tc>
                                <w:tcPr>
                                  <w:tcW w:w="1578" w:type="pct"/>
                                  <w:tcBorders>
                                    <w:top w:val="nil"/>
                                    <w:left w:val="nil"/>
                                    <w:bottom w:val="nil"/>
                                    <w:right w:val="nil"/>
                                  </w:tcBorders>
                                  <w:noWrap/>
                                  <w:hideMark/>
                                </w:tcPr>
                                <w:p w14:paraId="7EA959A0"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NI to Common Incl Extra Items</w:t>
                                  </w:r>
                                </w:p>
                              </w:tc>
                              <w:tc>
                                <w:tcPr>
                                  <w:tcW w:w="548" w:type="pct"/>
                                  <w:tcBorders>
                                    <w:top w:val="nil"/>
                                    <w:left w:val="nil"/>
                                    <w:bottom w:val="nil"/>
                                    <w:right w:val="nil"/>
                                  </w:tcBorders>
                                  <w:hideMark/>
                                </w:tcPr>
                                <w:p w14:paraId="41E03C1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 </w:t>
                                  </w:r>
                                </w:p>
                              </w:tc>
                              <w:tc>
                                <w:tcPr>
                                  <w:tcW w:w="548" w:type="pct"/>
                                  <w:tcBorders>
                                    <w:top w:val="nil"/>
                                    <w:left w:val="nil"/>
                                    <w:bottom w:val="nil"/>
                                    <w:right w:val="nil"/>
                                  </w:tcBorders>
                                  <w:hideMark/>
                                </w:tcPr>
                                <w:p w14:paraId="526D5C9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614" w:type="pct"/>
                                  <w:tcBorders>
                                    <w:top w:val="nil"/>
                                    <w:left w:val="nil"/>
                                    <w:bottom w:val="nil"/>
                                    <w:right w:val="nil"/>
                                  </w:tcBorders>
                                  <w:hideMark/>
                                </w:tcPr>
                                <w:p w14:paraId="48854BA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1.2 </w:t>
                                  </w:r>
                                </w:p>
                              </w:tc>
                              <w:tc>
                                <w:tcPr>
                                  <w:tcW w:w="548" w:type="pct"/>
                                  <w:tcBorders>
                                    <w:top w:val="nil"/>
                                    <w:left w:val="nil"/>
                                    <w:bottom w:val="nil"/>
                                    <w:right w:val="nil"/>
                                  </w:tcBorders>
                                  <w:hideMark/>
                                </w:tcPr>
                                <w:p w14:paraId="3CB4B7E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 </w:t>
                                  </w:r>
                                </w:p>
                              </w:tc>
                              <w:tc>
                                <w:tcPr>
                                  <w:tcW w:w="614" w:type="pct"/>
                                  <w:tcBorders>
                                    <w:top w:val="nil"/>
                                    <w:left w:val="nil"/>
                                    <w:bottom w:val="nil"/>
                                    <w:right w:val="nil"/>
                                  </w:tcBorders>
                                  <w:hideMark/>
                                </w:tcPr>
                                <w:p w14:paraId="7C0048D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nil"/>
                                    <w:left w:val="nil"/>
                                    <w:bottom w:val="nil"/>
                                    <w:right w:val="nil"/>
                                  </w:tcBorders>
                                  <w:hideMark/>
                                </w:tcPr>
                                <w:p w14:paraId="31F7998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0.7 </w:t>
                                  </w:r>
                                </w:p>
                              </w:tc>
                            </w:tr>
                            <w:tr w:rsidR="003C2F53" w:rsidRPr="00475BB7" w14:paraId="605277E8" w14:textId="77777777" w:rsidTr="00475BB7">
                              <w:trPr>
                                <w:trHeight w:val="204"/>
                              </w:trPr>
                              <w:tc>
                                <w:tcPr>
                                  <w:tcW w:w="1578" w:type="pct"/>
                                  <w:tcBorders>
                                    <w:top w:val="nil"/>
                                    <w:left w:val="nil"/>
                                    <w:bottom w:val="nil"/>
                                    <w:right w:val="nil"/>
                                  </w:tcBorders>
                                  <w:noWrap/>
                                  <w:hideMark/>
                                </w:tcPr>
                                <w:p w14:paraId="3341623D"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NI to Common Excl. Extra Items</w:t>
                                  </w:r>
                                </w:p>
                              </w:tc>
                              <w:tc>
                                <w:tcPr>
                                  <w:tcW w:w="548" w:type="pct"/>
                                  <w:tcBorders>
                                    <w:top w:val="nil"/>
                                    <w:left w:val="nil"/>
                                    <w:bottom w:val="nil"/>
                                    <w:right w:val="nil"/>
                                  </w:tcBorders>
                                  <w:hideMark/>
                                </w:tcPr>
                                <w:p w14:paraId="6E6299F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0.0 </w:t>
                                  </w:r>
                                </w:p>
                              </w:tc>
                              <w:tc>
                                <w:tcPr>
                                  <w:tcW w:w="548" w:type="pct"/>
                                  <w:tcBorders>
                                    <w:top w:val="nil"/>
                                    <w:left w:val="nil"/>
                                    <w:bottom w:val="nil"/>
                                    <w:right w:val="nil"/>
                                  </w:tcBorders>
                                  <w:hideMark/>
                                </w:tcPr>
                                <w:p w14:paraId="57B8DD5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614" w:type="pct"/>
                                  <w:tcBorders>
                                    <w:top w:val="nil"/>
                                    <w:left w:val="nil"/>
                                    <w:bottom w:val="nil"/>
                                    <w:right w:val="nil"/>
                                  </w:tcBorders>
                                  <w:hideMark/>
                                </w:tcPr>
                                <w:p w14:paraId="6A0F1E6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1.1 </w:t>
                                  </w:r>
                                </w:p>
                              </w:tc>
                              <w:tc>
                                <w:tcPr>
                                  <w:tcW w:w="548" w:type="pct"/>
                                  <w:tcBorders>
                                    <w:top w:val="nil"/>
                                    <w:left w:val="nil"/>
                                    <w:bottom w:val="nil"/>
                                    <w:right w:val="nil"/>
                                  </w:tcBorders>
                                  <w:hideMark/>
                                </w:tcPr>
                                <w:p w14:paraId="610E352D"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614" w:type="pct"/>
                                  <w:tcBorders>
                                    <w:top w:val="nil"/>
                                    <w:left w:val="nil"/>
                                    <w:bottom w:val="nil"/>
                                    <w:right w:val="nil"/>
                                  </w:tcBorders>
                                  <w:hideMark/>
                                </w:tcPr>
                                <w:p w14:paraId="791ADE6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548" w:type="pct"/>
                                  <w:tcBorders>
                                    <w:top w:val="nil"/>
                                    <w:left w:val="nil"/>
                                    <w:bottom w:val="nil"/>
                                    <w:right w:val="nil"/>
                                  </w:tcBorders>
                                  <w:hideMark/>
                                </w:tcPr>
                                <w:p w14:paraId="16D40F0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0.7 </w:t>
                                  </w:r>
                                </w:p>
                              </w:tc>
                            </w:tr>
                            <w:tr w:rsidR="00475BB7" w:rsidRPr="00475BB7" w14:paraId="015945F5" w14:textId="77777777" w:rsidTr="00475BB7">
                              <w:trPr>
                                <w:trHeight w:val="204"/>
                              </w:trPr>
                              <w:tc>
                                <w:tcPr>
                                  <w:tcW w:w="1578" w:type="pct"/>
                                  <w:tcBorders>
                                    <w:top w:val="nil"/>
                                    <w:left w:val="nil"/>
                                    <w:bottom w:val="nil"/>
                                    <w:right w:val="nil"/>
                                  </w:tcBorders>
                                  <w:noWrap/>
                                  <w:hideMark/>
                                </w:tcPr>
                                <w:p w14:paraId="56CEE7BB"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Per Share Items</w:t>
                                  </w:r>
                                </w:p>
                              </w:tc>
                              <w:tc>
                                <w:tcPr>
                                  <w:tcW w:w="548" w:type="pct"/>
                                  <w:tcBorders>
                                    <w:top w:val="nil"/>
                                    <w:left w:val="nil"/>
                                    <w:bottom w:val="nil"/>
                                    <w:right w:val="nil"/>
                                  </w:tcBorders>
                                  <w:noWrap/>
                                  <w:hideMark/>
                                </w:tcPr>
                                <w:p w14:paraId="5A9CD2B7"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c>
                                <w:tcPr>
                                  <w:tcW w:w="548" w:type="pct"/>
                                  <w:tcBorders>
                                    <w:top w:val="nil"/>
                                    <w:left w:val="nil"/>
                                    <w:bottom w:val="nil"/>
                                    <w:right w:val="nil"/>
                                  </w:tcBorders>
                                  <w:noWrap/>
                                  <w:hideMark/>
                                </w:tcPr>
                                <w:p w14:paraId="4D4C91E4"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0D85C8C0"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607316F5"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3A44B176"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7858CA64"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r>
                            <w:tr w:rsidR="003C2F53" w:rsidRPr="00475BB7" w14:paraId="5D713406" w14:textId="77777777" w:rsidTr="00475BB7">
                              <w:trPr>
                                <w:trHeight w:val="204"/>
                              </w:trPr>
                              <w:tc>
                                <w:tcPr>
                                  <w:tcW w:w="1578" w:type="pct"/>
                                  <w:tcBorders>
                                    <w:top w:val="nil"/>
                                    <w:left w:val="nil"/>
                                    <w:bottom w:val="nil"/>
                                    <w:right w:val="nil"/>
                                  </w:tcBorders>
                                  <w:noWrap/>
                                  <w:hideMark/>
                                </w:tcPr>
                                <w:p w14:paraId="58DD839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Basic EPS</w:t>
                                  </w:r>
                                </w:p>
                              </w:tc>
                              <w:tc>
                                <w:tcPr>
                                  <w:tcW w:w="548" w:type="pct"/>
                                  <w:tcBorders>
                                    <w:top w:val="nil"/>
                                    <w:left w:val="nil"/>
                                    <w:bottom w:val="nil"/>
                                    <w:right w:val="nil"/>
                                  </w:tcBorders>
                                  <w:hideMark/>
                                </w:tcPr>
                                <w:p w14:paraId="450D616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$1.6 </w:t>
                                  </w:r>
                                </w:p>
                              </w:tc>
                              <w:tc>
                                <w:tcPr>
                                  <w:tcW w:w="548" w:type="pct"/>
                                  <w:tcBorders>
                                    <w:top w:val="nil"/>
                                    <w:left w:val="nil"/>
                                    <w:bottom w:val="nil"/>
                                    <w:right w:val="nil"/>
                                  </w:tcBorders>
                                  <w:hideMark/>
                                </w:tcPr>
                                <w:p w14:paraId="2D5E071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$0.97 </w:t>
                                  </w:r>
                                </w:p>
                              </w:tc>
                              <w:tc>
                                <w:tcPr>
                                  <w:tcW w:w="614" w:type="pct"/>
                                  <w:tcBorders>
                                    <w:top w:val="nil"/>
                                    <w:left w:val="nil"/>
                                    <w:bottom w:val="nil"/>
                                    <w:right w:val="nil"/>
                                  </w:tcBorders>
                                  <w:hideMark/>
                                </w:tcPr>
                                <w:p w14:paraId="0B435F1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$1.55 </w:t>
                                  </w:r>
                                </w:p>
                              </w:tc>
                              <w:tc>
                                <w:tcPr>
                                  <w:tcW w:w="548" w:type="pct"/>
                                  <w:tcBorders>
                                    <w:top w:val="nil"/>
                                    <w:left w:val="nil"/>
                                    <w:bottom w:val="nil"/>
                                    <w:right w:val="nil"/>
                                  </w:tcBorders>
                                  <w:hideMark/>
                                </w:tcPr>
                                <w:p w14:paraId="32A4C03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$1.94 </w:t>
                                  </w:r>
                                </w:p>
                              </w:tc>
                              <w:tc>
                                <w:tcPr>
                                  <w:tcW w:w="614" w:type="pct"/>
                                  <w:tcBorders>
                                    <w:top w:val="nil"/>
                                    <w:left w:val="nil"/>
                                    <w:bottom w:val="nil"/>
                                    <w:right w:val="nil"/>
                                  </w:tcBorders>
                                  <w:hideMark/>
                                </w:tcPr>
                                <w:p w14:paraId="756FC2C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$2.57 </w:t>
                                  </w:r>
                                </w:p>
                              </w:tc>
                              <w:tc>
                                <w:tcPr>
                                  <w:tcW w:w="548" w:type="pct"/>
                                  <w:tcBorders>
                                    <w:top w:val="nil"/>
                                    <w:left w:val="nil"/>
                                    <w:bottom w:val="nil"/>
                                    <w:right w:val="nil"/>
                                  </w:tcBorders>
                                  <w:hideMark/>
                                </w:tcPr>
                                <w:p w14:paraId="5B90CF6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$1.12 </w:t>
                                  </w:r>
                                </w:p>
                              </w:tc>
                            </w:tr>
                            <w:tr w:rsidR="003C2F53" w:rsidRPr="00475BB7" w14:paraId="42EF189B" w14:textId="77777777" w:rsidTr="00475BB7">
                              <w:trPr>
                                <w:trHeight w:val="204"/>
                              </w:trPr>
                              <w:tc>
                                <w:tcPr>
                                  <w:tcW w:w="1578" w:type="pct"/>
                                  <w:tcBorders>
                                    <w:top w:val="nil"/>
                                    <w:left w:val="nil"/>
                                    <w:bottom w:val="nil"/>
                                    <w:right w:val="nil"/>
                                  </w:tcBorders>
                                  <w:noWrap/>
                                  <w:hideMark/>
                                </w:tcPr>
                                <w:p w14:paraId="5AE5BE5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Basic EPS Excl. Extra Items</w:t>
                                  </w:r>
                                </w:p>
                              </w:tc>
                              <w:tc>
                                <w:tcPr>
                                  <w:tcW w:w="548" w:type="pct"/>
                                  <w:tcBorders>
                                    <w:top w:val="nil"/>
                                    <w:left w:val="nil"/>
                                    <w:bottom w:val="nil"/>
                                    <w:right w:val="nil"/>
                                  </w:tcBorders>
                                  <w:hideMark/>
                                </w:tcPr>
                                <w:p w14:paraId="3AC318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0.04 </w:t>
                                  </w:r>
                                </w:p>
                              </w:tc>
                              <w:tc>
                                <w:tcPr>
                                  <w:tcW w:w="548" w:type="pct"/>
                                  <w:tcBorders>
                                    <w:top w:val="nil"/>
                                    <w:left w:val="nil"/>
                                    <w:bottom w:val="nil"/>
                                    <w:right w:val="nil"/>
                                  </w:tcBorders>
                                  <w:hideMark/>
                                </w:tcPr>
                                <w:p w14:paraId="6980356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1.01 </w:t>
                                  </w:r>
                                </w:p>
                              </w:tc>
                              <w:tc>
                                <w:tcPr>
                                  <w:tcW w:w="614" w:type="pct"/>
                                  <w:tcBorders>
                                    <w:top w:val="nil"/>
                                    <w:left w:val="nil"/>
                                    <w:bottom w:val="nil"/>
                                    <w:right w:val="nil"/>
                                  </w:tcBorders>
                                  <w:hideMark/>
                                </w:tcPr>
                                <w:p w14:paraId="768E4E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1.45 </w:t>
                                  </w:r>
                                </w:p>
                              </w:tc>
                              <w:tc>
                                <w:tcPr>
                                  <w:tcW w:w="548" w:type="pct"/>
                                  <w:tcBorders>
                                    <w:top w:val="nil"/>
                                    <w:left w:val="nil"/>
                                    <w:bottom w:val="nil"/>
                                    <w:right w:val="nil"/>
                                  </w:tcBorders>
                                  <w:hideMark/>
                                </w:tcPr>
                                <w:p w14:paraId="4C74844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1.97 </w:t>
                                  </w:r>
                                </w:p>
                              </w:tc>
                              <w:tc>
                                <w:tcPr>
                                  <w:tcW w:w="614" w:type="pct"/>
                                  <w:tcBorders>
                                    <w:top w:val="nil"/>
                                    <w:left w:val="nil"/>
                                    <w:bottom w:val="nil"/>
                                    <w:right w:val="nil"/>
                                  </w:tcBorders>
                                  <w:hideMark/>
                                </w:tcPr>
                                <w:p w14:paraId="2D0435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548" w:type="pct"/>
                                  <w:tcBorders>
                                    <w:top w:val="nil"/>
                                    <w:left w:val="nil"/>
                                    <w:bottom w:val="nil"/>
                                    <w:right w:val="nil"/>
                                  </w:tcBorders>
                                  <w:hideMark/>
                                </w:tcPr>
                                <w:p w14:paraId="159652B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1.12 </w:t>
                                  </w:r>
                                </w:p>
                              </w:tc>
                            </w:tr>
                            <w:tr w:rsidR="003C2F53" w:rsidRPr="00475BB7" w14:paraId="0F9C9860" w14:textId="77777777" w:rsidTr="00475BB7">
                              <w:trPr>
                                <w:trHeight w:val="204"/>
                              </w:trPr>
                              <w:tc>
                                <w:tcPr>
                                  <w:tcW w:w="1578" w:type="pct"/>
                                  <w:tcBorders>
                                    <w:top w:val="nil"/>
                                    <w:left w:val="nil"/>
                                    <w:bottom w:val="nil"/>
                                    <w:right w:val="nil"/>
                                  </w:tcBorders>
                                  <w:noWrap/>
                                  <w:hideMark/>
                                </w:tcPr>
                                <w:p w14:paraId="698FD7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Weighted Avg. Basic Shares Out.</w:t>
                                  </w:r>
                                </w:p>
                              </w:tc>
                              <w:tc>
                                <w:tcPr>
                                  <w:tcW w:w="548" w:type="pct"/>
                                  <w:tcBorders>
                                    <w:top w:val="nil"/>
                                    <w:left w:val="nil"/>
                                    <w:bottom w:val="nil"/>
                                    <w:right w:val="nil"/>
                                  </w:tcBorders>
                                  <w:hideMark/>
                                </w:tcPr>
                                <w:p w14:paraId="4E386CB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65AFDE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614" w:type="pct"/>
                                  <w:tcBorders>
                                    <w:top w:val="nil"/>
                                    <w:left w:val="nil"/>
                                    <w:bottom w:val="nil"/>
                                    <w:right w:val="nil"/>
                                  </w:tcBorders>
                                  <w:hideMark/>
                                </w:tcPr>
                                <w:p w14:paraId="270555B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12B7403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614" w:type="pct"/>
                                  <w:tcBorders>
                                    <w:top w:val="nil"/>
                                    <w:left w:val="nil"/>
                                    <w:bottom w:val="nil"/>
                                    <w:right w:val="nil"/>
                                  </w:tcBorders>
                                  <w:hideMark/>
                                </w:tcPr>
                                <w:p w14:paraId="1B27C19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5F3BAE5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520992A4" w14:textId="77777777" w:rsidTr="00475BB7">
                              <w:trPr>
                                <w:trHeight w:val="204"/>
                              </w:trPr>
                              <w:tc>
                                <w:tcPr>
                                  <w:tcW w:w="1578" w:type="pct"/>
                                  <w:tcBorders>
                                    <w:top w:val="nil"/>
                                    <w:left w:val="nil"/>
                                    <w:bottom w:val="nil"/>
                                    <w:right w:val="nil"/>
                                  </w:tcBorders>
                                  <w:noWrap/>
                                  <w:hideMark/>
                                </w:tcPr>
                                <w:p w14:paraId="058E61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Diluted EPS</w:t>
                                  </w:r>
                                </w:p>
                              </w:tc>
                              <w:tc>
                                <w:tcPr>
                                  <w:tcW w:w="548" w:type="pct"/>
                                  <w:tcBorders>
                                    <w:top w:val="nil"/>
                                    <w:left w:val="nil"/>
                                    <w:bottom w:val="nil"/>
                                    <w:right w:val="nil"/>
                                  </w:tcBorders>
                                  <w:hideMark/>
                                </w:tcPr>
                                <w:p w14:paraId="422C64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$1.6 </w:t>
                                  </w:r>
                                </w:p>
                              </w:tc>
                              <w:tc>
                                <w:tcPr>
                                  <w:tcW w:w="548" w:type="pct"/>
                                  <w:tcBorders>
                                    <w:top w:val="nil"/>
                                    <w:left w:val="nil"/>
                                    <w:bottom w:val="nil"/>
                                    <w:right w:val="nil"/>
                                  </w:tcBorders>
                                  <w:hideMark/>
                                </w:tcPr>
                                <w:p w14:paraId="3C0B825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$0.97 </w:t>
                                  </w:r>
                                </w:p>
                              </w:tc>
                              <w:tc>
                                <w:tcPr>
                                  <w:tcW w:w="614" w:type="pct"/>
                                  <w:tcBorders>
                                    <w:top w:val="nil"/>
                                    <w:left w:val="nil"/>
                                    <w:bottom w:val="nil"/>
                                    <w:right w:val="nil"/>
                                  </w:tcBorders>
                                  <w:hideMark/>
                                </w:tcPr>
                                <w:p w14:paraId="209315D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$1.54 </w:t>
                                  </w:r>
                                </w:p>
                              </w:tc>
                              <w:tc>
                                <w:tcPr>
                                  <w:tcW w:w="548" w:type="pct"/>
                                  <w:tcBorders>
                                    <w:top w:val="nil"/>
                                    <w:left w:val="nil"/>
                                    <w:bottom w:val="nil"/>
                                    <w:right w:val="nil"/>
                                  </w:tcBorders>
                                  <w:hideMark/>
                                </w:tcPr>
                                <w:p w14:paraId="45B9F70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$1.93 </w:t>
                                  </w:r>
                                </w:p>
                              </w:tc>
                              <w:tc>
                                <w:tcPr>
                                  <w:tcW w:w="614" w:type="pct"/>
                                  <w:tcBorders>
                                    <w:top w:val="nil"/>
                                    <w:left w:val="nil"/>
                                    <w:bottom w:val="nil"/>
                                    <w:right w:val="nil"/>
                                  </w:tcBorders>
                                  <w:hideMark/>
                                </w:tcPr>
                                <w:p w14:paraId="0A47AA0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$2.55 </w:t>
                                  </w:r>
                                </w:p>
                              </w:tc>
                              <w:tc>
                                <w:tcPr>
                                  <w:tcW w:w="548" w:type="pct"/>
                                  <w:tcBorders>
                                    <w:top w:val="nil"/>
                                    <w:left w:val="nil"/>
                                    <w:bottom w:val="nil"/>
                                    <w:right w:val="nil"/>
                                  </w:tcBorders>
                                  <w:hideMark/>
                                </w:tcPr>
                                <w:p w14:paraId="7A52B57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$1.11 </w:t>
                                  </w:r>
                                </w:p>
                              </w:tc>
                            </w:tr>
                            <w:tr w:rsidR="003C2F53" w:rsidRPr="00475BB7" w14:paraId="291C0805" w14:textId="77777777" w:rsidTr="00475BB7">
                              <w:trPr>
                                <w:trHeight w:val="204"/>
                              </w:trPr>
                              <w:tc>
                                <w:tcPr>
                                  <w:tcW w:w="1578" w:type="pct"/>
                                  <w:tcBorders>
                                    <w:top w:val="nil"/>
                                    <w:left w:val="nil"/>
                                    <w:bottom w:val="nil"/>
                                    <w:right w:val="nil"/>
                                  </w:tcBorders>
                                  <w:noWrap/>
                                  <w:hideMark/>
                                </w:tcPr>
                                <w:p w14:paraId="544B7EC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Diluted EPS Excl. Extra Items</w:t>
                                  </w:r>
                                </w:p>
                              </w:tc>
                              <w:tc>
                                <w:tcPr>
                                  <w:tcW w:w="548" w:type="pct"/>
                                  <w:tcBorders>
                                    <w:top w:val="nil"/>
                                    <w:left w:val="nil"/>
                                    <w:bottom w:val="nil"/>
                                    <w:right w:val="nil"/>
                                  </w:tcBorders>
                                  <w:hideMark/>
                                </w:tcPr>
                                <w:p w14:paraId="6F4AC8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0.04 </w:t>
                                  </w:r>
                                </w:p>
                              </w:tc>
                              <w:tc>
                                <w:tcPr>
                                  <w:tcW w:w="548" w:type="pct"/>
                                  <w:tcBorders>
                                    <w:top w:val="nil"/>
                                    <w:left w:val="nil"/>
                                    <w:bottom w:val="nil"/>
                                    <w:right w:val="nil"/>
                                  </w:tcBorders>
                                  <w:hideMark/>
                                </w:tcPr>
                                <w:p w14:paraId="2308D82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1.0 </w:t>
                                  </w:r>
                                </w:p>
                              </w:tc>
                              <w:tc>
                                <w:tcPr>
                                  <w:tcW w:w="614" w:type="pct"/>
                                  <w:tcBorders>
                                    <w:top w:val="nil"/>
                                    <w:left w:val="nil"/>
                                    <w:bottom w:val="nil"/>
                                    <w:right w:val="nil"/>
                                  </w:tcBorders>
                                  <w:hideMark/>
                                </w:tcPr>
                                <w:p w14:paraId="2559DCA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548" w:type="pct"/>
                                  <w:tcBorders>
                                    <w:top w:val="nil"/>
                                    <w:left w:val="nil"/>
                                    <w:bottom w:val="nil"/>
                                    <w:right w:val="nil"/>
                                  </w:tcBorders>
                                  <w:hideMark/>
                                </w:tcPr>
                                <w:p w14:paraId="03722C1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1.96 </w:t>
                                  </w:r>
                                </w:p>
                              </w:tc>
                              <w:tc>
                                <w:tcPr>
                                  <w:tcW w:w="614" w:type="pct"/>
                                  <w:tcBorders>
                                    <w:top w:val="nil"/>
                                    <w:left w:val="nil"/>
                                    <w:bottom w:val="nil"/>
                                    <w:right w:val="nil"/>
                                  </w:tcBorders>
                                  <w:hideMark/>
                                </w:tcPr>
                                <w:p w14:paraId="4E121DC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1.43 </w:t>
                                  </w:r>
                                </w:p>
                              </w:tc>
                              <w:tc>
                                <w:tcPr>
                                  <w:tcW w:w="548" w:type="pct"/>
                                  <w:tcBorders>
                                    <w:top w:val="nil"/>
                                    <w:left w:val="nil"/>
                                    <w:bottom w:val="nil"/>
                                    <w:right w:val="nil"/>
                                  </w:tcBorders>
                                  <w:hideMark/>
                                </w:tcPr>
                                <w:p w14:paraId="280D81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1.11 </w:t>
                                  </w:r>
                                </w:p>
                              </w:tc>
                            </w:tr>
                            <w:tr w:rsidR="003C2F53" w:rsidRPr="00475BB7" w14:paraId="2CD393DF" w14:textId="77777777" w:rsidTr="00475BB7">
                              <w:trPr>
                                <w:trHeight w:val="204"/>
                              </w:trPr>
                              <w:tc>
                                <w:tcPr>
                                  <w:tcW w:w="1578" w:type="pct"/>
                                  <w:tcBorders>
                                    <w:top w:val="nil"/>
                                    <w:left w:val="nil"/>
                                    <w:bottom w:val="nil"/>
                                    <w:right w:val="nil"/>
                                  </w:tcBorders>
                                  <w:noWrap/>
                                  <w:hideMark/>
                                </w:tcPr>
                                <w:p w14:paraId="336C61D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Weighted Avg. Diluted Shares Out.</w:t>
                                  </w:r>
                                </w:p>
                              </w:tc>
                              <w:tc>
                                <w:tcPr>
                                  <w:tcW w:w="548" w:type="pct"/>
                                  <w:tcBorders>
                                    <w:top w:val="nil"/>
                                    <w:left w:val="nil"/>
                                    <w:bottom w:val="nil"/>
                                    <w:right w:val="nil"/>
                                  </w:tcBorders>
                                  <w:hideMark/>
                                </w:tcPr>
                                <w:p w14:paraId="5FF132A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4331964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614" w:type="pct"/>
                                  <w:tcBorders>
                                    <w:top w:val="nil"/>
                                    <w:left w:val="nil"/>
                                    <w:bottom w:val="nil"/>
                                    <w:right w:val="nil"/>
                                  </w:tcBorders>
                                  <w:hideMark/>
                                </w:tcPr>
                                <w:p w14:paraId="605DDDB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0C0F35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614" w:type="pct"/>
                                  <w:tcBorders>
                                    <w:top w:val="nil"/>
                                    <w:left w:val="nil"/>
                                    <w:bottom w:val="nil"/>
                                    <w:right w:val="nil"/>
                                  </w:tcBorders>
                                  <w:hideMark/>
                                </w:tcPr>
                                <w:p w14:paraId="3E724A4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4199300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23CBCD2C" w14:textId="77777777" w:rsidTr="00475BB7">
                              <w:trPr>
                                <w:trHeight w:val="204"/>
                              </w:trPr>
                              <w:tc>
                                <w:tcPr>
                                  <w:tcW w:w="1578" w:type="pct"/>
                                  <w:tcBorders>
                                    <w:top w:val="nil"/>
                                    <w:left w:val="nil"/>
                                    <w:bottom w:val="nil"/>
                                    <w:right w:val="nil"/>
                                  </w:tcBorders>
                                  <w:noWrap/>
                                  <w:hideMark/>
                                </w:tcPr>
                                <w:p w14:paraId="4BDC8F0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Normalized Basic EPS</w:t>
                                  </w:r>
                                </w:p>
                              </w:tc>
                              <w:tc>
                                <w:tcPr>
                                  <w:tcW w:w="548" w:type="pct"/>
                                  <w:tcBorders>
                                    <w:top w:val="nil"/>
                                    <w:left w:val="nil"/>
                                    <w:bottom w:val="nil"/>
                                    <w:right w:val="nil"/>
                                  </w:tcBorders>
                                  <w:hideMark/>
                                </w:tcPr>
                                <w:p w14:paraId="6766EDA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$1.26 </w:t>
                                  </w:r>
                                </w:p>
                              </w:tc>
                              <w:tc>
                                <w:tcPr>
                                  <w:tcW w:w="548" w:type="pct"/>
                                  <w:tcBorders>
                                    <w:top w:val="nil"/>
                                    <w:left w:val="nil"/>
                                    <w:bottom w:val="nil"/>
                                    <w:right w:val="nil"/>
                                  </w:tcBorders>
                                  <w:hideMark/>
                                </w:tcPr>
                                <w:p w14:paraId="72B82D2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614" w:type="pct"/>
                                  <w:tcBorders>
                                    <w:top w:val="nil"/>
                                    <w:left w:val="nil"/>
                                    <w:bottom w:val="nil"/>
                                    <w:right w:val="nil"/>
                                  </w:tcBorders>
                                  <w:hideMark/>
                                </w:tcPr>
                                <w:p w14:paraId="1EA848C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$1.42 </w:t>
                                  </w:r>
                                </w:p>
                              </w:tc>
                              <w:tc>
                                <w:tcPr>
                                  <w:tcW w:w="548" w:type="pct"/>
                                  <w:tcBorders>
                                    <w:top w:val="nil"/>
                                    <w:left w:val="nil"/>
                                    <w:bottom w:val="nil"/>
                                    <w:right w:val="nil"/>
                                  </w:tcBorders>
                                  <w:hideMark/>
                                </w:tcPr>
                                <w:p w14:paraId="38FD6CB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 </w:t>
                                  </w:r>
                                </w:p>
                              </w:tc>
                              <w:tc>
                                <w:tcPr>
                                  <w:tcW w:w="614" w:type="pct"/>
                                  <w:tcBorders>
                                    <w:top w:val="nil"/>
                                    <w:left w:val="nil"/>
                                    <w:bottom w:val="nil"/>
                                    <w:right w:val="nil"/>
                                  </w:tcBorders>
                                  <w:hideMark/>
                                </w:tcPr>
                                <w:p w14:paraId="6D3F66B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$1.81 </w:t>
                                  </w:r>
                                </w:p>
                              </w:tc>
                              <w:tc>
                                <w:tcPr>
                                  <w:tcW w:w="548" w:type="pct"/>
                                  <w:tcBorders>
                                    <w:top w:val="nil"/>
                                    <w:left w:val="nil"/>
                                    <w:bottom w:val="nil"/>
                                    <w:right w:val="nil"/>
                                  </w:tcBorders>
                                  <w:hideMark/>
                                </w:tcPr>
                                <w:p w14:paraId="34545EF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$1.38 </w:t>
                                  </w:r>
                                </w:p>
                              </w:tc>
                            </w:tr>
                            <w:tr w:rsidR="003C2F53" w:rsidRPr="00475BB7" w14:paraId="68AA8D85" w14:textId="77777777" w:rsidTr="00475BB7">
                              <w:trPr>
                                <w:trHeight w:val="204"/>
                              </w:trPr>
                              <w:tc>
                                <w:tcPr>
                                  <w:tcW w:w="1578" w:type="pct"/>
                                  <w:tcBorders>
                                    <w:top w:val="nil"/>
                                    <w:left w:val="nil"/>
                                    <w:bottom w:val="nil"/>
                                    <w:right w:val="nil"/>
                                  </w:tcBorders>
                                  <w:noWrap/>
                                  <w:hideMark/>
                                </w:tcPr>
                                <w:p w14:paraId="5C8AE79A"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Normalized Diluted EPS</w:t>
                                  </w:r>
                                </w:p>
                              </w:tc>
                              <w:tc>
                                <w:tcPr>
                                  <w:tcW w:w="548" w:type="pct"/>
                                  <w:tcBorders>
                                    <w:top w:val="nil"/>
                                    <w:left w:val="nil"/>
                                    <w:bottom w:val="nil"/>
                                    <w:right w:val="nil"/>
                                  </w:tcBorders>
                                  <w:hideMark/>
                                </w:tcPr>
                                <w:p w14:paraId="57E3D7E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1.26 </w:t>
                                  </w:r>
                                </w:p>
                              </w:tc>
                              <w:tc>
                                <w:tcPr>
                                  <w:tcW w:w="548" w:type="pct"/>
                                  <w:tcBorders>
                                    <w:top w:val="nil"/>
                                    <w:left w:val="nil"/>
                                    <w:bottom w:val="nil"/>
                                    <w:right w:val="nil"/>
                                  </w:tcBorders>
                                  <w:hideMark/>
                                </w:tcPr>
                                <w:p w14:paraId="5ADDEA3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614" w:type="pct"/>
                                  <w:tcBorders>
                                    <w:top w:val="nil"/>
                                    <w:left w:val="nil"/>
                                    <w:bottom w:val="nil"/>
                                    <w:right w:val="nil"/>
                                  </w:tcBorders>
                                  <w:hideMark/>
                                </w:tcPr>
                                <w:p w14:paraId="0E70310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1.41 </w:t>
                                  </w:r>
                                </w:p>
                              </w:tc>
                              <w:tc>
                                <w:tcPr>
                                  <w:tcW w:w="548" w:type="pct"/>
                                  <w:tcBorders>
                                    <w:top w:val="nil"/>
                                    <w:left w:val="nil"/>
                                    <w:bottom w:val="nil"/>
                                    <w:right w:val="nil"/>
                                  </w:tcBorders>
                                  <w:hideMark/>
                                </w:tcPr>
                                <w:p w14:paraId="0114BD1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1.39 </w:t>
                                  </w:r>
                                </w:p>
                              </w:tc>
                              <w:tc>
                                <w:tcPr>
                                  <w:tcW w:w="614" w:type="pct"/>
                                  <w:tcBorders>
                                    <w:top w:val="nil"/>
                                    <w:left w:val="nil"/>
                                    <w:bottom w:val="nil"/>
                                    <w:right w:val="nil"/>
                                  </w:tcBorders>
                                  <w:hideMark/>
                                </w:tcPr>
                                <w:p w14:paraId="13A7115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1.8 </w:t>
                                  </w:r>
                                </w:p>
                              </w:tc>
                              <w:tc>
                                <w:tcPr>
                                  <w:tcW w:w="548" w:type="pct"/>
                                  <w:tcBorders>
                                    <w:top w:val="nil"/>
                                    <w:left w:val="nil"/>
                                    <w:bottom w:val="nil"/>
                                    <w:right w:val="nil"/>
                                  </w:tcBorders>
                                  <w:hideMark/>
                                </w:tcPr>
                                <w:p w14:paraId="0B5220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1.37 </w:t>
                                  </w:r>
                                </w:p>
                              </w:tc>
                            </w:tr>
                            <w:tr w:rsidR="003C2F53" w:rsidRPr="00475BB7" w14:paraId="2F95CEB6" w14:textId="77777777" w:rsidTr="00475BB7">
                              <w:trPr>
                                <w:trHeight w:val="204"/>
                              </w:trPr>
                              <w:tc>
                                <w:tcPr>
                                  <w:tcW w:w="1578" w:type="pct"/>
                                  <w:tcBorders>
                                    <w:top w:val="nil"/>
                                    <w:left w:val="nil"/>
                                    <w:bottom w:val="nil"/>
                                    <w:right w:val="nil"/>
                                  </w:tcBorders>
                                  <w:noWrap/>
                                  <w:hideMark/>
                                </w:tcPr>
                                <w:p w14:paraId="72041DF6"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Dividends per Share</w:t>
                                  </w:r>
                                </w:p>
                              </w:tc>
                              <w:tc>
                                <w:tcPr>
                                  <w:tcW w:w="548" w:type="pct"/>
                                  <w:tcBorders>
                                    <w:top w:val="nil"/>
                                    <w:left w:val="nil"/>
                                    <w:bottom w:val="nil"/>
                                    <w:right w:val="nil"/>
                                  </w:tcBorders>
                                  <w:hideMark/>
                                </w:tcPr>
                                <w:p w14:paraId="22FE6B7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156C984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614" w:type="pct"/>
                                  <w:tcBorders>
                                    <w:top w:val="nil"/>
                                    <w:left w:val="nil"/>
                                    <w:bottom w:val="nil"/>
                                    <w:right w:val="nil"/>
                                  </w:tcBorders>
                                  <w:hideMark/>
                                </w:tcPr>
                                <w:p w14:paraId="021BC2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7DFDA9A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614" w:type="pct"/>
                                  <w:tcBorders>
                                    <w:top w:val="nil"/>
                                    <w:left w:val="nil"/>
                                    <w:bottom w:val="nil"/>
                                    <w:right w:val="nil"/>
                                  </w:tcBorders>
                                  <w:hideMark/>
                                </w:tcPr>
                                <w:p w14:paraId="076178E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416736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r>
                            <w:tr w:rsidR="003C2F53" w:rsidRPr="00475BB7" w14:paraId="52C7B1CF" w14:textId="77777777" w:rsidTr="00475BB7">
                              <w:trPr>
                                <w:trHeight w:val="204"/>
                              </w:trPr>
                              <w:tc>
                                <w:tcPr>
                                  <w:tcW w:w="1578" w:type="pct"/>
                                  <w:tcBorders>
                                    <w:top w:val="nil"/>
                                    <w:left w:val="nil"/>
                                    <w:bottom w:val="nil"/>
                                    <w:right w:val="nil"/>
                                  </w:tcBorders>
                                  <w:noWrap/>
                                  <w:hideMark/>
                                </w:tcPr>
                                <w:p w14:paraId="2127F3B6"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Payout Ratio %</w:t>
                                  </w:r>
                                </w:p>
                              </w:tc>
                              <w:tc>
                                <w:tcPr>
                                  <w:tcW w:w="548" w:type="pct"/>
                                  <w:tcBorders>
                                    <w:top w:val="nil"/>
                                    <w:left w:val="nil"/>
                                    <w:bottom w:val="nil"/>
                                    <w:right w:val="nil"/>
                                  </w:tcBorders>
                                  <w:hideMark/>
                                </w:tcPr>
                                <w:p w14:paraId="14BD4D8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9.4% </w:t>
                                  </w:r>
                                </w:p>
                              </w:tc>
                              <w:tc>
                                <w:tcPr>
                                  <w:tcW w:w="548" w:type="pct"/>
                                  <w:tcBorders>
                                    <w:top w:val="nil"/>
                                    <w:left w:val="nil"/>
                                    <w:bottom w:val="nil"/>
                                    <w:right w:val="nil"/>
                                  </w:tcBorders>
                                  <w:hideMark/>
                                </w:tcPr>
                                <w:p w14:paraId="3D55228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8.9% </w:t>
                                  </w:r>
                                </w:p>
                              </w:tc>
                              <w:tc>
                                <w:tcPr>
                                  <w:tcW w:w="614" w:type="pct"/>
                                  <w:tcBorders>
                                    <w:top w:val="nil"/>
                                    <w:left w:val="nil"/>
                                    <w:bottom w:val="nil"/>
                                    <w:right w:val="nil"/>
                                  </w:tcBorders>
                                  <w:hideMark/>
                                </w:tcPr>
                                <w:p w14:paraId="061A0B4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35.7% </w:t>
                                  </w:r>
                                </w:p>
                              </w:tc>
                              <w:tc>
                                <w:tcPr>
                                  <w:tcW w:w="548" w:type="pct"/>
                                  <w:tcBorders>
                                    <w:top w:val="nil"/>
                                    <w:left w:val="nil"/>
                                    <w:bottom w:val="nil"/>
                                    <w:right w:val="nil"/>
                                  </w:tcBorders>
                                  <w:hideMark/>
                                </w:tcPr>
                                <w:p w14:paraId="303071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28.2% </w:t>
                                  </w:r>
                                </w:p>
                              </w:tc>
                              <w:tc>
                                <w:tcPr>
                                  <w:tcW w:w="614" w:type="pct"/>
                                  <w:tcBorders>
                                    <w:top w:val="nil"/>
                                    <w:left w:val="nil"/>
                                    <w:bottom w:val="nil"/>
                                    <w:right w:val="nil"/>
                                  </w:tcBorders>
                                  <w:hideMark/>
                                </w:tcPr>
                                <w:p w14:paraId="4D84BDA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24.4% </w:t>
                                  </w:r>
                                </w:p>
                              </w:tc>
                              <w:tc>
                                <w:tcPr>
                                  <w:tcW w:w="548" w:type="pct"/>
                                  <w:tcBorders>
                                    <w:top w:val="nil"/>
                                    <w:left w:val="nil"/>
                                    <w:bottom w:val="nil"/>
                                    <w:right w:val="nil"/>
                                  </w:tcBorders>
                                  <w:hideMark/>
                                </w:tcPr>
                                <w:p w14:paraId="786B988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83.0% </w:t>
                                  </w:r>
                                </w:p>
                              </w:tc>
                            </w:tr>
                            <w:tr w:rsidR="003C2F53" w:rsidRPr="00475BB7" w14:paraId="0C630152" w14:textId="77777777" w:rsidTr="00475BB7">
                              <w:trPr>
                                <w:trHeight w:val="204"/>
                              </w:trPr>
                              <w:tc>
                                <w:tcPr>
                                  <w:tcW w:w="1578" w:type="pct"/>
                                  <w:tcBorders>
                                    <w:top w:val="nil"/>
                                    <w:left w:val="nil"/>
                                    <w:bottom w:val="nil"/>
                                    <w:right w:val="nil"/>
                                  </w:tcBorders>
                                  <w:noWrap/>
                                  <w:hideMark/>
                                </w:tcPr>
                                <w:p w14:paraId="51FD3DB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Shares per Depository Receipt</w:t>
                                  </w:r>
                                </w:p>
                              </w:tc>
                              <w:tc>
                                <w:tcPr>
                                  <w:tcW w:w="548" w:type="pct"/>
                                  <w:tcBorders>
                                    <w:top w:val="nil"/>
                                    <w:left w:val="nil"/>
                                    <w:bottom w:val="nil"/>
                                    <w:right w:val="nil"/>
                                  </w:tcBorders>
                                  <w:hideMark/>
                                </w:tcPr>
                                <w:p w14:paraId="7B35AE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557F20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091ED7B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7F46B3D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566D2A1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34F3E9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475BB7" w:rsidRPr="00475BB7" w14:paraId="1794A0FE" w14:textId="77777777" w:rsidTr="00475BB7">
                              <w:trPr>
                                <w:trHeight w:val="204"/>
                              </w:trPr>
                              <w:tc>
                                <w:tcPr>
                                  <w:tcW w:w="1578" w:type="pct"/>
                                  <w:tcBorders>
                                    <w:top w:val="nil"/>
                                    <w:left w:val="nil"/>
                                    <w:bottom w:val="nil"/>
                                    <w:right w:val="nil"/>
                                  </w:tcBorders>
                                  <w:noWrap/>
                                  <w:hideMark/>
                                </w:tcPr>
                                <w:p w14:paraId="4D366BCC"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Supplemental Items</w:t>
                                  </w:r>
                                </w:p>
                              </w:tc>
                              <w:tc>
                                <w:tcPr>
                                  <w:tcW w:w="548" w:type="pct"/>
                                  <w:tcBorders>
                                    <w:top w:val="nil"/>
                                    <w:left w:val="nil"/>
                                    <w:bottom w:val="nil"/>
                                    <w:right w:val="nil"/>
                                  </w:tcBorders>
                                  <w:noWrap/>
                                  <w:hideMark/>
                                </w:tcPr>
                                <w:p w14:paraId="3BD2561D"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c>
                                <w:tcPr>
                                  <w:tcW w:w="548" w:type="pct"/>
                                  <w:tcBorders>
                                    <w:top w:val="nil"/>
                                    <w:left w:val="nil"/>
                                    <w:bottom w:val="nil"/>
                                    <w:right w:val="nil"/>
                                  </w:tcBorders>
                                  <w:noWrap/>
                                  <w:hideMark/>
                                </w:tcPr>
                                <w:p w14:paraId="0F3E6AAF"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688F6E60"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618A388F"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0EA89E11"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75C4BD07"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r>
                            <w:tr w:rsidR="003C2F53" w:rsidRPr="00475BB7" w14:paraId="45EBED65" w14:textId="77777777" w:rsidTr="00475BB7">
                              <w:trPr>
                                <w:trHeight w:val="204"/>
                              </w:trPr>
                              <w:tc>
                                <w:tcPr>
                                  <w:tcW w:w="1578" w:type="pct"/>
                                  <w:tcBorders>
                                    <w:top w:val="nil"/>
                                    <w:left w:val="nil"/>
                                    <w:bottom w:val="nil"/>
                                    <w:right w:val="nil"/>
                                  </w:tcBorders>
                                  <w:noWrap/>
                                  <w:hideMark/>
                                </w:tcPr>
                                <w:p w14:paraId="3BF0F60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EBITDA</w:t>
                                  </w:r>
                                </w:p>
                              </w:tc>
                              <w:tc>
                                <w:tcPr>
                                  <w:tcW w:w="548" w:type="pct"/>
                                  <w:tcBorders>
                                    <w:top w:val="nil"/>
                                    <w:left w:val="nil"/>
                                    <w:bottom w:val="nil"/>
                                    <w:right w:val="nil"/>
                                  </w:tcBorders>
                                  <w:hideMark/>
                                </w:tcPr>
                                <w:p w14:paraId="261B6E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05790BF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4.3 </w:t>
                                  </w:r>
                                </w:p>
                              </w:tc>
                              <w:tc>
                                <w:tcPr>
                                  <w:tcW w:w="614" w:type="pct"/>
                                  <w:tcBorders>
                                    <w:top w:val="nil"/>
                                    <w:left w:val="nil"/>
                                    <w:bottom w:val="nil"/>
                                    <w:right w:val="nil"/>
                                  </w:tcBorders>
                                  <w:hideMark/>
                                </w:tcPr>
                                <w:p w14:paraId="0FCC1FD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3.8 </w:t>
                                  </w:r>
                                </w:p>
                              </w:tc>
                              <w:tc>
                                <w:tcPr>
                                  <w:tcW w:w="548" w:type="pct"/>
                                  <w:tcBorders>
                                    <w:top w:val="nil"/>
                                    <w:left w:val="nil"/>
                                    <w:bottom w:val="nil"/>
                                    <w:right w:val="nil"/>
                                  </w:tcBorders>
                                  <w:hideMark/>
                                </w:tcPr>
                                <w:p w14:paraId="24EDC47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614" w:type="pct"/>
                                  <w:tcBorders>
                                    <w:top w:val="nil"/>
                                    <w:left w:val="nil"/>
                                    <w:bottom w:val="nil"/>
                                    <w:right w:val="nil"/>
                                  </w:tcBorders>
                                  <w:hideMark/>
                                </w:tcPr>
                                <w:p w14:paraId="509792E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548" w:type="pct"/>
                                  <w:tcBorders>
                                    <w:top w:val="nil"/>
                                    <w:left w:val="nil"/>
                                    <w:bottom w:val="nil"/>
                                    <w:right w:val="nil"/>
                                  </w:tcBorders>
                                  <w:hideMark/>
                                </w:tcPr>
                                <w:p w14:paraId="61EC6BA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3.7 </w:t>
                                  </w:r>
                                </w:p>
                              </w:tc>
                            </w:tr>
                            <w:tr w:rsidR="003C2F53" w:rsidRPr="00475BB7" w14:paraId="3469C3DC" w14:textId="77777777" w:rsidTr="00475BB7">
                              <w:trPr>
                                <w:trHeight w:val="204"/>
                              </w:trPr>
                              <w:tc>
                                <w:tcPr>
                                  <w:tcW w:w="1578" w:type="pct"/>
                                  <w:tcBorders>
                                    <w:top w:val="nil"/>
                                    <w:left w:val="nil"/>
                                    <w:bottom w:val="nil"/>
                                    <w:right w:val="nil"/>
                                  </w:tcBorders>
                                  <w:noWrap/>
                                  <w:hideMark/>
                                </w:tcPr>
                                <w:p w14:paraId="06FF06D9"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EBITA</w:t>
                                  </w:r>
                                </w:p>
                              </w:tc>
                              <w:tc>
                                <w:tcPr>
                                  <w:tcW w:w="548" w:type="pct"/>
                                  <w:tcBorders>
                                    <w:top w:val="nil"/>
                                    <w:left w:val="nil"/>
                                    <w:bottom w:val="nil"/>
                                    <w:right w:val="nil"/>
                                  </w:tcBorders>
                                  <w:hideMark/>
                                </w:tcPr>
                                <w:p w14:paraId="00B66D6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c>
                                <w:tcPr>
                                  <w:tcW w:w="548" w:type="pct"/>
                                  <w:tcBorders>
                                    <w:top w:val="nil"/>
                                    <w:left w:val="nil"/>
                                    <w:bottom w:val="nil"/>
                                    <w:right w:val="nil"/>
                                  </w:tcBorders>
                                  <w:hideMark/>
                                </w:tcPr>
                                <w:p w14:paraId="7190CA1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3.0 </w:t>
                                  </w:r>
                                </w:p>
                              </w:tc>
                              <w:tc>
                                <w:tcPr>
                                  <w:tcW w:w="614" w:type="pct"/>
                                  <w:tcBorders>
                                    <w:top w:val="nil"/>
                                    <w:left w:val="nil"/>
                                    <w:bottom w:val="nil"/>
                                    <w:right w:val="nil"/>
                                  </w:tcBorders>
                                  <w:hideMark/>
                                </w:tcPr>
                                <w:p w14:paraId="5AA57F8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548" w:type="pct"/>
                                  <w:tcBorders>
                                    <w:top w:val="nil"/>
                                    <w:left w:val="nil"/>
                                    <w:bottom w:val="nil"/>
                                    <w:right w:val="nil"/>
                                  </w:tcBorders>
                                  <w:hideMark/>
                                </w:tcPr>
                                <w:p w14:paraId="1A19C1F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614" w:type="pct"/>
                                  <w:tcBorders>
                                    <w:top w:val="nil"/>
                                    <w:left w:val="nil"/>
                                    <w:bottom w:val="nil"/>
                                    <w:right w:val="nil"/>
                                  </w:tcBorders>
                                  <w:hideMark/>
                                </w:tcPr>
                                <w:p w14:paraId="6932365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548" w:type="pct"/>
                                  <w:tcBorders>
                                    <w:top w:val="nil"/>
                                    <w:left w:val="nil"/>
                                    <w:bottom w:val="nil"/>
                                    <w:right w:val="nil"/>
                                  </w:tcBorders>
                                  <w:hideMark/>
                                </w:tcPr>
                                <w:p w14:paraId="465B376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r>
                            <w:tr w:rsidR="003C2F53" w:rsidRPr="00475BB7" w14:paraId="7963E286" w14:textId="77777777" w:rsidTr="00475BB7">
                              <w:trPr>
                                <w:trHeight w:val="204"/>
                              </w:trPr>
                              <w:tc>
                                <w:tcPr>
                                  <w:tcW w:w="1578" w:type="pct"/>
                                  <w:tcBorders>
                                    <w:top w:val="nil"/>
                                    <w:left w:val="nil"/>
                                    <w:bottom w:val="nil"/>
                                    <w:right w:val="nil"/>
                                  </w:tcBorders>
                                  <w:noWrap/>
                                  <w:hideMark/>
                                </w:tcPr>
                                <w:p w14:paraId="588BAD6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w:t>
                                  </w:r>
                                </w:p>
                              </w:tc>
                              <w:tc>
                                <w:tcPr>
                                  <w:tcW w:w="548" w:type="pct"/>
                                  <w:tcBorders>
                                    <w:top w:val="nil"/>
                                    <w:left w:val="nil"/>
                                    <w:bottom w:val="nil"/>
                                    <w:right w:val="nil"/>
                                  </w:tcBorders>
                                  <w:hideMark/>
                                </w:tcPr>
                                <w:p w14:paraId="01884A7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c>
                                <w:tcPr>
                                  <w:tcW w:w="548" w:type="pct"/>
                                  <w:tcBorders>
                                    <w:top w:val="nil"/>
                                    <w:left w:val="nil"/>
                                    <w:bottom w:val="nil"/>
                                    <w:right w:val="nil"/>
                                  </w:tcBorders>
                                  <w:hideMark/>
                                </w:tcPr>
                                <w:p w14:paraId="649EAA3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c>
                                <w:tcPr>
                                  <w:tcW w:w="614" w:type="pct"/>
                                  <w:tcBorders>
                                    <w:top w:val="nil"/>
                                    <w:left w:val="nil"/>
                                    <w:bottom w:val="nil"/>
                                    <w:right w:val="nil"/>
                                  </w:tcBorders>
                                  <w:hideMark/>
                                </w:tcPr>
                                <w:p w14:paraId="35F44BF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7813BF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289C65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12FFC6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r>
                            <w:tr w:rsidR="003C2F53" w:rsidRPr="00475BB7" w14:paraId="4A53E313" w14:textId="77777777" w:rsidTr="00475BB7">
                              <w:trPr>
                                <w:trHeight w:val="204"/>
                              </w:trPr>
                              <w:tc>
                                <w:tcPr>
                                  <w:tcW w:w="1578" w:type="pct"/>
                                  <w:tcBorders>
                                    <w:top w:val="nil"/>
                                    <w:left w:val="nil"/>
                                    <w:bottom w:val="nil"/>
                                    <w:right w:val="nil"/>
                                  </w:tcBorders>
                                  <w:noWrap/>
                                  <w:hideMark/>
                                </w:tcPr>
                                <w:p w14:paraId="07F637E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EBITDAR</w:t>
                                  </w:r>
                                </w:p>
                              </w:tc>
                              <w:tc>
                                <w:tcPr>
                                  <w:tcW w:w="548" w:type="pct"/>
                                  <w:tcBorders>
                                    <w:top w:val="nil"/>
                                    <w:left w:val="nil"/>
                                    <w:bottom w:val="nil"/>
                                    <w:right w:val="nil"/>
                                  </w:tcBorders>
                                  <w:hideMark/>
                                </w:tcPr>
                                <w:p w14:paraId="0BCA565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6C5EB91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4.3 </w:t>
                                  </w:r>
                                </w:p>
                              </w:tc>
                              <w:tc>
                                <w:tcPr>
                                  <w:tcW w:w="614" w:type="pct"/>
                                  <w:tcBorders>
                                    <w:top w:val="nil"/>
                                    <w:left w:val="nil"/>
                                    <w:bottom w:val="nil"/>
                                    <w:right w:val="nil"/>
                                  </w:tcBorders>
                                  <w:hideMark/>
                                </w:tcPr>
                                <w:p w14:paraId="08EEB83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491EC7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614" w:type="pct"/>
                                  <w:tcBorders>
                                    <w:top w:val="nil"/>
                                    <w:left w:val="nil"/>
                                    <w:bottom w:val="nil"/>
                                    <w:right w:val="nil"/>
                                  </w:tcBorders>
                                  <w:hideMark/>
                                </w:tcPr>
                                <w:p w14:paraId="3CE268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4.1 </w:t>
                                  </w:r>
                                </w:p>
                              </w:tc>
                              <w:tc>
                                <w:tcPr>
                                  <w:tcW w:w="548" w:type="pct"/>
                                  <w:tcBorders>
                                    <w:top w:val="nil"/>
                                    <w:left w:val="nil"/>
                                    <w:bottom w:val="nil"/>
                                    <w:right w:val="nil"/>
                                  </w:tcBorders>
                                  <w:hideMark/>
                                </w:tcPr>
                                <w:p w14:paraId="54C5FB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3.8 </w:t>
                                  </w:r>
                                </w:p>
                              </w:tc>
                            </w:tr>
                          </w:tbl>
                          <w:p w14:paraId="14A17D83" w14:textId="5491D531" w:rsidR="00473366" w:rsidRDefault="0047336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9D090" id="_x0000_s1063" type="#_x0000_t202" style="position:absolute;left:0;text-align:left;margin-left:434.2pt;margin-top:0;width:485.4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" stroked="f">
                <v:textbox style="mso-fit-shape-to-text:t">
                  <w:txbxContent>
                    <w:tbl>
                      <w:tblPr>
                        <w:tblW w:w="5000" w:type="pct"/>
                        <w:tblLook w:val="04A0" w:firstRow="1" w:lastRow="0" w:firstColumn="1" w:lastColumn="0" w:noHBand="0" w:noVBand="1"/>
                      </w:tblPr>
                      <w:tblGrid>
                        <w:gridCol w:w="2972"/>
                        <w:gridCol w:w="1032"/>
                        <w:gridCol w:w="1033"/>
                        <w:gridCol w:w="1157"/>
                        <w:gridCol w:w="1033"/>
                        <w:gridCol w:w="1161"/>
                        <w:gridCol w:w="1033"/>
                      </w:tblGrid>
                      <w:tr w:rsidR="00475BB7" w:rsidRPr="00475BB7" w14:paraId="56A34DC6" w14:textId="77777777" w:rsidTr="00475BB7">
                        <w:trPr>
                          <w:trHeight w:val="336"/>
                        </w:trPr>
                        <w:tc>
                          <w:tcPr>
                            <w:tcW w:w="4452" w:type="pct"/>
                            <w:gridSpan w:val="6"/>
                            <w:tcBorders>
                              <w:top w:val="nil"/>
                              <w:left w:val="nil"/>
                              <w:bottom w:val="nil"/>
                              <w:right w:val="nil"/>
                            </w:tcBorders>
                            <w:noWrap/>
                            <w:vAlign w:val="bottom"/>
                            <w:hideMark/>
                          </w:tcPr>
                          <w:p w14:paraId="7AF68E4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Carrefour SA (ENXTPA:CA) &gt; Financials &gt; Income Statement</w:t>
                            </w:r>
                          </w:p>
                        </w:tc>
                        <w:tc>
                          <w:tcPr>
                            <w:tcW w:w="548" w:type="pct"/>
                            <w:tcBorders>
                              <w:top w:val="nil"/>
                              <w:left w:val="nil"/>
                              <w:bottom w:val="nil"/>
                              <w:right w:val="nil"/>
                            </w:tcBorders>
                            <w:noWrap/>
                            <w:vAlign w:val="bottom"/>
                            <w:hideMark/>
                          </w:tcPr>
                          <w:p w14:paraId="5FBC5204"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r>
                      <w:tr w:rsidR="00475BB7" w:rsidRPr="00475BB7" w14:paraId="7DA06450" w14:textId="77777777" w:rsidTr="00475BB7">
                        <w:trPr>
                          <w:trHeight w:val="204"/>
                        </w:trPr>
                        <w:tc>
                          <w:tcPr>
                            <w:tcW w:w="1578" w:type="pct"/>
                            <w:tcBorders>
                              <w:top w:val="nil"/>
                              <w:left w:val="nil"/>
                              <w:bottom w:val="nil"/>
                              <w:right w:val="nil"/>
                            </w:tcBorders>
                            <w:shd w:val="clear" w:color="000000" w:fill="003366"/>
                            <w:noWrap/>
                            <w:vAlign w:val="bottom"/>
                            <w:hideMark/>
                          </w:tcPr>
                          <w:p w14:paraId="51EB9B77"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Income Statement</w:t>
                            </w:r>
                          </w:p>
                        </w:tc>
                        <w:tc>
                          <w:tcPr>
                            <w:tcW w:w="548" w:type="pct"/>
                            <w:tcBorders>
                              <w:top w:val="nil"/>
                              <w:left w:val="nil"/>
                              <w:bottom w:val="nil"/>
                              <w:right w:val="nil"/>
                            </w:tcBorders>
                            <w:shd w:val="clear" w:color="000000" w:fill="003366"/>
                            <w:noWrap/>
                            <w:vAlign w:val="bottom"/>
                            <w:hideMark/>
                          </w:tcPr>
                          <w:p w14:paraId="56B80BB5"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6DA5F2A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614" w:type="pct"/>
                            <w:tcBorders>
                              <w:top w:val="nil"/>
                              <w:left w:val="nil"/>
                              <w:bottom w:val="nil"/>
                              <w:right w:val="nil"/>
                            </w:tcBorders>
                            <w:shd w:val="clear" w:color="000000" w:fill="003366"/>
                            <w:noWrap/>
                            <w:vAlign w:val="bottom"/>
                            <w:hideMark/>
                          </w:tcPr>
                          <w:p w14:paraId="125B9B1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5F5A46EE"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614" w:type="pct"/>
                            <w:tcBorders>
                              <w:top w:val="nil"/>
                              <w:left w:val="nil"/>
                              <w:bottom w:val="nil"/>
                              <w:right w:val="nil"/>
                            </w:tcBorders>
                            <w:shd w:val="clear" w:color="000000" w:fill="003366"/>
                            <w:noWrap/>
                            <w:vAlign w:val="bottom"/>
                            <w:hideMark/>
                          </w:tcPr>
                          <w:p w14:paraId="255FF66C"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c>
                          <w:tcPr>
                            <w:tcW w:w="548" w:type="pct"/>
                            <w:tcBorders>
                              <w:top w:val="nil"/>
                              <w:left w:val="nil"/>
                              <w:bottom w:val="nil"/>
                              <w:right w:val="nil"/>
                            </w:tcBorders>
                            <w:shd w:val="clear" w:color="000000" w:fill="003366"/>
                            <w:noWrap/>
                            <w:vAlign w:val="bottom"/>
                            <w:hideMark/>
                          </w:tcPr>
                          <w:p w14:paraId="6D7D5E87" w14:textId="77777777" w:rsidR="00475BB7" w:rsidRPr="00475BB7" w:rsidRDefault="00475BB7" w:rsidP="00475BB7">
                            <w:pPr>
                              <w:spacing w:after="0" w:line="240" w:lineRule="auto"/>
                              <w:rPr>
                                <w:rFonts w:ascii="Cambria" w:eastAsia="Times New Roman" w:hAnsi="Cambria" w:cs="Arial"/>
                                <w:b/>
                                <w:bCs/>
                                <w:color w:val="FFFFFF"/>
                                <w:kern w:val="0"/>
                                <w:sz w:val="14"/>
                                <w:szCs w:val="14"/>
                                <w:lang w:eastAsia="en-IN"/>
                                <w14:ligatures w14:val="none"/>
                              </w:rPr>
                            </w:pPr>
                            <w:r w:rsidRPr="00475BB7">
                              <w:rPr>
                                <w:rFonts w:ascii="Cambria" w:eastAsia="Times New Roman" w:hAnsi="Cambria" w:cs="Arial"/>
                                <w:b/>
                                <w:bCs/>
                                <w:color w:val="FFFFFF"/>
                                <w:kern w:val="0"/>
                                <w:sz w:val="14"/>
                                <w:szCs w:val="14"/>
                                <w:lang w:eastAsia="en-IN"/>
                                <w14:ligatures w14:val="none"/>
                              </w:rPr>
                              <w:t> </w:t>
                            </w:r>
                          </w:p>
                        </w:tc>
                      </w:tr>
                      <w:tr w:rsidR="00475BB7" w:rsidRPr="00475BB7" w14:paraId="13D1A2EA" w14:textId="77777777" w:rsidTr="00475BB7">
                        <w:trPr>
                          <w:trHeight w:val="816"/>
                        </w:trPr>
                        <w:tc>
                          <w:tcPr>
                            <w:tcW w:w="1578" w:type="pct"/>
                            <w:tcBorders>
                              <w:top w:val="nil"/>
                              <w:left w:val="nil"/>
                              <w:bottom w:val="nil"/>
                              <w:right w:val="nil"/>
                            </w:tcBorders>
                            <w:shd w:val="clear" w:color="000000" w:fill="F0F0DC"/>
                            <w:vAlign w:val="bottom"/>
                            <w:hideMark/>
                          </w:tcPr>
                          <w:p w14:paraId="0D355A42"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For the Fiscal Period Ending</w:t>
                            </w:r>
                          </w:p>
                        </w:tc>
                        <w:tc>
                          <w:tcPr>
                            <w:tcW w:w="548" w:type="pct"/>
                            <w:tcBorders>
                              <w:top w:val="nil"/>
                              <w:left w:val="nil"/>
                              <w:bottom w:val="nil"/>
                              <w:right w:val="nil"/>
                            </w:tcBorders>
                            <w:shd w:val="clear" w:color="000000" w:fill="F0F0DC"/>
                            <w:vAlign w:val="bottom"/>
                            <w:hideMark/>
                          </w:tcPr>
                          <w:p w14:paraId="52D45FE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Restated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Dec-31-2019</w:t>
                            </w:r>
                          </w:p>
                        </w:tc>
                        <w:tc>
                          <w:tcPr>
                            <w:tcW w:w="548" w:type="pct"/>
                            <w:tcBorders>
                              <w:top w:val="nil"/>
                              <w:left w:val="nil"/>
                              <w:bottom w:val="nil"/>
                              <w:right w:val="nil"/>
                            </w:tcBorders>
                            <w:shd w:val="clear" w:color="000000" w:fill="F0F0DC"/>
                            <w:vAlign w:val="bottom"/>
                            <w:hideMark/>
                          </w:tcPr>
                          <w:p w14:paraId="3871120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Dec-31-2020</w:t>
                            </w:r>
                          </w:p>
                        </w:tc>
                        <w:tc>
                          <w:tcPr>
                            <w:tcW w:w="614" w:type="pct"/>
                            <w:tcBorders>
                              <w:top w:val="nil"/>
                              <w:left w:val="nil"/>
                              <w:bottom w:val="nil"/>
                              <w:right w:val="nil"/>
                            </w:tcBorders>
                            <w:shd w:val="clear" w:color="000000" w:fill="F0F0DC"/>
                            <w:vAlign w:val="bottom"/>
                            <w:hideMark/>
                          </w:tcPr>
                          <w:p w14:paraId="64CCF42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Reclassified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Dec-31-2021</w:t>
                            </w:r>
                          </w:p>
                        </w:tc>
                        <w:tc>
                          <w:tcPr>
                            <w:tcW w:w="548" w:type="pct"/>
                            <w:tcBorders>
                              <w:top w:val="nil"/>
                              <w:left w:val="nil"/>
                              <w:bottom w:val="nil"/>
                              <w:right w:val="nil"/>
                            </w:tcBorders>
                            <w:shd w:val="clear" w:color="000000" w:fill="F0F0DC"/>
                            <w:vAlign w:val="bottom"/>
                            <w:hideMark/>
                          </w:tcPr>
                          <w:p w14:paraId="25BF47B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Dec-31-2022</w:t>
                            </w:r>
                          </w:p>
                        </w:tc>
                        <w:tc>
                          <w:tcPr>
                            <w:tcW w:w="614" w:type="pct"/>
                            <w:tcBorders>
                              <w:top w:val="nil"/>
                              <w:left w:val="nil"/>
                              <w:bottom w:val="nil"/>
                              <w:right w:val="nil"/>
                            </w:tcBorders>
                            <w:shd w:val="clear" w:color="000000" w:fill="F0F0DC"/>
                            <w:vAlign w:val="bottom"/>
                            <w:hideMark/>
                          </w:tcPr>
                          <w:p w14:paraId="362E551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Reclassified</w:t>
                            </w:r>
                            <w:r w:rsidRPr="00475BB7">
                              <w:rPr>
                                <w:rFonts w:ascii="Cambria" w:eastAsia="Times New Roman" w:hAnsi="Cambria" w:cs="Arial"/>
                                <w:b/>
                                <w:bCs/>
                                <w:color w:val="000000"/>
                                <w:kern w:val="0"/>
                                <w:sz w:val="14"/>
                                <w:szCs w:val="14"/>
                                <w:lang w:eastAsia="en-IN"/>
                                <w14:ligatures w14:val="none"/>
                              </w:rPr>
                              <w:br/>
                              <w:t>12 months</w:t>
                            </w:r>
                            <w:r w:rsidRPr="00475BB7">
                              <w:rPr>
                                <w:rFonts w:ascii="Cambria" w:eastAsia="Times New Roman" w:hAnsi="Cambria" w:cs="Arial"/>
                                <w:b/>
                                <w:bCs/>
                                <w:color w:val="000000"/>
                                <w:kern w:val="0"/>
                                <w:sz w:val="14"/>
                                <w:szCs w:val="14"/>
                                <w:lang w:eastAsia="en-IN"/>
                                <w14:ligatures w14:val="none"/>
                              </w:rPr>
                              <w:br/>
                              <w:t>Dec-31-2023</w:t>
                            </w:r>
                          </w:p>
                        </w:tc>
                        <w:tc>
                          <w:tcPr>
                            <w:tcW w:w="548" w:type="pct"/>
                            <w:tcBorders>
                              <w:top w:val="nil"/>
                              <w:left w:val="nil"/>
                              <w:bottom w:val="nil"/>
                              <w:right w:val="nil"/>
                            </w:tcBorders>
                            <w:shd w:val="clear" w:color="000000" w:fill="F0F0DC"/>
                            <w:vAlign w:val="bottom"/>
                            <w:hideMark/>
                          </w:tcPr>
                          <w:p w14:paraId="2A838D5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12 months</w:t>
                            </w:r>
                            <w:r w:rsidRPr="00475BB7">
                              <w:rPr>
                                <w:rFonts w:ascii="Cambria" w:eastAsia="Times New Roman" w:hAnsi="Cambria" w:cs="Arial"/>
                                <w:b/>
                                <w:bCs/>
                                <w:color w:val="000000"/>
                                <w:kern w:val="0"/>
                                <w:sz w:val="14"/>
                                <w:szCs w:val="14"/>
                                <w:lang w:eastAsia="en-IN"/>
                                <w14:ligatures w14:val="none"/>
                              </w:rPr>
                              <w:br/>
                              <w:t>Dec-31-2024</w:t>
                            </w:r>
                          </w:p>
                        </w:tc>
                      </w:tr>
                      <w:tr w:rsidR="00475BB7" w:rsidRPr="00475BB7" w14:paraId="4A9F2A73" w14:textId="77777777" w:rsidTr="00475BB7">
                        <w:trPr>
                          <w:trHeight w:val="204"/>
                        </w:trPr>
                        <w:tc>
                          <w:tcPr>
                            <w:tcW w:w="1578" w:type="pct"/>
                            <w:tcBorders>
                              <w:top w:val="nil"/>
                              <w:left w:val="nil"/>
                              <w:bottom w:val="nil"/>
                              <w:right w:val="nil"/>
                            </w:tcBorders>
                            <w:shd w:val="clear" w:color="000000" w:fill="F0F0DC"/>
                            <w:vAlign w:val="bottom"/>
                            <w:hideMark/>
                          </w:tcPr>
                          <w:p w14:paraId="6C63A4DA" w14:textId="77777777" w:rsidR="00475BB7" w:rsidRPr="00475BB7" w:rsidRDefault="00475BB7" w:rsidP="00475BB7">
                            <w:pPr>
                              <w:spacing w:after="0" w:line="240" w:lineRule="auto"/>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Currency</w:t>
                            </w:r>
                          </w:p>
                        </w:tc>
                        <w:tc>
                          <w:tcPr>
                            <w:tcW w:w="548" w:type="pct"/>
                            <w:tcBorders>
                              <w:top w:val="nil"/>
                              <w:left w:val="nil"/>
                              <w:bottom w:val="nil"/>
                              <w:right w:val="nil"/>
                            </w:tcBorders>
                            <w:shd w:val="clear" w:color="000000" w:fill="F0F0DC"/>
                            <w:vAlign w:val="bottom"/>
                            <w:hideMark/>
                          </w:tcPr>
                          <w:p w14:paraId="45B821BA"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43F2B104"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614" w:type="pct"/>
                            <w:tcBorders>
                              <w:top w:val="nil"/>
                              <w:left w:val="nil"/>
                              <w:bottom w:val="nil"/>
                              <w:right w:val="nil"/>
                            </w:tcBorders>
                            <w:shd w:val="clear" w:color="000000" w:fill="F0F0DC"/>
                            <w:vAlign w:val="bottom"/>
                            <w:hideMark/>
                          </w:tcPr>
                          <w:p w14:paraId="507DB521"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019A8231"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614" w:type="pct"/>
                            <w:tcBorders>
                              <w:top w:val="nil"/>
                              <w:left w:val="nil"/>
                              <w:bottom w:val="nil"/>
                              <w:right w:val="nil"/>
                            </w:tcBorders>
                            <w:shd w:val="clear" w:color="000000" w:fill="F0F0DC"/>
                            <w:vAlign w:val="bottom"/>
                            <w:hideMark/>
                          </w:tcPr>
                          <w:p w14:paraId="1F81450E"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c>
                          <w:tcPr>
                            <w:tcW w:w="548" w:type="pct"/>
                            <w:tcBorders>
                              <w:top w:val="nil"/>
                              <w:left w:val="nil"/>
                              <w:bottom w:val="nil"/>
                              <w:right w:val="nil"/>
                            </w:tcBorders>
                            <w:shd w:val="clear" w:color="000000" w:fill="F0F0DC"/>
                            <w:vAlign w:val="bottom"/>
                            <w:hideMark/>
                          </w:tcPr>
                          <w:p w14:paraId="3D42E6DB" w14:textId="77777777" w:rsidR="00475BB7" w:rsidRPr="00475BB7" w:rsidRDefault="00475BB7" w:rsidP="00475BB7">
                            <w:pPr>
                              <w:spacing w:after="0" w:line="240" w:lineRule="auto"/>
                              <w:jc w:val="right"/>
                              <w:rPr>
                                <w:rFonts w:ascii="Cambria" w:eastAsia="Times New Roman" w:hAnsi="Cambria" w:cs="Arial"/>
                                <w:b/>
                                <w:bCs/>
                                <w:i/>
                                <w:iCs/>
                                <w:color w:val="000000"/>
                                <w:kern w:val="0"/>
                                <w:sz w:val="14"/>
                                <w:szCs w:val="14"/>
                                <w:lang w:eastAsia="en-IN"/>
                                <w14:ligatures w14:val="none"/>
                              </w:rPr>
                            </w:pPr>
                            <w:r w:rsidRPr="00475BB7">
                              <w:rPr>
                                <w:rFonts w:ascii="Cambria" w:eastAsia="Times New Roman" w:hAnsi="Cambria" w:cs="Arial"/>
                                <w:b/>
                                <w:bCs/>
                                <w:i/>
                                <w:iCs/>
                                <w:color w:val="000000"/>
                                <w:kern w:val="0"/>
                                <w:sz w:val="14"/>
                                <w:szCs w:val="14"/>
                                <w:lang w:eastAsia="en-IN"/>
                                <w14:ligatures w14:val="none"/>
                              </w:rPr>
                              <w:t>USD</w:t>
                            </w:r>
                          </w:p>
                        </w:tc>
                      </w:tr>
                      <w:tr w:rsidR="003C2F53" w:rsidRPr="00475BB7" w14:paraId="21250272" w14:textId="77777777" w:rsidTr="00475BB7">
                        <w:trPr>
                          <w:trHeight w:val="204"/>
                        </w:trPr>
                        <w:tc>
                          <w:tcPr>
                            <w:tcW w:w="1578" w:type="pct"/>
                            <w:tcBorders>
                              <w:top w:val="nil"/>
                              <w:left w:val="nil"/>
                              <w:bottom w:val="nil"/>
                              <w:right w:val="nil"/>
                            </w:tcBorders>
                            <w:noWrap/>
                            <w:hideMark/>
                          </w:tcPr>
                          <w:p w14:paraId="572C597D"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Revenue</w:t>
                            </w:r>
                          </w:p>
                        </w:tc>
                        <w:tc>
                          <w:tcPr>
                            <w:tcW w:w="548" w:type="pct"/>
                            <w:tcBorders>
                              <w:top w:val="nil"/>
                              <w:left w:val="nil"/>
                              <w:bottom w:val="nil"/>
                              <w:right w:val="nil"/>
                            </w:tcBorders>
                            <w:hideMark/>
                          </w:tcPr>
                          <w:p w14:paraId="5B71F6D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80.4 </w:t>
                            </w:r>
                          </w:p>
                        </w:tc>
                        <w:tc>
                          <w:tcPr>
                            <w:tcW w:w="548" w:type="pct"/>
                            <w:tcBorders>
                              <w:top w:val="nil"/>
                              <w:left w:val="nil"/>
                              <w:bottom w:val="nil"/>
                              <w:right w:val="nil"/>
                            </w:tcBorders>
                            <w:hideMark/>
                          </w:tcPr>
                          <w:p w14:paraId="3E17553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85.6 </w:t>
                            </w:r>
                          </w:p>
                        </w:tc>
                        <w:tc>
                          <w:tcPr>
                            <w:tcW w:w="614" w:type="pct"/>
                            <w:tcBorders>
                              <w:top w:val="nil"/>
                              <w:left w:val="nil"/>
                              <w:bottom w:val="nil"/>
                              <w:right w:val="nil"/>
                            </w:tcBorders>
                            <w:hideMark/>
                          </w:tcPr>
                          <w:p w14:paraId="202C36C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79.2 </w:t>
                            </w:r>
                          </w:p>
                        </w:tc>
                        <w:tc>
                          <w:tcPr>
                            <w:tcW w:w="548" w:type="pct"/>
                            <w:tcBorders>
                              <w:top w:val="nil"/>
                              <w:left w:val="nil"/>
                              <w:bottom w:val="nil"/>
                              <w:right w:val="nil"/>
                            </w:tcBorders>
                            <w:hideMark/>
                          </w:tcPr>
                          <w:p w14:paraId="5B3D70E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86.1 </w:t>
                            </w:r>
                          </w:p>
                        </w:tc>
                        <w:tc>
                          <w:tcPr>
                            <w:tcW w:w="614" w:type="pct"/>
                            <w:tcBorders>
                              <w:top w:val="nil"/>
                              <w:left w:val="nil"/>
                              <w:bottom w:val="nil"/>
                              <w:right w:val="nil"/>
                            </w:tcBorders>
                            <w:hideMark/>
                          </w:tcPr>
                          <w:p w14:paraId="5F21A2F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90.9 </w:t>
                            </w:r>
                          </w:p>
                        </w:tc>
                        <w:tc>
                          <w:tcPr>
                            <w:tcW w:w="548" w:type="pct"/>
                            <w:tcBorders>
                              <w:top w:val="nil"/>
                              <w:left w:val="nil"/>
                              <w:bottom w:val="nil"/>
                              <w:right w:val="nil"/>
                            </w:tcBorders>
                            <w:hideMark/>
                          </w:tcPr>
                          <w:p w14:paraId="2874BA8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87.5 </w:t>
                            </w:r>
                          </w:p>
                        </w:tc>
                      </w:tr>
                      <w:tr w:rsidR="003C2F53" w:rsidRPr="00475BB7" w14:paraId="002343A9" w14:textId="77777777" w:rsidTr="00475BB7">
                        <w:trPr>
                          <w:trHeight w:val="204"/>
                        </w:trPr>
                        <w:tc>
                          <w:tcPr>
                            <w:tcW w:w="1578" w:type="pct"/>
                            <w:tcBorders>
                              <w:top w:val="nil"/>
                              <w:left w:val="nil"/>
                              <w:bottom w:val="nil"/>
                              <w:right w:val="nil"/>
                            </w:tcBorders>
                            <w:noWrap/>
                            <w:hideMark/>
                          </w:tcPr>
                          <w:p w14:paraId="23DB9FBD"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Revenue</w:t>
                            </w:r>
                          </w:p>
                        </w:tc>
                        <w:tc>
                          <w:tcPr>
                            <w:tcW w:w="548" w:type="pct"/>
                            <w:tcBorders>
                              <w:top w:val="nil"/>
                              <w:left w:val="nil"/>
                              <w:bottom w:val="nil"/>
                              <w:right w:val="nil"/>
                            </w:tcBorders>
                            <w:hideMark/>
                          </w:tcPr>
                          <w:p w14:paraId="3B8BE4B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00D1E5C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2.4 </w:t>
                            </w:r>
                          </w:p>
                        </w:tc>
                        <w:tc>
                          <w:tcPr>
                            <w:tcW w:w="614" w:type="pct"/>
                            <w:tcBorders>
                              <w:top w:val="nil"/>
                              <w:left w:val="nil"/>
                              <w:bottom w:val="nil"/>
                              <w:right w:val="nil"/>
                            </w:tcBorders>
                            <w:hideMark/>
                          </w:tcPr>
                          <w:p w14:paraId="0F69881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c>
                          <w:tcPr>
                            <w:tcW w:w="548" w:type="pct"/>
                            <w:tcBorders>
                              <w:top w:val="nil"/>
                              <w:left w:val="nil"/>
                              <w:bottom w:val="nil"/>
                              <w:right w:val="nil"/>
                            </w:tcBorders>
                            <w:hideMark/>
                          </w:tcPr>
                          <w:p w14:paraId="5E97CBE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00763C9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2.7 </w:t>
                            </w:r>
                          </w:p>
                        </w:tc>
                        <w:tc>
                          <w:tcPr>
                            <w:tcW w:w="548" w:type="pct"/>
                            <w:tcBorders>
                              <w:top w:val="nil"/>
                              <w:left w:val="nil"/>
                              <w:bottom w:val="nil"/>
                              <w:right w:val="nil"/>
                            </w:tcBorders>
                            <w:hideMark/>
                          </w:tcPr>
                          <w:p w14:paraId="52FE48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r>
                      <w:tr w:rsidR="003C2F53" w:rsidRPr="00475BB7" w14:paraId="53EC664D" w14:textId="77777777" w:rsidTr="00475BB7">
                        <w:trPr>
                          <w:trHeight w:val="204"/>
                        </w:trPr>
                        <w:tc>
                          <w:tcPr>
                            <w:tcW w:w="1578" w:type="pct"/>
                            <w:tcBorders>
                              <w:top w:val="nil"/>
                              <w:left w:val="nil"/>
                              <w:bottom w:val="nil"/>
                              <w:right w:val="nil"/>
                            </w:tcBorders>
                            <w:noWrap/>
                            <w:hideMark/>
                          </w:tcPr>
                          <w:p w14:paraId="63E76583"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Total Revenue</w:t>
                            </w:r>
                          </w:p>
                        </w:tc>
                        <w:tc>
                          <w:tcPr>
                            <w:tcW w:w="548" w:type="pct"/>
                            <w:tcBorders>
                              <w:top w:val="single" w:sz="4" w:space="0" w:color="000000"/>
                              <w:left w:val="nil"/>
                              <w:bottom w:val="nil"/>
                              <w:right w:val="nil"/>
                            </w:tcBorders>
                            <w:hideMark/>
                          </w:tcPr>
                          <w:p w14:paraId="3F2E387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82.9 </w:t>
                            </w:r>
                          </w:p>
                        </w:tc>
                        <w:tc>
                          <w:tcPr>
                            <w:tcW w:w="548" w:type="pct"/>
                            <w:tcBorders>
                              <w:top w:val="single" w:sz="4" w:space="0" w:color="000000"/>
                              <w:left w:val="nil"/>
                              <w:bottom w:val="nil"/>
                              <w:right w:val="nil"/>
                            </w:tcBorders>
                            <w:hideMark/>
                          </w:tcPr>
                          <w:p w14:paraId="6B3A233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88.0 </w:t>
                            </w:r>
                          </w:p>
                        </w:tc>
                        <w:tc>
                          <w:tcPr>
                            <w:tcW w:w="614" w:type="pct"/>
                            <w:tcBorders>
                              <w:top w:val="single" w:sz="4" w:space="0" w:color="000000"/>
                              <w:left w:val="nil"/>
                              <w:bottom w:val="nil"/>
                              <w:right w:val="nil"/>
                            </w:tcBorders>
                            <w:hideMark/>
                          </w:tcPr>
                          <w:p w14:paraId="306524C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81.4 </w:t>
                            </w:r>
                          </w:p>
                        </w:tc>
                        <w:tc>
                          <w:tcPr>
                            <w:tcW w:w="548" w:type="pct"/>
                            <w:tcBorders>
                              <w:top w:val="single" w:sz="4" w:space="0" w:color="000000"/>
                              <w:left w:val="nil"/>
                              <w:bottom w:val="nil"/>
                              <w:right w:val="nil"/>
                            </w:tcBorders>
                            <w:hideMark/>
                          </w:tcPr>
                          <w:p w14:paraId="3341E58D"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88.6 </w:t>
                            </w:r>
                          </w:p>
                        </w:tc>
                        <w:tc>
                          <w:tcPr>
                            <w:tcW w:w="614" w:type="pct"/>
                            <w:tcBorders>
                              <w:top w:val="single" w:sz="4" w:space="0" w:color="000000"/>
                              <w:left w:val="nil"/>
                              <w:bottom w:val="nil"/>
                              <w:right w:val="nil"/>
                            </w:tcBorders>
                            <w:hideMark/>
                          </w:tcPr>
                          <w:p w14:paraId="02102F9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93.6 </w:t>
                            </w:r>
                          </w:p>
                        </w:tc>
                        <w:tc>
                          <w:tcPr>
                            <w:tcW w:w="548" w:type="pct"/>
                            <w:tcBorders>
                              <w:top w:val="single" w:sz="4" w:space="0" w:color="000000"/>
                              <w:left w:val="nil"/>
                              <w:bottom w:val="nil"/>
                              <w:right w:val="nil"/>
                            </w:tcBorders>
                            <w:hideMark/>
                          </w:tcPr>
                          <w:p w14:paraId="41FE4D6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90.1 </w:t>
                            </w:r>
                          </w:p>
                        </w:tc>
                      </w:tr>
                      <w:tr w:rsidR="003C2F53" w:rsidRPr="00475BB7" w14:paraId="5ED24414" w14:textId="77777777" w:rsidTr="00475BB7">
                        <w:trPr>
                          <w:trHeight w:val="204"/>
                        </w:trPr>
                        <w:tc>
                          <w:tcPr>
                            <w:tcW w:w="1578" w:type="pct"/>
                            <w:tcBorders>
                              <w:top w:val="nil"/>
                              <w:left w:val="nil"/>
                              <w:bottom w:val="nil"/>
                              <w:right w:val="nil"/>
                            </w:tcBorders>
                            <w:noWrap/>
                            <w:hideMark/>
                          </w:tcPr>
                          <w:p w14:paraId="2F1D687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Cost Of Goods Sold</w:t>
                            </w:r>
                          </w:p>
                        </w:tc>
                        <w:tc>
                          <w:tcPr>
                            <w:tcW w:w="548" w:type="pct"/>
                            <w:tcBorders>
                              <w:top w:val="nil"/>
                              <w:left w:val="nil"/>
                              <w:bottom w:val="nil"/>
                              <w:right w:val="nil"/>
                            </w:tcBorders>
                            <w:hideMark/>
                          </w:tcPr>
                          <w:p w14:paraId="163CBA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65.9 </w:t>
                            </w:r>
                          </w:p>
                        </w:tc>
                        <w:tc>
                          <w:tcPr>
                            <w:tcW w:w="548" w:type="pct"/>
                            <w:tcBorders>
                              <w:top w:val="nil"/>
                              <w:left w:val="nil"/>
                              <w:bottom w:val="nil"/>
                              <w:right w:val="nil"/>
                            </w:tcBorders>
                            <w:hideMark/>
                          </w:tcPr>
                          <w:p w14:paraId="32C7C4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70.3 </w:t>
                            </w:r>
                          </w:p>
                        </w:tc>
                        <w:tc>
                          <w:tcPr>
                            <w:tcW w:w="614" w:type="pct"/>
                            <w:tcBorders>
                              <w:top w:val="nil"/>
                              <w:left w:val="nil"/>
                              <w:bottom w:val="nil"/>
                              <w:right w:val="nil"/>
                            </w:tcBorders>
                            <w:hideMark/>
                          </w:tcPr>
                          <w:p w14:paraId="34D7CB5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65.4 </w:t>
                            </w:r>
                          </w:p>
                        </w:tc>
                        <w:tc>
                          <w:tcPr>
                            <w:tcW w:w="548" w:type="pct"/>
                            <w:tcBorders>
                              <w:top w:val="nil"/>
                              <w:left w:val="nil"/>
                              <w:bottom w:val="nil"/>
                              <w:right w:val="nil"/>
                            </w:tcBorders>
                            <w:hideMark/>
                          </w:tcPr>
                          <w:p w14:paraId="559FC06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72.2 </w:t>
                            </w:r>
                          </w:p>
                        </w:tc>
                        <w:tc>
                          <w:tcPr>
                            <w:tcW w:w="614" w:type="pct"/>
                            <w:tcBorders>
                              <w:top w:val="nil"/>
                              <w:left w:val="nil"/>
                              <w:bottom w:val="nil"/>
                              <w:right w:val="nil"/>
                            </w:tcBorders>
                            <w:hideMark/>
                          </w:tcPr>
                          <w:p w14:paraId="6CA4674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76.3 </w:t>
                            </w:r>
                          </w:p>
                        </w:tc>
                        <w:tc>
                          <w:tcPr>
                            <w:tcW w:w="548" w:type="pct"/>
                            <w:tcBorders>
                              <w:top w:val="nil"/>
                              <w:left w:val="nil"/>
                              <w:bottom w:val="nil"/>
                              <w:right w:val="nil"/>
                            </w:tcBorders>
                            <w:hideMark/>
                          </w:tcPr>
                          <w:p w14:paraId="7A1A52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73.7 </w:t>
                            </w:r>
                          </w:p>
                        </w:tc>
                      </w:tr>
                      <w:tr w:rsidR="003C2F53" w:rsidRPr="00475BB7" w14:paraId="7CB7C603" w14:textId="77777777" w:rsidTr="00475BB7">
                        <w:trPr>
                          <w:trHeight w:val="204"/>
                        </w:trPr>
                        <w:tc>
                          <w:tcPr>
                            <w:tcW w:w="1578" w:type="pct"/>
                            <w:tcBorders>
                              <w:top w:val="nil"/>
                              <w:left w:val="nil"/>
                              <w:bottom w:val="nil"/>
                              <w:right w:val="nil"/>
                            </w:tcBorders>
                            <w:noWrap/>
                            <w:hideMark/>
                          </w:tcPr>
                          <w:p w14:paraId="438AA395"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Gross Profit</w:t>
                            </w:r>
                          </w:p>
                        </w:tc>
                        <w:tc>
                          <w:tcPr>
                            <w:tcW w:w="548" w:type="pct"/>
                            <w:tcBorders>
                              <w:top w:val="single" w:sz="4" w:space="0" w:color="000000"/>
                              <w:left w:val="nil"/>
                              <w:bottom w:val="nil"/>
                              <w:right w:val="nil"/>
                            </w:tcBorders>
                            <w:hideMark/>
                          </w:tcPr>
                          <w:p w14:paraId="38B26FA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17.0 </w:t>
                            </w:r>
                          </w:p>
                        </w:tc>
                        <w:tc>
                          <w:tcPr>
                            <w:tcW w:w="548" w:type="pct"/>
                            <w:tcBorders>
                              <w:top w:val="single" w:sz="4" w:space="0" w:color="000000"/>
                              <w:left w:val="nil"/>
                              <w:bottom w:val="nil"/>
                              <w:right w:val="nil"/>
                            </w:tcBorders>
                            <w:hideMark/>
                          </w:tcPr>
                          <w:p w14:paraId="30735D4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17.8 </w:t>
                            </w:r>
                          </w:p>
                        </w:tc>
                        <w:tc>
                          <w:tcPr>
                            <w:tcW w:w="614" w:type="pct"/>
                            <w:tcBorders>
                              <w:top w:val="single" w:sz="4" w:space="0" w:color="000000"/>
                              <w:left w:val="nil"/>
                              <w:bottom w:val="nil"/>
                              <w:right w:val="nil"/>
                            </w:tcBorders>
                            <w:hideMark/>
                          </w:tcPr>
                          <w:p w14:paraId="54CE11F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16.0 </w:t>
                            </w:r>
                          </w:p>
                        </w:tc>
                        <w:tc>
                          <w:tcPr>
                            <w:tcW w:w="548" w:type="pct"/>
                            <w:tcBorders>
                              <w:top w:val="single" w:sz="4" w:space="0" w:color="000000"/>
                              <w:left w:val="nil"/>
                              <w:bottom w:val="nil"/>
                              <w:right w:val="nil"/>
                            </w:tcBorders>
                            <w:hideMark/>
                          </w:tcPr>
                          <w:p w14:paraId="0093C17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16.4 </w:t>
                            </w:r>
                          </w:p>
                        </w:tc>
                        <w:tc>
                          <w:tcPr>
                            <w:tcW w:w="614" w:type="pct"/>
                            <w:tcBorders>
                              <w:top w:val="single" w:sz="4" w:space="0" w:color="000000"/>
                              <w:left w:val="nil"/>
                              <w:bottom w:val="nil"/>
                              <w:right w:val="nil"/>
                            </w:tcBorders>
                            <w:hideMark/>
                          </w:tcPr>
                          <w:p w14:paraId="3F70D2E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17.3 </w:t>
                            </w:r>
                          </w:p>
                        </w:tc>
                        <w:tc>
                          <w:tcPr>
                            <w:tcW w:w="548" w:type="pct"/>
                            <w:tcBorders>
                              <w:top w:val="single" w:sz="4" w:space="0" w:color="000000"/>
                              <w:left w:val="nil"/>
                              <w:bottom w:val="nil"/>
                              <w:right w:val="nil"/>
                            </w:tcBorders>
                            <w:hideMark/>
                          </w:tcPr>
                          <w:p w14:paraId="6658EE3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16.5 </w:t>
                            </w:r>
                          </w:p>
                        </w:tc>
                      </w:tr>
                      <w:tr w:rsidR="003C2F53" w:rsidRPr="00475BB7" w14:paraId="595241BC" w14:textId="77777777" w:rsidTr="00475BB7">
                        <w:trPr>
                          <w:trHeight w:val="204"/>
                        </w:trPr>
                        <w:tc>
                          <w:tcPr>
                            <w:tcW w:w="1578" w:type="pct"/>
                            <w:tcBorders>
                              <w:top w:val="nil"/>
                              <w:left w:val="nil"/>
                              <w:bottom w:val="nil"/>
                              <w:right w:val="nil"/>
                            </w:tcBorders>
                            <w:noWrap/>
                            <w:hideMark/>
                          </w:tcPr>
                          <w:p w14:paraId="313461F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Selling General &amp; Admin Exp.</w:t>
                            </w:r>
                          </w:p>
                        </w:tc>
                        <w:tc>
                          <w:tcPr>
                            <w:tcW w:w="548" w:type="pct"/>
                            <w:tcBorders>
                              <w:top w:val="nil"/>
                              <w:left w:val="nil"/>
                              <w:bottom w:val="nil"/>
                              <w:right w:val="nil"/>
                            </w:tcBorders>
                            <w:hideMark/>
                          </w:tcPr>
                          <w:p w14:paraId="419F2AC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12.0 </w:t>
                            </w:r>
                          </w:p>
                        </w:tc>
                        <w:tc>
                          <w:tcPr>
                            <w:tcW w:w="548" w:type="pct"/>
                            <w:tcBorders>
                              <w:top w:val="nil"/>
                              <w:left w:val="nil"/>
                              <w:bottom w:val="nil"/>
                              <w:right w:val="nil"/>
                            </w:tcBorders>
                            <w:hideMark/>
                          </w:tcPr>
                          <w:p w14:paraId="123808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12.3 </w:t>
                            </w:r>
                          </w:p>
                        </w:tc>
                        <w:tc>
                          <w:tcPr>
                            <w:tcW w:w="614" w:type="pct"/>
                            <w:tcBorders>
                              <w:top w:val="nil"/>
                              <w:left w:val="nil"/>
                              <w:bottom w:val="nil"/>
                              <w:right w:val="nil"/>
                            </w:tcBorders>
                            <w:hideMark/>
                          </w:tcPr>
                          <w:p w14:paraId="0AB58BE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11.0 </w:t>
                            </w:r>
                          </w:p>
                        </w:tc>
                        <w:tc>
                          <w:tcPr>
                            <w:tcW w:w="548" w:type="pct"/>
                            <w:tcBorders>
                              <w:top w:val="nil"/>
                              <w:left w:val="nil"/>
                              <w:bottom w:val="nil"/>
                              <w:right w:val="nil"/>
                            </w:tcBorders>
                            <w:hideMark/>
                          </w:tcPr>
                          <w:p w14:paraId="71C47C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11.4 </w:t>
                            </w:r>
                          </w:p>
                        </w:tc>
                        <w:tc>
                          <w:tcPr>
                            <w:tcW w:w="614" w:type="pct"/>
                            <w:tcBorders>
                              <w:top w:val="nil"/>
                              <w:left w:val="nil"/>
                              <w:bottom w:val="nil"/>
                              <w:right w:val="nil"/>
                            </w:tcBorders>
                            <w:hideMark/>
                          </w:tcPr>
                          <w:p w14:paraId="19DF759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12.2 </w:t>
                            </w:r>
                          </w:p>
                        </w:tc>
                        <w:tc>
                          <w:tcPr>
                            <w:tcW w:w="548" w:type="pct"/>
                            <w:tcBorders>
                              <w:top w:val="nil"/>
                              <w:left w:val="nil"/>
                              <w:bottom w:val="nil"/>
                              <w:right w:val="nil"/>
                            </w:tcBorders>
                            <w:hideMark/>
                          </w:tcPr>
                          <w:p w14:paraId="2CAF3A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11.6 </w:t>
                            </w:r>
                          </w:p>
                        </w:tc>
                      </w:tr>
                      <w:tr w:rsidR="003C2F53" w:rsidRPr="00475BB7" w14:paraId="2E204D80" w14:textId="77777777" w:rsidTr="00475BB7">
                        <w:trPr>
                          <w:trHeight w:val="204"/>
                        </w:trPr>
                        <w:tc>
                          <w:tcPr>
                            <w:tcW w:w="1578" w:type="pct"/>
                            <w:tcBorders>
                              <w:top w:val="nil"/>
                              <w:left w:val="nil"/>
                              <w:bottom w:val="nil"/>
                              <w:right w:val="nil"/>
                            </w:tcBorders>
                            <w:noWrap/>
                            <w:hideMark/>
                          </w:tcPr>
                          <w:p w14:paraId="43B0BAAA"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Depreciation &amp; Amort.</w:t>
                            </w:r>
                          </w:p>
                        </w:tc>
                        <w:tc>
                          <w:tcPr>
                            <w:tcW w:w="548" w:type="pct"/>
                            <w:tcBorders>
                              <w:top w:val="nil"/>
                              <w:left w:val="nil"/>
                              <w:bottom w:val="nil"/>
                              <w:right w:val="nil"/>
                            </w:tcBorders>
                            <w:hideMark/>
                          </w:tcPr>
                          <w:p w14:paraId="6DF5DEC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c>
                          <w:tcPr>
                            <w:tcW w:w="548" w:type="pct"/>
                            <w:tcBorders>
                              <w:top w:val="nil"/>
                              <w:left w:val="nil"/>
                              <w:bottom w:val="nil"/>
                              <w:right w:val="nil"/>
                            </w:tcBorders>
                            <w:hideMark/>
                          </w:tcPr>
                          <w:p w14:paraId="0C705C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4D8723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2.1 </w:t>
                            </w:r>
                          </w:p>
                        </w:tc>
                        <w:tc>
                          <w:tcPr>
                            <w:tcW w:w="548" w:type="pct"/>
                            <w:tcBorders>
                              <w:top w:val="nil"/>
                              <w:left w:val="nil"/>
                              <w:bottom w:val="nil"/>
                              <w:right w:val="nil"/>
                            </w:tcBorders>
                            <w:hideMark/>
                          </w:tcPr>
                          <w:p w14:paraId="54579D0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2.1 </w:t>
                            </w:r>
                          </w:p>
                        </w:tc>
                        <w:tc>
                          <w:tcPr>
                            <w:tcW w:w="614" w:type="pct"/>
                            <w:tcBorders>
                              <w:top w:val="nil"/>
                              <w:left w:val="nil"/>
                              <w:bottom w:val="nil"/>
                              <w:right w:val="nil"/>
                            </w:tcBorders>
                            <w:hideMark/>
                          </w:tcPr>
                          <w:p w14:paraId="402F2A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c>
                          <w:tcPr>
                            <w:tcW w:w="548" w:type="pct"/>
                            <w:tcBorders>
                              <w:top w:val="nil"/>
                              <w:left w:val="nil"/>
                              <w:bottom w:val="nil"/>
                              <w:right w:val="nil"/>
                            </w:tcBorders>
                            <w:hideMark/>
                          </w:tcPr>
                          <w:p w14:paraId="6C8E675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2.2 </w:t>
                            </w:r>
                          </w:p>
                        </w:tc>
                      </w:tr>
                      <w:tr w:rsidR="003C2F53" w:rsidRPr="00475BB7" w14:paraId="2BDC8EDA" w14:textId="77777777" w:rsidTr="00475BB7">
                        <w:trPr>
                          <w:trHeight w:val="204"/>
                        </w:trPr>
                        <w:tc>
                          <w:tcPr>
                            <w:tcW w:w="1578" w:type="pct"/>
                            <w:tcBorders>
                              <w:top w:val="nil"/>
                              <w:left w:val="nil"/>
                              <w:bottom w:val="nil"/>
                              <w:right w:val="nil"/>
                            </w:tcBorders>
                            <w:noWrap/>
                            <w:hideMark/>
                          </w:tcPr>
                          <w:p w14:paraId="284A04F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Operating Expense/(Income)</w:t>
                            </w:r>
                          </w:p>
                        </w:tc>
                        <w:tc>
                          <w:tcPr>
                            <w:tcW w:w="548" w:type="pct"/>
                            <w:tcBorders>
                              <w:top w:val="nil"/>
                              <w:left w:val="nil"/>
                              <w:bottom w:val="nil"/>
                              <w:right w:val="nil"/>
                            </w:tcBorders>
                            <w:hideMark/>
                          </w:tcPr>
                          <w:p w14:paraId="3AAC321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7B09AFE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3DAF440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07D1C97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1629A20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563AE12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r>
                      <w:tr w:rsidR="003C2F53" w:rsidRPr="00475BB7" w14:paraId="532EF7D5" w14:textId="77777777" w:rsidTr="00475BB7">
                        <w:trPr>
                          <w:trHeight w:val="204"/>
                        </w:trPr>
                        <w:tc>
                          <w:tcPr>
                            <w:tcW w:w="1578" w:type="pct"/>
                            <w:tcBorders>
                              <w:top w:val="nil"/>
                              <w:left w:val="nil"/>
                              <w:bottom w:val="nil"/>
                              <w:right w:val="nil"/>
                            </w:tcBorders>
                            <w:noWrap/>
                            <w:hideMark/>
                          </w:tcPr>
                          <w:p w14:paraId="47611A6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Other Operating Exp., Total</w:t>
                            </w:r>
                          </w:p>
                        </w:tc>
                        <w:tc>
                          <w:tcPr>
                            <w:tcW w:w="548" w:type="pct"/>
                            <w:tcBorders>
                              <w:top w:val="single" w:sz="4" w:space="0" w:color="000000"/>
                              <w:left w:val="nil"/>
                              <w:bottom w:val="nil"/>
                              <w:right w:val="nil"/>
                            </w:tcBorders>
                            <w:hideMark/>
                          </w:tcPr>
                          <w:p w14:paraId="733FFAF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14.7 </w:t>
                            </w:r>
                          </w:p>
                        </w:tc>
                        <w:tc>
                          <w:tcPr>
                            <w:tcW w:w="548" w:type="pct"/>
                            <w:tcBorders>
                              <w:top w:val="single" w:sz="4" w:space="0" w:color="000000"/>
                              <w:left w:val="nil"/>
                              <w:bottom w:val="nil"/>
                              <w:right w:val="nil"/>
                            </w:tcBorders>
                            <w:hideMark/>
                          </w:tcPr>
                          <w:p w14:paraId="788C1CD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15.1 </w:t>
                            </w:r>
                          </w:p>
                        </w:tc>
                        <w:tc>
                          <w:tcPr>
                            <w:tcW w:w="614" w:type="pct"/>
                            <w:tcBorders>
                              <w:top w:val="single" w:sz="4" w:space="0" w:color="000000"/>
                              <w:left w:val="nil"/>
                              <w:bottom w:val="nil"/>
                              <w:right w:val="nil"/>
                            </w:tcBorders>
                            <w:hideMark/>
                          </w:tcPr>
                          <w:p w14:paraId="323A493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13.5 </w:t>
                            </w:r>
                          </w:p>
                        </w:tc>
                        <w:tc>
                          <w:tcPr>
                            <w:tcW w:w="548" w:type="pct"/>
                            <w:tcBorders>
                              <w:top w:val="single" w:sz="4" w:space="0" w:color="000000"/>
                              <w:left w:val="nil"/>
                              <w:bottom w:val="nil"/>
                              <w:right w:val="nil"/>
                            </w:tcBorders>
                            <w:hideMark/>
                          </w:tcPr>
                          <w:p w14:paraId="0118250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13.9 </w:t>
                            </w:r>
                          </w:p>
                        </w:tc>
                        <w:tc>
                          <w:tcPr>
                            <w:tcW w:w="614" w:type="pct"/>
                            <w:tcBorders>
                              <w:top w:val="single" w:sz="4" w:space="0" w:color="000000"/>
                              <w:left w:val="nil"/>
                              <w:bottom w:val="nil"/>
                              <w:right w:val="nil"/>
                            </w:tcBorders>
                            <w:hideMark/>
                          </w:tcPr>
                          <w:p w14:paraId="1651CAD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14.8 </w:t>
                            </w:r>
                          </w:p>
                        </w:tc>
                        <w:tc>
                          <w:tcPr>
                            <w:tcW w:w="548" w:type="pct"/>
                            <w:tcBorders>
                              <w:top w:val="single" w:sz="4" w:space="0" w:color="000000"/>
                              <w:left w:val="nil"/>
                              <w:bottom w:val="nil"/>
                              <w:right w:val="nil"/>
                            </w:tcBorders>
                            <w:hideMark/>
                          </w:tcPr>
                          <w:p w14:paraId="5ADFB4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14.2 </w:t>
                            </w:r>
                          </w:p>
                        </w:tc>
                      </w:tr>
                      <w:tr w:rsidR="003C2F53" w:rsidRPr="00475BB7" w14:paraId="5864E200" w14:textId="77777777" w:rsidTr="00475BB7">
                        <w:trPr>
                          <w:trHeight w:val="204"/>
                        </w:trPr>
                        <w:tc>
                          <w:tcPr>
                            <w:tcW w:w="1578" w:type="pct"/>
                            <w:tcBorders>
                              <w:top w:val="nil"/>
                              <w:left w:val="nil"/>
                              <w:bottom w:val="nil"/>
                              <w:right w:val="nil"/>
                            </w:tcBorders>
                            <w:noWrap/>
                            <w:hideMark/>
                          </w:tcPr>
                          <w:p w14:paraId="4BE68516"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Operating Income</w:t>
                            </w:r>
                          </w:p>
                        </w:tc>
                        <w:tc>
                          <w:tcPr>
                            <w:tcW w:w="548" w:type="pct"/>
                            <w:tcBorders>
                              <w:top w:val="nil"/>
                              <w:left w:val="nil"/>
                              <w:bottom w:val="nil"/>
                              <w:right w:val="nil"/>
                            </w:tcBorders>
                            <w:hideMark/>
                          </w:tcPr>
                          <w:p w14:paraId="658C8D9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2.3 </w:t>
                            </w:r>
                          </w:p>
                        </w:tc>
                        <w:tc>
                          <w:tcPr>
                            <w:tcW w:w="548" w:type="pct"/>
                            <w:tcBorders>
                              <w:top w:val="nil"/>
                              <w:left w:val="nil"/>
                              <w:bottom w:val="nil"/>
                              <w:right w:val="nil"/>
                            </w:tcBorders>
                            <w:hideMark/>
                          </w:tcPr>
                          <w:p w14:paraId="5C2173B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2.6 </w:t>
                            </w:r>
                          </w:p>
                        </w:tc>
                        <w:tc>
                          <w:tcPr>
                            <w:tcW w:w="614" w:type="pct"/>
                            <w:tcBorders>
                              <w:top w:val="nil"/>
                              <w:left w:val="nil"/>
                              <w:bottom w:val="nil"/>
                              <w:right w:val="nil"/>
                            </w:tcBorders>
                            <w:hideMark/>
                          </w:tcPr>
                          <w:p w14:paraId="0A61D9E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548" w:type="pct"/>
                            <w:tcBorders>
                              <w:top w:val="nil"/>
                              <w:left w:val="nil"/>
                              <w:bottom w:val="nil"/>
                              <w:right w:val="nil"/>
                            </w:tcBorders>
                            <w:hideMark/>
                          </w:tcPr>
                          <w:p w14:paraId="66F0336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614" w:type="pct"/>
                            <w:tcBorders>
                              <w:top w:val="nil"/>
                              <w:left w:val="nil"/>
                              <w:bottom w:val="nil"/>
                              <w:right w:val="nil"/>
                            </w:tcBorders>
                            <w:hideMark/>
                          </w:tcPr>
                          <w:p w14:paraId="27F0C5C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2.5 </w:t>
                            </w:r>
                          </w:p>
                        </w:tc>
                        <w:tc>
                          <w:tcPr>
                            <w:tcW w:w="548" w:type="pct"/>
                            <w:tcBorders>
                              <w:top w:val="nil"/>
                              <w:left w:val="nil"/>
                              <w:bottom w:val="nil"/>
                              <w:right w:val="nil"/>
                            </w:tcBorders>
                            <w:hideMark/>
                          </w:tcPr>
                          <w:p w14:paraId="5ADFD7C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2.3 </w:t>
                            </w:r>
                          </w:p>
                        </w:tc>
                      </w:tr>
                      <w:tr w:rsidR="003C2F53" w:rsidRPr="00475BB7" w14:paraId="3932AF0C" w14:textId="77777777" w:rsidTr="00475BB7">
                        <w:trPr>
                          <w:trHeight w:val="204"/>
                        </w:trPr>
                        <w:tc>
                          <w:tcPr>
                            <w:tcW w:w="1578" w:type="pct"/>
                            <w:tcBorders>
                              <w:top w:val="nil"/>
                              <w:left w:val="nil"/>
                              <w:bottom w:val="nil"/>
                              <w:right w:val="nil"/>
                            </w:tcBorders>
                            <w:noWrap/>
                            <w:hideMark/>
                          </w:tcPr>
                          <w:p w14:paraId="313F008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Interest Expense</w:t>
                            </w:r>
                          </w:p>
                        </w:tc>
                        <w:tc>
                          <w:tcPr>
                            <w:tcW w:w="548" w:type="pct"/>
                            <w:tcBorders>
                              <w:top w:val="nil"/>
                              <w:left w:val="nil"/>
                              <w:bottom w:val="nil"/>
                              <w:right w:val="nil"/>
                            </w:tcBorders>
                            <w:hideMark/>
                          </w:tcPr>
                          <w:p w14:paraId="59031A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672CA33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614" w:type="pct"/>
                            <w:tcBorders>
                              <w:top w:val="nil"/>
                              <w:left w:val="nil"/>
                              <w:bottom w:val="nil"/>
                              <w:right w:val="nil"/>
                            </w:tcBorders>
                            <w:hideMark/>
                          </w:tcPr>
                          <w:p w14:paraId="367DE91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17630F9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(0.5)  </w:t>
                            </w:r>
                          </w:p>
                        </w:tc>
                        <w:tc>
                          <w:tcPr>
                            <w:tcW w:w="614" w:type="pct"/>
                            <w:tcBorders>
                              <w:top w:val="nil"/>
                              <w:left w:val="nil"/>
                              <w:bottom w:val="nil"/>
                              <w:right w:val="nil"/>
                            </w:tcBorders>
                            <w:hideMark/>
                          </w:tcPr>
                          <w:p w14:paraId="4E59C2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647D625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6E9EF975" w14:textId="77777777" w:rsidTr="00475BB7">
                        <w:trPr>
                          <w:trHeight w:val="204"/>
                        </w:trPr>
                        <w:tc>
                          <w:tcPr>
                            <w:tcW w:w="1578" w:type="pct"/>
                            <w:tcBorders>
                              <w:top w:val="nil"/>
                              <w:left w:val="nil"/>
                              <w:bottom w:val="nil"/>
                              <w:right w:val="nil"/>
                            </w:tcBorders>
                            <w:noWrap/>
                            <w:hideMark/>
                          </w:tcPr>
                          <w:p w14:paraId="68723A7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Interest and </w:t>
                            </w:r>
                            <w:r w:rsidRPr="00475BB7">
                              <w:rPr>
                                <w:rFonts w:ascii="Cambria" w:eastAsia="Times New Roman" w:hAnsi="Cambria" w:cs="Arial"/>
                                <w:color w:val="000000"/>
                                <w:kern w:val="0"/>
                                <w:sz w:val="14"/>
                                <w:szCs w:val="14"/>
                                <w:lang w:eastAsia="en-IN"/>
                                <w14:ligatures w14:val="none"/>
                              </w:rPr>
                              <w:t>Invest. Income</w:t>
                            </w:r>
                          </w:p>
                        </w:tc>
                        <w:tc>
                          <w:tcPr>
                            <w:tcW w:w="548" w:type="pct"/>
                            <w:tcBorders>
                              <w:top w:val="nil"/>
                              <w:left w:val="nil"/>
                              <w:bottom w:val="nil"/>
                              <w:right w:val="nil"/>
                            </w:tcBorders>
                            <w:hideMark/>
                          </w:tcPr>
                          <w:p w14:paraId="013A090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2A78250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5E32850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326DF1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154A0AB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548ADF2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40F2E99C" w14:textId="77777777" w:rsidTr="00475BB7">
                        <w:trPr>
                          <w:trHeight w:val="204"/>
                        </w:trPr>
                        <w:tc>
                          <w:tcPr>
                            <w:tcW w:w="1578" w:type="pct"/>
                            <w:tcBorders>
                              <w:top w:val="nil"/>
                              <w:left w:val="nil"/>
                              <w:bottom w:val="nil"/>
                              <w:right w:val="nil"/>
                            </w:tcBorders>
                            <w:noWrap/>
                            <w:hideMark/>
                          </w:tcPr>
                          <w:p w14:paraId="63D50319"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Interest Exp.</w:t>
                            </w:r>
                          </w:p>
                        </w:tc>
                        <w:tc>
                          <w:tcPr>
                            <w:tcW w:w="548" w:type="pct"/>
                            <w:tcBorders>
                              <w:top w:val="single" w:sz="4" w:space="0" w:color="000000"/>
                              <w:left w:val="nil"/>
                              <w:bottom w:val="nil"/>
                              <w:right w:val="nil"/>
                            </w:tcBorders>
                            <w:hideMark/>
                          </w:tcPr>
                          <w:p w14:paraId="7DE4D13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548" w:type="pct"/>
                            <w:tcBorders>
                              <w:top w:val="single" w:sz="4" w:space="0" w:color="000000"/>
                              <w:left w:val="nil"/>
                              <w:bottom w:val="nil"/>
                              <w:right w:val="nil"/>
                            </w:tcBorders>
                            <w:hideMark/>
                          </w:tcPr>
                          <w:p w14:paraId="4E3A08F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614" w:type="pct"/>
                            <w:tcBorders>
                              <w:top w:val="single" w:sz="4" w:space="0" w:color="000000"/>
                              <w:left w:val="nil"/>
                              <w:bottom w:val="nil"/>
                              <w:right w:val="nil"/>
                            </w:tcBorders>
                            <w:hideMark/>
                          </w:tcPr>
                          <w:p w14:paraId="237790C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(0.3)  </w:t>
                            </w:r>
                          </w:p>
                        </w:tc>
                        <w:tc>
                          <w:tcPr>
                            <w:tcW w:w="548" w:type="pct"/>
                            <w:tcBorders>
                              <w:top w:val="single" w:sz="4" w:space="0" w:color="000000"/>
                              <w:left w:val="nil"/>
                              <w:bottom w:val="nil"/>
                              <w:right w:val="nil"/>
                            </w:tcBorders>
                            <w:hideMark/>
                          </w:tcPr>
                          <w:p w14:paraId="3CF9E4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(0.5)  </w:t>
                            </w:r>
                          </w:p>
                        </w:tc>
                        <w:tc>
                          <w:tcPr>
                            <w:tcW w:w="614" w:type="pct"/>
                            <w:tcBorders>
                              <w:top w:val="single" w:sz="4" w:space="0" w:color="000000"/>
                              <w:left w:val="nil"/>
                              <w:bottom w:val="nil"/>
                              <w:right w:val="nil"/>
                            </w:tcBorders>
                            <w:hideMark/>
                          </w:tcPr>
                          <w:p w14:paraId="59D23DF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(0.5)  </w:t>
                            </w:r>
                          </w:p>
                        </w:tc>
                        <w:tc>
                          <w:tcPr>
                            <w:tcW w:w="548" w:type="pct"/>
                            <w:tcBorders>
                              <w:top w:val="single" w:sz="4" w:space="0" w:color="000000"/>
                              <w:left w:val="nil"/>
                              <w:bottom w:val="nil"/>
                              <w:right w:val="nil"/>
                            </w:tcBorders>
                            <w:hideMark/>
                          </w:tcPr>
                          <w:p w14:paraId="71A0CD5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(0.6)  </w:t>
                            </w:r>
                          </w:p>
                        </w:tc>
                      </w:tr>
                      <w:tr w:rsidR="003C2F53" w:rsidRPr="00475BB7" w14:paraId="3B1A5A0B" w14:textId="77777777" w:rsidTr="00475BB7">
                        <w:trPr>
                          <w:trHeight w:val="204"/>
                        </w:trPr>
                        <w:tc>
                          <w:tcPr>
                            <w:tcW w:w="1578" w:type="pct"/>
                            <w:tcBorders>
                              <w:top w:val="nil"/>
                              <w:left w:val="nil"/>
                              <w:bottom w:val="nil"/>
                              <w:right w:val="nil"/>
                            </w:tcBorders>
                            <w:noWrap/>
                            <w:hideMark/>
                          </w:tcPr>
                          <w:p w14:paraId="41F8DF8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Income/(Loss) from Affiliates</w:t>
                            </w:r>
                          </w:p>
                        </w:tc>
                        <w:tc>
                          <w:tcPr>
                            <w:tcW w:w="548" w:type="pct"/>
                            <w:tcBorders>
                              <w:top w:val="nil"/>
                              <w:left w:val="nil"/>
                              <w:bottom w:val="nil"/>
                              <w:right w:val="nil"/>
                            </w:tcBorders>
                            <w:hideMark/>
                          </w:tcPr>
                          <w:p w14:paraId="03A3764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30FCC1B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6BA0F12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18507D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62F1155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5CD2BE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425D1DCA" w14:textId="77777777" w:rsidTr="00475BB7">
                        <w:trPr>
                          <w:trHeight w:val="204"/>
                        </w:trPr>
                        <w:tc>
                          <w:tcPr>
                            <w:tcW w:w="1578" w:type="pct"/>
                            <w:tcBorders>
                              <w:top w:val="nil"/>
                              <w:left w:val="nil"/>
                              <w:bottom w:val="nil"/>
                              <w:right w:val="nil"/>
                            </w:tcBorders>
                            <w:noWrap/>
                            <w:hideMark/>
                          </w:tcPr>
                          <w:p w14:paraId="7CFD2E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Currency Exchange Gains (Loss)</w:t>
                            </w:r>
                          </w:p>
                        </w:tc>
                        <w:tc>
                          <w:tcPr>
                            <w:tcW w:w="548" w:type="pct"/>
                            <w:tcBorders>
                              <w:top w:val="nil"/>
                              <w:left w:val="nil"/>
                              <w:bottom w:val="nil"/>
                              <w:right w:val="nil"/>
                            </w:tcBorders>
                            <w:hideMark/>
                          </w:tcPr>
                          <w:p w14:paraId="17DB170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4B0E938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093F4A5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5C129A7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50BD3C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06B755A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r>
                      <w:tr w:rsidR="003C2F53" w:rsidRPr="00475BB7" w14:paraId="5993CB00" w14:textId="77777777" w:rsidTr="00475BB7">
                        <w:trPr>
                          <w:trHeight w:val="204"/>
                        </w:trPr>
                        <w:tc>
                          <w:tcPr>
                            <w:tcW w:w="1578" w:type="pct"/>
                            <w:tcBorders>
                              <w:top w:val="nil"/>
                              <w:left w:val="nil"/>
                              <w:bottom w:val="nil"/>
                              <w:right w:val="nil"/>
                            </w:tcBorders>
                            <w:noWrap/>
                            <w:hideMark/>
                          </w:tcPr>
                          <w:p w14:paraId="094CA47B"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Non-Operating Inc. (Exp.)</w:t>
                            </w:r>
                          </w:p>
                        </w:tc>
                        <w:tc>
                          <w:tcPr>
                            <w:tcW w:w="548" w:type="pct"/>
                            <w:tcBorders>
                              <w:top w:val="nil"/>
                              <w:left w:val="nil"/>
                              <w:bottom w:val="nil"/>
                              <w:right w:val="nil"/>
                            </w:tcBorders>
                            <w:hideMark/>
                          </w:tcPr>
                          <w:p w14:paraId="5C4EAAD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50FD08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162C629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3FCE83C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70A27C7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248D3E1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7F34497A" w14:textId="77777777" w:rsidTr="00475BB7">
                        <w:trPr>
                          <w:trHeight w:val="204"/>
                        </w:trPr>
                        <w:tc>
                          <w:tcPr>
                            <w:tcW w:w="1578" w:type="pct"/>
                            <w:tcBorders>
                              <w:top w:val="nil"/>
                              <w:left w:val="nil"/>
                              <w:bottom w:val="nil"/>
                              <w:right w:val="nil"/>
                            </w:tcBorders>
                            <w:noWrap/>
                            <w:hideMark/>
                          </w:tcPr>
                          <w:p w14:paraId="15DFA64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EBT Excl. Unusual Items</w:t>
                            </w:r>
                          </w:p>
                        </w:tc>
                        <w:tc>
                          <w:tcPr>
                            <w:tcW w:w="548" w:type="pct"/>
                            <w:tcBorders>
                              <w:top w:val="single" w:sz="4" w:space="0" w:color="000000"/>
                              <w:left w:val="nil"/>
                              <w:bottom w:val="nil"/>
                              <w:right w:val="nil"/>
                            </w:tcBorders>
                            <w:hideMark/>
                          </w:tcPr>
                          <w:p w14:paraId="3FF9CAA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1.9 </w:t>
                            </w:r>
                          </w:p>
                        </w:tc>
                        <w:tc>
                          <w:tcPr>
                            <w:tcW w:w="548" w:type="pct"/>
                            <w:tcBorders>
                              <w:top w:val="single" w:sz="4" w:space="0" w:color="000000"/>
                              <w:left w:val="nil"/>
                              <w:bottom w:val="nil"/>
                              <w:right w:val="nil"/>
                            </w:tcBorders>
                            <w:hideMark/>
                          </w:tcPr>
                          <w:p w14:paraId="6CDF531C"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2.2 </w:t>
                            </w:r>
                          </w:p>
                        </w:tc>
                        <w:tc>
                          <w:tcPr>
                            <w:tcW w:w="614" w:type="pct"/>
                            <w:tcBorders>
                              <w:top w:val="single" w:sz="4" w:space="0" w:color="000000"/>
                              <w:left w:val="nil"/>
                              <w:bottom w:val="nil"/>
                              <w:right w:val="nil"/>
                            </w:tcBorders>
                            <w:hideMark/>
                          </w:tcPr>
                          <w:p w14:paraId="4E84441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2.2 </w:t>
                            </w:r>
                          </w:p>
                        </w:tc>
                        <w:tc>
                          <w:tcPr>
                            <w:tcW w:w="548" w:type="pct"/>
                            <w:tcBorders>
                              <w:top w:val="single" w:sz="4" w:space="0" w:color="000000"/>
                              <w:left w:val="nil"/>
                              <w:bottom w:val="nil"/>
                              <w:right w:val="nil"/>
                            </w:tcBorders>
                            <w:hideMark/>
                          </w:tcPr>
                          <w:p w14:paraId="43352E5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2.0 </w:t>
                            </w:r>
                          </w:p>
                        </w:tc>
                        <w:tc>
                          <w:tcPr>
                            <w:tcW w:w="614" w:type="pct"/>
                            <w:tcBorders>
                              <w:top w:val="single" w:sz="4" w:space="0" w:color="000000"/>
                              <w:left w:val="nil"/>
                              <w:bottom w:val="nil"/>
                              <w:right w:val="nil"/>
                            </w:tcBorders>
                            <w:hideMark/>
                          </w:tcPr>
                          <w:p w14:paraId="6A40002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2.0 </w:t>
                            </w:r>
                          </w:p>
                        </w:tc>
                        <w:tc>
                          <w:tcPr>
                            <w:tcW w:w="548" w:type="pct"/>
                            <w:tcBorders>
                              <w:top w:val="single" w:sz="4" w:space="0" w:color="000000"/>
                              <w:left w:val="nil"/>
                              <w:bottom w:val="nil"/>
                              <w:right w:val="nil"/>
                            </w:tcBorders>
                            <w:hideMark/>
                          </w:tcPr>
                          <w:p w14:paraId="34536AC8"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1.6 </w:t>
                            </w:r>
                          </w:p>
                        </w:tc>
                      </w:tr>
                      <w:tr w:rsidR="003C2F53" w:rsidRPr="00475BB7" w14:paraId="5422DC2B" w14:textId="77777777" w:rsidTr="00475BB7">
                        <w:trPr>
                          <w:trHeight w:val="204"/>
                        </w:trPr>
                        <w:tc>
                          <w:tcPr>
                            <w:tcW w:w="1578" w:type="pct"/>
                            <w:tcBorders>
                              <w:top w:val="nil"/>
                              <w:left w:val="nil"/>
                              <w:bottom w:val="nil"/>
                              <w:right w:val="nil"/>
                            </w:tcBorders>
                            <w:noWrap/>
                            <w:hideMark/>
                          </w:tcPr>
                          <w:p w14:paraId="13F3D0D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Restructuring Charges</w:t>
                            </w:r>
                          </w:p>
                        </w:tc>
                        <w:tc>
                          <w:tcPr>
                            <w:tcW w:w="548" w:type="pct"/>
                            <w:tcBorders>
                              <w:top w:val="nil"/>
                              <w:left w:val="nil"/>
                              <w:bottom w:val="nil"/>
                              <w:right w:val="nil"/>
                            </w:tcBorders>
                            <w:hideMark/>
                          </w:tcPr>
                          <w:p w14:paraId="0B9ED9B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548" w:type="pct"/>
                            <w:tcBorders>
                              <w:top w:val="nil"/>
                              <w:left w:val="nil"/>
                              <w:bottom w:val="nil"/>
                              <w:right w:val="nil"/>
                            </w:tcBorders>
                            <w:hideMark/>
                          </w:tcPr>
                          <w:p w14:paraId="6813EC2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5F57220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2CC1578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1047F95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343444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22BEAEB4" w14:textId="77777777" w:rsidTr="00475BB7">
                        <w:trPr>
                          <w:trHeight w:val="204"/>
                        </w:trPr>
                        <w:tc>
                          <w:tcPr>
                            <w:tcW w:w="1578" w:type="pct"/>
                            <w:tcBorders>
                              <w:top w:val="nil"/>
                              <w:left w:val="nil"/>
                              <w:bottom w:val="nil"/>
                              <w:right w:val="nil"/>
                            </w:tcBorders>
                            <w:noWrap/>
                            <w:hideMark/>
                          </w:tcPr>
                          <w:p w14:paraId="586541B9"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Impairment of Goodwill</w:t>
                            </w:r>
                          </w:p>
                        </w:tc>
                        <w:tc>
                          <w:tcPr>
                            <w:tcW w:w="548" w:type="pct"/>
                            <w:tcBorders>
                              <w:top w:val="nil"/>
                              <w:left w:val="nil"/>
                              <w:bottom w:val="nil"/>
                              <w:right w:val="nil"/>
                            </w:tcBorders>
                            <w:hideMark/>
                          </w:tcPr>
                          <w:p w14:paraId="3F9749D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9F7E18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25946CB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4A1A519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6EB8C36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412E27E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310A292C" w14:textId="77777777" w:rsidTr="00475BB7">
                        <w:trPr>
                          <w:trHeight w:val="204"/>
                        </w:trPr>
                        <w:tc>
                          <w:tcPr>
                            <w:tcW w:w="1578" w:type="pct"/>
                            <w:tcBorders>
                              <w:top w:val="nil"/>
                              <w:left w:val="nil"/>
                              <w:bottom w:val="nil"/>
                              <w:right w:val="nil"/>
                            </w:tcBorders>
                            <w:noWrap/>
                            <w:hideMark/>
                          </w:tcPr>
                          <w:p w14:paraId="0840EFAF"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Gain (Loss) On Sale Of Invest.</w:t>
                            </w:r>
                          </w:p>
                        </w:tc>
                        <w:tc>
                          <w:tcPr>
                            <w:tcW w:w="548" w:type="pct"/>
                            <w:tcBorders>
                              <w:top w:val="nil"/>
                              <w:left w:val="nil"/>
                              <w:bottom w:val="nil"/>
                              <w:right w:val="nil"/>
                            </w:tcBorders>
                            <w:hideMark/>
                          </w:tcPr>
                          <w:p w14:paraId="3E37BA3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AEF4E7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49A2AC9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00C4B41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614" w:type="pct"/>
                            <w:tcBorders>
                              <w:top w:val="nil"/>
                              <w:left w:val="nil"/>
                              <w:bottom w:val="nil"/>
                              <w:right w:val="nil"/>
                            </w:tcBorders>
                            <w:hideMark/>
                          </w:tcPr>
                          <w:p w14:paraId="153E95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1CF6543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r>
                      <w:tr w:rsidR="003C2F53" w:rsidRPr="00475BB7" w14:paraId="2DF855EC" w14:textId="77777777" w:rsidTr="00475BB7">
                        <w:trPr>
                          <w:trHeight w:val="204"/>
                        </w:trPr>
                        <w:tc>
                          <w:tcPr>
                            <w:tcW w:w="1578" w:type="pct"/>
                            <w:tcBorders>
                              <w:top w:val="nil"/>
                              <w:left w:val="nil"/>
                              <w:bottom w:val="nil"/>
                              <w:right w:val="nil"/>
                            </w:tcBorders>
                            <w:noWrap/>
                            <w:hideMark/>
                          </w:tcPr>
                          <w:p w14:paraId="6DDA54FC"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Asset </w:t>
                            </w:r>
                            <w:r w:rsidRPr="00475BB7">
                              <w:rPr>
                                <w:rFonts w:ascii="Cambria" w:eastAsia="Times New Roman" w:hAnsi="Cambria" w:cs="Arial"/>
                                <w:color w:val="000000"/>
                                <w:kern w:val="0"/>
                                <w:sz w:val="14"/>
                                <w:szCs w:val="14"/>
                                <w:lang w:eastAsia="en-IN"/>
                                <w14:ligatures w14:val="none"/>
                              </w:rPr>
                              <w:t>Writedown</w:t>
                            </w:r>
                          </w:p>
                        </w:tc>
                        <w:tc>
                          <w:tcPr>
                            <w:tcW w:w="548" w:type="pct"/>
                            <w:tcBorders>
                              <w:top w:val="nil"/>
                              <w:left w:val="nil"/>
                              <w:bottom w:val="nil"/>
                              <w:right w:val="nil"/>
                            </w:tcBorders>
                            <w:hideMark/>
                          </w:tcPr>
                          <w:p w14:paraId="6BFB417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210C5D4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726288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49258E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40CE752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4B704A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3C2F53" w:rsidRPr="00475BB7" w14:paraId="5E786F0B" w14:textId="77777777" w:rsidTr="00475BB7">
                        <w:trPr>
                          <w:trHeight w:val="204"/>
                        </w:trPr>
                        <w:tc>
                          <w:tcPr>
                            <w:tcW w:w="1578" w:type="pct"/>
                            <w:tcBorders>
                              <w:top w:val="nil"/>
                              <w:left w:val="nil"/>
                              <w:bottom w:val="nil"/>
                              <w:right w:val="nil"/>
                            </w:tcBorders>
                            <w:noWrap/>
                            <w:hideMark/>
                          </w:tcPr>
                          <w:p w14:paraId="2B050C1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Legal Settlements</w:t>
                            </w:r>
                          </w:p>
                        </w:tc>
                        <w:tc>
                          <w:tcPr>
                            <w:tcW w:w="548" w:type="pct"/>
                            <w:tcBorders>
                              <w:top w:val="nil"/>
                              <w:left w:val="nil"/>
                              <w:bottom w:val="nil"/>
                              <w:right w:val="nil"/>
                            </w:tcBorders>
                            <w:hideMark/>
                          </w:tcPr>
                          <w:p w14:paraId="7BAC86A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4B74B8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26DA3C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1D59C4D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17E0D78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548" w:type="pct"/>
                            <w:tcBorders>
                              <w:top w:val="nil"/>
                              <w:left w:val="nil"/>
                              <w:bottom w:val="nil"/>
                              <w:right w:val="nil"/>
                            </w:tcBorders>
                            <w:hideMark/>
                          </w:tcPr>
                          <w:p w14:paraId="27B825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r>
                      <w:tr w:rsidR="003C2F53" w:rsidRPr="00475BB7" w14:paraId="4D77360B" w14:textId="77777777" w:rsidTr="00475BB7">
                        <w:trPr>
                          <w:trHeight w:val="204"/>
                        </w:trPr>
                        <w:tc>
                          <w:tcPr>
                            <w:tcW w:w="1578" w:type="pct"/>
                            <w:tcBorders>
                              <w:top w:val="nil"/>
                              <w:left w:val="nil"/>
                              <w:bottom w:val="nil"/>
                              <w:right w:val="nil"/>
                            </w:tcBorders>
                            <w:noWrap/>
                            <w:hideMark/>
                          </w:tcPr>
                          <w:p w14:paraId="4D48DE7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Other Unusual Items</w:t>
                            </w:r>
                          </w:p>
                        </w:tc>
                        <w:tc>
                          <w:tcPr>
                            <w:tcW w:w="548" w:type="pct"/>
                            <w:tcBorders>
                              <w:top w:val="nil"/>
                              <w:left w:val="nil"/>
                              <w:bottom w:val="nil"/>
                              <w:right w:val="nil"/>
                            </w:tcBorders>
                            <w:hideMark/>
                          </w:tcPr>
                          <w:p w14:paraId="7F8AB95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07F631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614" w:type="pct"/>
                            <w:tcBorders>
                              <w:top w:val="nil"/>
                              <w:left w:val="nil"/>
                              <w:bottom w:val="nil"/>
                              <w:right w:val="nil"/>
                            </w:tcBorders>
                            <w:hideMark/>
                          </w:tcPr>
                          <w:p w14:paraId="0AE7193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548" w:type="pct"/>
                            <w:tcBorders>
                              <w:top w:val="nil"/>
                              <w:left w:val="nil"/>
                              <w:bottom w:val="nil"/>
                              <w:right w:val="nil"/>
                            </w:tcBorders>
                            <w:hideMark/>
                          </w:tcPr>
                          <w:p w14:paraId="5EBEEF9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c>
                          <w:tcPr>
                            <w:tcW w:w="614" w:type="pct"/>
                            <w:tcBorders>
                              <w:top w:val="nil"/>
                              <w:left w:val="nil"/>
                              <w:bottom w:val="nil"/>
                              <w:right w:val="nil"/>
                            </w:tcBorders>
                            <w:hideMark/>
                          </w:tcPr>
                          <w:p w14:paraId="5DFACF9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9FBD71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7FDA0E88" w14:textId="77777777" w:rsidTr="00475BB7">
                        <w:trPr>
                          <w:trHeight w:val="204"/>
                        </w:trPr>
                        <w:tc>
                          <w:tcPr>
                            <w:tcW w:w="1578" w:type="pct"/>
                            <w:tcBorders>
                              <w:top w:val="nil"/>
                              <w:left w:val="nil"/>
                              <w:bottom w:val="nil"/>
                              <w:right w:val="nil"/>
                            </w:tcBorders>
                            <w:noWrap/>
                            <w:hideMark/>
                          </w:tcPr>
                          <w:p w14:paraId="71610FB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EBT Incl. Unusual Items</w:t>
                            </w:r>
                          </w:p>
                        </w:tc>
                        <w:tc>
                          <w:tcPr>
                            <w:tcW w:w="548" w:type="pct"/>
                            <w:tcBorders>
                              <w:top w:val="single" w:sz="4" w:space="0" w:color="000000"/>
                              <w:left w:val="nil"/>
                              <w:bottom w:val="nil"/>
                              <w:right w:val="nil"/>
                            </w:tcBorders>
                            <w:hideMark/>
                          </w:tcPr>
                          <w:p w14:paraId="33A604BA"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548" w:type="pct"/>
                            <w:tcBorders>
                              <w:top w:val="single" w:sz="4" w:space="0" w:color="000000"/>
                              <w:left w:val="nil"/>
                              <w:bottom w:val="nil"/>
                              <w:right w:val="nil"/>
                            </w:tcBorders>
                            <w:hideMark/>
                          </w:tcPr>
                          <w:p w14:paraId="0310349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1FBEDA6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single" w:sz="4" w:space="0" w:color="000000"/>
                              <w:left w:val="nil"/>
                              <w:bottom w:val="nil"/>
                              <w:right w:val="nil"/>
                            </w:tcBorders>
                            <w:hideMark/>
                          </w:tcPr>
                          <w:p w14:paraId="77CD6ED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2.1 </w:t>
                            </w:r>
                          </w:p>
                        </w:tc>
                        <w:tc>
                          <w:tcPr>
                            <w:tcW w:w="614" w:type="pct"/>
                            <w:tcBorders>
                              <w:top w:val="single" w:sz="4" w:space="0" w:color="000000"/>
                              <w:left w:val="nil"/>
                              <w:bottom w:val="nil"/>
                              <w:right w:val="nil"/>
                            </w:tcBorders>
                            <w:hideMark/>
                          </w:tcPr>
                          <w:p w14:paraId="1F21511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5C31DC3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1.1 </w:t>
                            </w:r>
                          </w:p>
                        </w:tc>
                      </w:tr>
                      <w:tr w:rsidR="003C2F53" w:rsidRPr="00475BB7" w14:paraId="59082589" w14:textId="77777777" w:rsidTr="00475BB7">
                        <w:trPr>
                          <w:trHeight w:val="204"/>
                        </w:trPr>
                        <w:tc>
                          <w:tcPr>
                            <w:tcW w:w="1578" w:type="pct"/>
                            <w:tcBorders>
                              <w:top w:val="nil"/>
                              <w:left w:val="nil"/>
                              <w:bottom w:val="nil"/>
                              <w:right w:val="nil"/>
                            </w:tcBorders>
                            <w:noWrap/>
                            <w:hideMark/>
                          </w:tcPr>
                          <w:p w14:paraId="6B6C6E77"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Income Tax Expense</w:t>
                            </w:r>
                          </w:p>
                        </w:tc>
                        <w:tc>
                          <w:tcPr>
                            <w:tcW w:w="548" w:type="pct"/>
                            <w:tcBorders>
                              <w:top w:val="nil"/>
                              <w:left w:val="nil"/>
                              <w:bottom w:val="nil"/>
                              <w:right w:val="nil"/>
                            </w:tcBorders>
                            <w:hideMark/>
                          </w:tcPr>
                          <w:p w14:paraId="39D6BD3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548" w:type="pct"/>
                            <w:tcBorders>
                              <w:top w:val="nil"/>
                              <w:left w:val="nil"/>
                              <w:bottom w:val="nil"/>
                              <w:right w:val="nil"/>
                            </w:tcBorders>
                            <w:hideMark/>
                          </w:tcPr>
                          <w:p w14:paraId="7E250BA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0.6 </w:t>
                            </w:r>
                          </w:p>
                        </w:tc>
                        <w:tc>
                          <w:tcPr>
                            <w:tcW w:w="614" w:type="pct"/>
                            <w:tcBorders>
                              <w:top w:val="nil"/>
                              <w:left w:val="nil"/>
                              <w:bottom w:val="nil"/>
                              <w:right w:val="nil"/>
                            </w:tcBorders>
                            <w:hideMark/>
                          </w:tcPr>
                          <w:p w14:paraId="6E3C82A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548" w:type="pct"/>
                            <w:tcBorders>
                              <w:top w:val="nil"/>
                              <w:left w:val="nil"/>
                              <w:bottom w:val="nil"/>
                              <w:right w:val="nil"/>
                            </w:tcBorders>
                            <w:hideMark/>
                          </w:tcPr>
                          <w:p w14:paraId="226DD02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0.4 </w:t>
                            </w:r>
                          </w:p>
                        </w:tc>
                        <w:tc>
                          <w:tcPr>
                            <w:tcW w:w="614" w:type="pct"/>
                            <w:tcBorders>
                              <w:top w:val="nil"/>
                              <w:left w:val="nil"/>
                              <w:bottom w:val="nil"/>
                              <w:right w:val="nil"/>
                            </w:tcBorders>
                            <w:hideMark/>
                          </w:tcPr>
                          <w:p w14:paraId="69D6857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0.5 </w:t>
                            </w:r>
                          </w:p>
                        </w:tc>
                        <w:tc>
                          <w:tcPr>
                            <w:tcW w:w="548" w:type="pct"/>
                            <w:tcBorders>
                              <w:top w:val="nil"/>
                              <w:left w:val="nil"/>
                              <w:bottom w:val="nil"/>
                              <w:right w:val="nil"/>
                            </w:tcBorders>
                            <w:hideMark/>
                          </w:tcPr>
                          <w:p w14:paraId="65CBDD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0.3 </w:t>
                            </w:r>
                          </w:p>
                        </w:tc>
                      </w:tr>
                      <w:tr w:rsidR="003C2F53" w:rsidRPr="00475BB7" w14:paraId="01602EF2" w14:textId="77777777" w:rsidTr="00475BB7">
                        <w:trPr>
                          <w:trHeight w:val="204"/>
                        </w:trPr>
                        <w:tc>
                          <w:tcPr>
                            <w:tcW w:w="1578" w:type="pct"/>
                            <w:tcBorders>
                              <w:top w:val="nil"/>
                              <w:left w:val="nil"/>
                              <w:bottom w:val="nil"/>
                              <w:right w:val="nil"/>
                            </w:tcBorders>
                            <w:noWrap/>
                            <w:hideMark/>
                          </w:tcPr>
                          <w:p w14:paraId="2894D77B"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Earnings from Cont. Ops.</w:t>
                            </w:r>
                          </w:p>
                        </w:tc>
                        <w:tc>
                          <w:tcPr>
                            <w:tcW w:w="548" w:type="pct"/>
                            <w:tcBorders>
                              <w:top w:val="single" w:sz="4" w:space="0" w:color="000000"/>
                              <w:left w:val="nil"/>
                              <w:bottom w:val="nil"/>
                              <w:right w:val="nil"/>
                            </w:tcBorders>
                            <w:hideMark/>
                          </w:tcPr>
                          <w:p w14:paraId="711B53E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0.2 </w:t>
                            </w:r>
                          </w:p>
                        </w:tc>
                        <w:tc>
                          <w:tcPr>
                            <w:tcW w:w="548" w:type="pct"/>
                            <w:tcBorders>
                              <w:top w:val="single" w:sz="4" w:space="0" w:color="000000"/>
                              <w:left w:val="nil"/>
                              <w:bottom w:val="nil"/>
                              <w:right w:val="nil"/>
                            </w:tcBorders>
                            <w:hideMark/>
                          </w:tcPr>
                          <w:p w14:paraId="406FF84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614" w:type="pct"/>
                            <w:tcBorders>
                              <w:top w:val="single" w:sz="4" w:space="0" w:color="000000"/>
                              <w:left w:val="nil"/>
                              <w:bottom w:val="nil"/>
                              <w:right w:val="nil"/>
                            </w:tcBorders>
                            <w:hideMark/>
                          </w:tcPr>
                          <w:p w14:paraId="229395F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 </w:t>
                            </w:r>
                          </w:p>
                        </w:tc>
                        <w:tc>
                          <w:tcPr>
                            <w:tcW w:w="548" w:type="pct"/>
                            <w:tcBorders>
                              <w:top w:val="single" w:sz="4" w:space="0" w:color="000000"/>
                              <w:left w:val="nil"/>
                              <w:bottom w:val="nil"/>
                              <w:right w:val="nil"/>
                            </w:tcBorders>
                            <w:hideMark/>
                          </w:tcPr>
                          <w:p w14:paraId="12ED72C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3A59502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548" w:type="pct"/>
                            <w:tcBorders>
                              <w:top w:val="single" w:sz="4" w:space="0" w:color="000000"/>
                              <w:left w:val="nil"/>
                              <w:bottom w:val="nil"/>
                              <w:right w:val="nil"/>
                            </w:tcBorders>
                            <w:hideMark/>
                          </w:tcPr>
                          <w:p w14:paraId="0F63C3E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r>
                      <w:tr w:rsidR="003C2F53" w:rsidRPr="00475BB7" w14:paraId="060605FC" w14:textId="77777777" w:rsidTr="00475BB7">
                        <w:trPr>
                          <w:trHeight w:val="204"/>
                        </w:trPr>
                        <w:tc>
                          <w:tcPr>
                            <w:tcW w:w="1578" w:type="pct"/>
                            <w:tcBorders>
                              <w:top w:val="nil"/>
                              <w:left w:val="nil"/>
                              <w:bottom w:val="nil"/>
                              <w:right w:val="nil"/>
                            </w:tcBorders>
                            <w:noWrap/>
                            <w:hideMark/>
                          </w:tcPr>
                          <w:p w14:paraId="61F5B734"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Earnings of Discontinued Ops.</w:t>
                            </w:r>
                          </w:p>
                        </w:tc>
                        <w:tc>
                          <w:tcPr>
                            <w:tcW w:w="548" w:type="pct"/>
                            <w:tcBorders>
                              <w:top w:val="nil"/>
                              <w:left w:val="nil"/>
                              <w:bottom w:val="nil"/>
                              <w:right w:val="nil"/>
                            </w:tcBorders>
                            <w:hideMark/>
                          </w:tcPr>
                          <w:p w14:paraId="2A82361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 </w:t>
                            </w:r>
                          </w:p>
                        </w:tc>
                        <w:tc>
                          <w:tcPr>
                            <w:tcW w:w="548" w:type="pct"/>
                            <w:tcBorders>
                              <w:top w:val="nil"/>
                              <w:left w:val="nil"/>
                              <w:bottom w:val="nil"/>
                              <w:right w:val="nil"/>
                            </w:tcBorders>
                            <w:hideMark/>
                          </w:tcPr>
                          <w:p w14:paraId="6060BF8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7AA0955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c>
                          <w:tcPr>
                            <w:tcW w:w="548" w:type="pct"/>
                            <w:tcBorders>
                              <w:top w:val="nil"/>
                              <w:left w:val="nil"/>
                              <w:bottom w:val="nil"/>
                              <w:right w:val="nil"/>
                            </w:tcBorders>
                            <w:hideMark/>
                          </w:tcPr>
                          <w:p w14:paraId="7D8D97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 </w:t>
                            </w:r>
                          </w:p>
                        </w:tc>
                        <w:tc>
                          <w:tcPr>
                            <w:tcW w:w="614" w:type="pct"/>
                            <w:tcBorders>
                              <w:top w:val="nil"/>
                              <w:left w:val="nil"/>
                              <w:bottom w:val="nil"/>
                              <w:right w:val="nil"/>
                            </w:tcBorders>
                            <w:hideMark/>
                          </w:tcPr>
                          <w:p w14:paraId="3C0B166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106822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t>
                            </w:r>
                          </w:p>
                        </w:tc>
                      </w:tr>
                      <w:tr w:rsidR="003C2F53" w:rsidRPr="00475BB7" w14:paraId="5823FFE7" w14:textId="77777777" w:rsidTr="00475BB7">
                        <w:trPr>
                          <w:trHeight w:val="204"/>
                        </w:trPr>
                        <w:tc>
                          <w:tcPr>
                            <w:tcW w:w="1578" w:type="pct"/>
                            <w:tcBorders>
                              <w:top w:val="nil"/>
                              <w:left w:val="nil"/>
                              <w:bottom w:val="nil"/>
                              <w:right w:val="nil"/>
                            </w:tcBorders>
                            <w:noWrap/>
                            <w:hideMark/>
                          </w:tcPr>
                          <w:p w14:paraId="3020598F"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Income to Company</w:t>
                            </w:r>
                          </w:p>
                        </w:tc>
                        <w:tc>
                          <w:tcPr>
                            <w:tcW w:w="548" w:type="pct"/>
                            <w:tcBorders>
                              <w:top w:val="single" w:sz="4" w:space="0" w:color="000000"/>
                              <w:left w:val="nil"/>
                              <w:bottom w:val="nil"/>
                              <w:right w:val="nil"/>
                            </w:tcBorders>
                            <w:hideMark/>
                          </w:tcPr>
                          <w:p w14:paraId="64188196"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1B305201"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614" w:type="pct"/>
                            <w:tcBorders>
                              <w:top w:val="single" w:sz="4" w:space="0" w:color="000000"/>
                              <w:left w:val="nil"/>
                              <w:bottom w:val="nil"/>
                              <w:right w:val="nil"/>
                            </w:tcBorders>
                            <w:hideMark/>
                          </w:tcPr>
                          <w:p w14:paraId="27C6A32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548" w:type="pct"/>
                            <w:tcBorders>
                              <w:top w:val="single" w:sz="4" w:space="0" w:color="000000"/>
                              <w:left w:val="nil"/>
                              <w:bottom w:val="nil"/>
                              <w:right w:val="nil"/>
                            </w:tcBorders>
                            <w:hideMark/>
                          </w:tcPr>
                          <w:p w14:paraId="0A6E61F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1.7 </w:t>
                            </w:r>
                          </w:p>
                        </w:tc>
                        <w:tc>
                          <w:tcPr>
                            <w:tcW w:w="614" w:type="pct"/>
                            <w:tcBorders>
                              <w:top w:val="single" w:sz="4" w:space="0" w:color="000000"/>
                              <w:left w:val="nil"/>
                              <w:bottom w:val="nil"/>
                              <w:right w:val="nil"/>
                            </w:tcBorders>
                            <w:hideMark/>
                          </w:tcPr>
                          <w:p w14:paraId="47B032A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single" w:sz="4" w:space="0" w:color="000000"/>
                              <w:left w:val="nil"/>
                              <w:bottom w:val="nil"/>
                              <w:right w:val="nil"/>
                            </w:tcBorders>
                            <w:hideMark/>
                          </w:tcPr>
                          <w:p w14:paraId="4D9494F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r>
                      <w:tr w:rsidR="003C2F53" w:rsidRPr="00475BB7" w14:paraId="1766B4B7" w14:textId="77777777" w:rsidTr="00475BB7">
                        <w:trPr>
                          <w:trHeight w:val="204"/>
                        </w:trPr>
                        <w:tc>
                          <w:tcPr>
                            <w:tcW w:w="1578" w:type="pct"/>
                            <w:tcBorders>
                              <w:top w:val="nil"/>
                              <w:left w:val="nil"/>
                              <w:bottom w:val="nil"/>
                              <w:right w:val="nil"/>
                            </w:tcBorders>
                            <w:noWrap/>
                            <w:hideMark/>
                          </w:tcPr>
                          <w:p w14:paraId="781D2CE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Minority Int. in Earnings</w:t>
                            </w:r>
                          </w:p>
                        </w:tc>
                        <w:tc>
                          <w:tcPr>
                            <w:tcW w:w="548" w:type="pct"/>
                            <w:tcBorders>
                              <w:top w:val="nil"/>
                              <w:left w:val="nil"/>
                              <w:bottom w:val="nil"/>
                              <w:right w:val="nil"/>
                            </w:tcBorders>
                            <w:hideMark/>
                          </w:tcPr>
                          <w:p w14:paraId="124FF6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20BDE2B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2FB0227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1326CC6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527B71F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 </w:t>
                            </w:r>
                          </w:p>
                        </w:tc>
                        <w:tc>
                          <w:tcPr>
                            <w:tcW w:w="548" w:type="pct"/>
                            <w:tcBorders>
                              <w:top w:val="nil"/>
                              <w:left w:val="nil"/>
                              <w:bottom w:val="nil"/>
                              <w:right w:val="nil"/>
                            </w:tcBorders>
                            <w:hideMark/>
                          </w:tcPr>
                          <w:p w14:paraId="64CFEA9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(0.1)  </w:t>
                            </w:r>
                          </w:p>
                        </w:tc>
                      </w:tr>
                      <w:tr w:rsidR="003C2F53" w:rsidRPr="00475BB7" w14:paraId="65516555" w14:textId="77777777" w:rsidTr="00475BB7">
                        <w:trPr>
                          <w:trHeight w:val="204"/>
                        </w:trPr>
                        <w:tc>
                          <w:tcPr>
                            <w:tcW w:w="1578" w:type="pct"/>
                            <w:tcBorders>
                              <w:top w:val="nil"/>
                              <w:left w:val="nil"/>
                              <w:bottom w:val="nil"/>
                              <w:right w:val="nil"/>
                            </w:tcBorders>
                            <w:noWrap/>
                            <w:hideMark/>
                          </w:tcPr>
                          <w:p w14:paraId="5A2F8381"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Net Income</w:t>
                            </w:r>
                          </w:p>
                        </w:tc>
                        <w:tc>
                          <w:tcPr>
                            <w:tcW w:w="548" w:type="pct"/>
                            <w:tcBorders>
                              <w:top w:val="single" w:sz="4" w:space="0" w:color="000000"/>
                              <w:left w:val="nil"/>
                              <w:bottom w:val="nil"/>
                              <w:right w:val="nil"/>
                            </w:tcBorders>
                            <w:hideMark/>
                          </w:tcPr>
                          <w:p w14:paraId="6BD4E07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1.3 </w:t>
                            </w:r>
                          </w:p>
                        </w:tc>
                        <w:tc>
                          <w:tcPr>
                            <w:tcW w:w="548" w:type="pct"/>
                            <w:tcBorders>
                              <w:top w:val="single" w:sz="4" w:space="0" w:color="000000"/>
                              <w:left w:val="nil"/>
                              <w:bottom w:val="nil"/>
                              <w:right w:val="nil"/>
                            </w:tcBorders>
                            <w:hideMark/>
                          </w:tcPr>
                          <w:p w14:paraId="60B38DE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0.8 </w:t>
                            </w:r>
                          </w:p>
                        </w:tc>
                        <w:tc>
                          <w:tcPr>
                            <w:tcW w:w="614" w:type="pct"/>
                            <w:tcBorders>
                              <w:top w:val="single" w:sz="4" w:space="0" w:color="000000"/>
                              <w:left w:val="nil"/>
                              <w:bottom w:val="nil"/>
                              <w:right w:val="nil"/>
                            </w:tcBorders>
                            <w:hideMark/>
                          </w:tcPr>
                          <w:p w14:paraId="6357563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1.2 </w:t>
                            </w:r>
                          </w:p>
                        </w:tc>
                        <w:tc>
                          <w:tcPr>
                            <w:tcW w:w="548" w:type="pct"/>
                            <w:tcBorders>
                              <w:top w:val="single" w:sz="4" w:space="0" w:color="000000"/>
                              <w:left w:val="nil"/>
                              <w:bottom w:val="nil"/>
                              <w:right w:val="nil"/>
                            </w:tcBorders>
                            <w:hideMark/>
                          </w:tcPr>
                          <w:p w14:paraId="2894706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1.4 </w:t>
                            </w:r>
                          </w:p>
                        </w:tc>
                        <w:tc>
                          <w:tcPr>
                            <w:tcW w:w="614" w:type="pct"/>
                            <w:tcBorders>
                              <w:top w:val="single" w:sz="4" w:space="0" w:color="000000"/>
                              <w:left w:val="nil"/>
                              <w:bottom w:val="nil"/>
                              <w:right w:val="nil"/>
                            </w:tcBorders>
                            <w:hideMark/>
                          </w:tcPr>
                          <w:p w14:paraId="61A7E345"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1.8 </w:t>
                            </w:r>
                          </w:p>
                        </w:tc>
                        <w:tc>
                          <w:tcPr>
                            <w:tcW w:w="548" w:type="pct"/>
                            <w:tcBorders>
                              <w:top w:val="single" w:sz="4" w:space="0" w:color="000000"/>
                              <w:left w:val="nil"/>
                              <w:bottom w:val="nil"/>
                              <w:right w:val="nil"/>
                            </w:tcBorders>
                            <w:hideMark/>
                          </w:tcPr>
                          <w:p w14:paraId="00C6CA74"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u w:val="double"/>
                                <w:lang w:eastAsia="en-IN"/>
                                <w14:ligatures w14:val="none"/>
                              </w:rPr>
                            </w:pPr>
                            <w:r w:rsidRPr="00475BB7">
                              <w:rPr>
                                <w:rFonts w:ascii="Cambria" w:eastAsia="Times New Roman" w:hAnsi="Cambria" w:cs="Arial"/>
                                <w:b/>
                                <w:bCs/>
                                <w:color w:val="000000"/>
                                <w:kern w:val="0"/>
                                <w:sz w:val="14"/>
                                <w:szCs w:val="14"/>
                                <w:u w:val="double"/>
                                <w:lang w:eastAsia="en-IN"/>
                                <w14:ligatures w14:val="none"/>
                              </w:rPr>
                              <w:t xml:space="preserve">                  0.7 </w:t>
                            </w:r>
                          </w:p>
                        </w:tc>
                      </w:tr>
                      <w:tr w:rsidR="003C2F53" w:rsidRPr="00475BB7" w14:paraId="02CAA5A5" w14:textId="77777777" w:rsidTr="00475BB7">
                        <w:trPr>
                          <w:trHeight w:val="204"/>
                        </w:trPr>
                        <w:tc>
                          <w:tcPr>
                            <w:tcW w:w="1578" w:type="pct"/>
                            <w:tcBorders>
                              <w:top w:val="nil"/>
                              <w:left w:val="nil"/>
                              <w:bottom w:val="nil"/>
                              <w:right w:val="nil"/>
                            </w:tcBorders>
                            <w:noWrap/>
                            <w:hideMark/>
                          </w:tcPr>
                          <w:p w14:paraId="7EA959A0"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NI to Common Incl Extra Items</w:t>
                            </w:r>
                          </w:p>
                        </w:tc>
                        <w:tc>
                          <w:tcPr>
                            <w:tcW w:w="548" w:type="pct"/>
                            <w:tcBorders>
                              <w:top w:val="nil"/>
                              <w:left w:val="nil"/>
                              <w:bottom w:val="nil"/>
                              <w:right w:val="nil"/>
                            </w:tcBorders>
                            <w:hideMark/>
                          </w:tcPr>
                          <w:p w14:paraId="41E03C1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1.3 </w:t>
                            </w:r>
                          </w:p>
                        </w:tc>
                        <w:tc>
                          <w:tcPr>
                            <w:tcW w:w="548" w:type="pct"/>
                            <w:tcBorders>
                              <w:top w:val="nil"/>
                              <w:left w:val="nil"/>
                              <w:bottom w:val="nil"/>
                              <w:right w:val="nil"/>
                            </w:tcBorders>
                            <w:hideMark/>
                          </w:tcPr>
                          <w:p w14:paraId="526D5C93"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614" w:type="pct"/>
                            <w:tcBorders>
                              <w:top w:val="nil"/>
                              <w:left w:val="nil"/>
                              <w:bottom w:val="nil"/>
                              <w:right w:val="nil"/>
                            </w:tcBorders>
                            <w:hideMark/>
                          </w:tcPr>
                          <w:p w14:paraId="48854BAB"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1.2 </w:t>
                            </w:r>
                          </w:p>
                        </w:tc>
                        <w:tc>
                          <w:tcPr>
                            <w:tcW w:w="548" w:type="pct"/>
                            <w:tcBorders>
                              <w:top w:val="nil"/>
                              <w:left w:val="nil"/>
                              <w:bottom w:val="nil"/>
                              <w:right w:val="nil"/>
                            </w:tcBorders>
                            <w:hideMark/>
                          </w:tcPr>
                          <w:p w14:paraId="3CB4B7E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1.4 </w:t>
                            </w:r>
                          </w:p>
                        </w:tc>
                        <w:tc>
                          <w:tcPr>
                            <w:tcW w:w="614" w:type="pct"/>
                            <w:tcBorders>
                              <w:top w:val="nil"/>
                              <w:left w:val="nil"/>
                              <w:bottom w:val="nil"/>
                              <w:right w:val="nil"/>
                            </w:tcBorders>
                            <w:hideMark/>
                          </w:tcPr>
                          <w:p w14:paraId="7C0048D9"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1.8 </w:t>
                            </w:r>
                          </w:p>
                        </w:tc>
                        <w:tc>
                          <w:tcPr>
                            <w:tcW w:w="548" w:type="pct"/>
                            <w:tcBorders>
                              <w:top w:val="nil"/>
                              <w:left w:val="nil"/>
                              <w:bottom w:val="nil"/>
                              <w:right w:val="nil"/>
                            </w:tcBorders>
                            <w:hideMark/>
                          </w:tcPr>
                          <w:p w14:paraId="31F7998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0.7 </w:t>
                            </w:r>
                          </w:p>
                        </w:tc>
                      </w:tr>
                      <w:tr w:rsidR="003C2F53" w:rsidRPr="00475BB7" w14:paraId="605277E8" w14:textId="77777777" w:rsidTr="00475BB7">
                        <w:trPr>
                          <w:trHeight w:val="204"/>
                        </w:trPr>
                        <w:tc>
                          <w:tcPr>
                            <w:tcW w:w="1578" w:type="pct"/>
                            <w:tcBorders>
                              <w:top w:val="nil"/>
                              <w:left w:val="nil"/>
                              <w:bottom w:val="nil"/>
                              <w:right w:val="nil"/>
                            </w:tcBorders>
                            <w:noWrap/>
                            <w:hideMark/>
                          </w:tcPr>
                          <w:p w14:paraId="3341623D"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NI to Common Excl. Extra Items</w:t>
                            </w:r>
                          </w:p>
                        </w:tc>
                        <w:tc>
                          <w:tcPr>
                            <w:tcW w:w="548" w:type="pct"/>
                            <w:tcBorders>
                              <w:top w:val="nil"/>
                              <w:left w:val="nil"/>
                              <w:bottom w:val="nil"/>
                              <w:right w:val="nil"/>
                            </w:tcBorders>
                            <w:hideMark/>
                          </w:tcPr>
                          <w:p w14:paraId="6E6299F2"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0.0 </w:t>
                            </w:r>
                          </w:p>
                        </w:tc>
                        <w:tc>
                          <w:tcPr>
                            <w:tcW w:w="548" w:type="pct"/>
                            <w:tcBorders>
                              <w:top w:val="nil"/>
                              <w:left w:val="nil"/>
                              <w:bottom w:val="nil"/>
                              <w:right w:val="nil"/>
                            </w:tcBorders>
                            <w:hideMark/>
                          </w:tcPr>
                          <w:p w14:paraId="57B8DD50"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0.8 </w:t>
                            </w:r>
                          </w:p>
                        </w:tc>
                        <w:tc>
                          <w:tcPr>
                            <w:tcW w:w="614" w:type="pct"/>
                            <w:tcBorders>
                              <w:top w:val="nil"/>
                              <w:left w:val="nil"/>
                              <w:bottom w:val="nil"/>
                              <w:right w:val="nil"/>
                            </w:tcBorders>
                            <w:hideMark/>
                          </w:tcPr>
                          <w:p w14:paraId="6A0F1E67"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1.1 </w:t>
                            </w:r>
                          </w:p>
                        </w:tc>
                        <w:tc>
                          <w:tcPr>
                            <w:tcW w:w="548" w:type="pct"/>
                            <w:tcBorders>
                              <w:top w:val="nil"/>
                              <w:left w:val="nil"/>
                              <w:bottom w:val="nil"/>
                              <w:right w:val="nil"/>
                            </w:tcBorders>
                            <w:hideMark/>
                          </w:tcPr>
                          <w:p w14:paraId="610E352D"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1.5 </w:t>
                            </w:r>
                          </w:p>
                        </w:tc>
                        <w:tc>
                          <w:tcPr>
                            <w:tcW w:w="614" w:type="pct"/>
                            <w:tcBorders>
                              <w:top w:val="nil"/>
                              <w:left w:val="nil"/>
                              <w:bottom w:val="nil"/>
                              <w:right w:val="nil"/>
                            </w:tcBorders>
                            <w:hideMark/>
                          </w:tcPr>
                          <w:p w14:paraId="791ADE6E"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1.0 </w:t>
                            </w:r>
                          </w:p>
                        </w:tc>
                        <w:tc>
                          <w:tcPr>
                            <w:tcW w:w="548" w:type="pct"/>
                            <w:tcBorders>
                              <w:top w:val="nil"/>
                              <w:left w:val="nil"/>
                              <w:bottom w:val="nil"/>
                              <w:right w:val="nil"/>
                            </w:tcBorders>
                            <w:hideMark/>
                          </w:tcPr>
                          <w:p w14:paraId="16D40F0F" w14:textId="77777777" w:rsidR="00475BB7" w:rsidRPr="00475BB7" w:rsidRDefault="00475BB7" w:rsidP="00475BB7">
                            <w:pPr>
                              <w:spacing w:after="0" w:line="240" w:lineRule="auto"/>
                              <w:jc w:val="right"/>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 xml:space="preserve">                  0.7 </w:t>
                            </w:r>
                          </w:p>
                        </w:tc>
                      </w:tr>
                      <w:tr w:rsidR="00475BB7" w:rsidRPr="00475BB7" w14:paraId="015945F5" w14:textId="77777777" w:rsidTr="00475BB7">
                        <w:trPr>
                          <w:trHeight w:val="204"/>
                        </w:trPr>
                        <w:tc>
                          <w:tcPr>
                            <w:tcW w:w="1578" w:type="pct"/>
                            <w:tcBorders>
                              <w:top w:val="nil"/>
                              <w:left w:val="nil"/>
                              <w:bottom w:val="nil"/>
                              <w:right w:val="nil"/>
                            </w:tcBorders>
                            <w:noWrap/>
                            <w:hideMark/>
                          </w:tcPr>
                          <w:p w14:paraId="56CEE7BB"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Per Share Items</w:t>
                            </w:r>
                          </w:p>
                        </w:tc>
                        <w:tc>
                          <w:tcPr>
                            <w:tcW w:w="548" w:type="pct"/>
                            <w:tcBorders>
                              <w:top w:val="nil"/>
                              <w:left w:val="nil"/>
                              <w:bottom w:val="nil"/>
                              <w:right w:val="nil"/>
                            </w:tcBorders>
                            <w:noWrap/>
                            <w:hideMark/>
                          </w:tcPr>
                          <w:p w14:paraId="5A9CD2B7"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c>
                          <w:tcPr>
                            <w:tcW w:w="548" w:type="pct"/>
                            <w:tcBorders>
                              <w:top w:val="nil"/>
                              <w:left w:val="nil"/>
                              <w:bottom w:val="nil"/>
                              <w:right w:val="nil"/>
                            </w:tcBorders>
                            <w:noWrap/>
                            <w:hideMark/>
                          </w:tcPr>
                          <w:p w14:paraId="4D4C91E4"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0D85C8C0"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607316F5"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3A44B176"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7858CA64"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r>
                      <w:tr w:rsidR="003C2F53" w:rsidRPr="00475BB7" w14:paraId="5D713406" w14:textId="77777777" w:rsidTr="00475BB7">
                        <w:trPr>
                          <w:trHeight w:val="204"/>
                        </w:trPr>
                        <w:tc>
                          <w:tcPr>
                            <w:tcW w:w="1578" w:type="pct"/>
                            <w:tcBorders>
                              <w:top w:val="nil"/>
                              <w:left w:val="nil"/>
                              <w:bottom w:val="nil"/>
                              <w:right w:val="nil"/>
                            </w:tcBorders>
                            <w:noWrap/>
                            <w:hideMark/>
                          </w:tcPr>
                          <w:p w14:paraId="58DD839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Basic EPS</w:t>
                            </w:r>
                          </w:p>
                        </w:tc>
                        <w:tc>
                          <w:tcPr>
                            <w:tcW w:w="548" w:type="pct"/>
                            <w:tcBorders>
                              <w:top w:val="nil"/>
                              <w:left w:val="nil"/>
                              <w:bottom w:val="nil"/>
                              <w:right w:val="nil"/>
                            </w:tcBorders>
                            <w:hideMark/>
                          </w:tcPr>
                          <w:p w14:paraId="450D616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$1.6 </w:t>
                            </w:r>
                          </w:p>
                        </w:tc>
                        <w:tc>
                          <w:tcPr>
                            <w:tcW w:w="548" w:type="pct"/>
                            <w:tcBorders>
                              <w:top w:val="nil"/>
                              <w:left w:val="nil"/>
                              <w:bottom w:val="nil"/>
                              <w:right w:val="nil"/>
                            </w:tcBorders>
                            <w:hideMark/>
                          </w:tcPr>
                          <w:p w14:paraId="2D5E071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$0.97 </w:t>
                            </w:r>
                          </w:p>
                        </w:tc>
                        <w:tc>
                          <w:tcPr>
                            <w:tcW w:w="614" w:type="pct"/>
                            <w:tcBorders>
                              <w:top w:val="nil"/>
                              <w:left w:val="nil"/>
                              <w:bottom w:val="nil"/>
                              <w:right w:val="nil"/>
                            </w:tcBorders>
                            <w:hideMark/>
                          </w:tcPr>
                          <w:p w14:paraId="0B435F1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$1.55 </w:t>
                            </w:r>
                          </w:p>
                        </w:tc>
                        <w:tc>
                          <w:tcPr>
                            <w:tcW w:w="548" w:type="pct"/>
                            <w:tcBorders>
                              <w:top w:val="nil"/>
                              <w:left w:val="nil"/>
                              <w:bottom w:val="nil"/>
                              <w:right w:val="nil"/>
                            </w:tcBorders>
                            <w:hideMark/>
                          </w:tcPr>
                          <w:p w14:paraId="32A4C03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$1.94 </w:t>
                            </w:r>
                          </w:p>
                        </w:tc>
                        <w:tc>
                          <w:tcPr>
                            <w:tcW w:w="614" w:type="pct"/>
                            <w:tcBorders>
                              <w:top w:val="nil"/>
                              <w:left w:val="nil"/>
                              <w:bottom w:val="nil"/>
                              <w:right w:val="nil"/>
                            </w:tcBorders>
                            <w:hideMark/>
                          </w:tcPr>
                          <w:p w14:paraId="756FC2C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$2.57 </w:t>
                            </w:r>
                          </w:p>
                        </w:tc>
                        <w:tc>
                          <w:tcPr>
                            <w:tcW w:w="548" w:type="pct"/>
                            <w:tcBorders>
                              <w:top w:val="nil"/>
                              <w:left w:val="nil"/>
                              <w:bottom w:val="nil"/>
                              <w:right w:val="nil"/>
                            </w:tcBorders>
                            <w:hideMark/>
                          </w:tcPr>
                          <w:p w14:paraId="5B90CF6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$1.12 </w:t>
                            </w:r>
                          </w:p>
                        </w:tc>
                      </w:tr>
                      <w:tr w:rsidR="003C2F53" w:rsidRPr="00475BB7" w14:paraId="42EF189B" w14:textId="77777777" w:rsidTr="00475BB7">
                        <w:trPr>
                          <w:trHeight w:val="204"/>
                        </w:trPr>
                        <w:tc>
                          <w:tcPr>
                            <w:tcW w:w="1578" w:type="pct"/>
                            <w:tcBorders>
                              <w:top w:val="nil"/>
                              <w:left w:val="nil"/>
                              <w:bottom w:val="nil"/>
                              <w:right w:val="nil"/>
                            </w:tcBorders>
                            <w:noWrap/>
                            <w:hideMark/>
                          </w:tcPr>
                          <w:p w14:paraId="5AE5BE5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Basic EPS Excl. Extra Items</w:t>
                            </w:r>
                          </w:p>
                        </w:tc>
                        <w:tc>
                          <w:tcPr>
                            <w:tcW w:w="548" w:type="pct"/>
                            <w:tcBorders>
                              <w:top w:val="nil"/>
                              <w:left w:val="nil"/>
                              <w:bottom w:val="nil"/>
                              <w:right w:val="nil"/>
                            </w:tcBorders>
                            <w:hideMark/>
                          </w:tcPr>
                          <w:p w14:paraId="3AC3181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0.04 </w:t>
                            </w:r>
                          </w:p>
                        </w:tc>
                        <w:tc>
                          <w:tcPr>
                            <w:tcW w:w="548" w:type="pct"/>
                            <w:tcBorders>
                              <w:top w:val="nil"/>
                              <w:left w:val="nil"/>
                              <w:bottom w:val="nil"/>
                              <w:right w:val="nil"/>
                            </w:tcBorders>
                            <w:hideMark/>
                          </w:tcPr>
                          <w:p w14:paraId="6980356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1.01 </w:t>
                            </w:r>
                          </w:p>
                        </w:tc>
                        <w:tc>
                          <w:tcPr>
                            <w:tcW w:w="614" w:type="pct"/>
                            <w:tcBorders>
                              <w:top w:val="nil"/>
                              <w:left w:val="nil"/>
                              <w:bottom w:val="nil"/>
                              <w:right w:val="nil"/>
                            </w:tcBorders>
                            <w:hideMark/>
                          </w:tcPr>
                          <w:p w14:paraId="768E4E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1.45 </w:t>
                            </w:r>
                          </w:p>
                        </w:tc>
                        <w:tc>
                          <w:tcPr>
                            <w:tcW w:w="548" w:type="pct"/>
                            <w:tcBorders>
                              <w:top w:val="nil"/>
                              <w:left w:val="nil"/>
                              <w:bottom w:val="nil"/>
                              <w:right w:val="nil"/>
                            </w:tcBorders>
                            <w:hideMark/>
                          </w:tcPr>
                          <w:p w14:paraId="4C74844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1.97 </w:t>
                            </w:r>
                          </w:p>
                        </w:tc>
                        <w:tc>
                          <w:tcPr>
                            <w:tcW w:w="614" w:type="pct"/>
                            <w:tcBorders>
                              <w:top w:val="nil"/>
                              <w:left w:val="nil"/>
                              <w:bottom w:val="nil"/>
                              <w:right w:val="nil"/>
                            </w:tcBorders>
                            <w:hideMark/>
                          </w:tcPr>
                          <w:p w14:paraId="2D0435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548" w:type="pct"/>
                            <w:tcBorders>
                              <w:top w:val="nil"/>
                              <w:left w:val="nil"/>
                              <w:bottom w:val="nil"/>
                              <w:right w:val="nil"/>
                            </w:tcBorders>
                            <w:hideMark/>
                          </w:tcPr>
                          <w:p w14:paraId="159652B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1.12 </w:t>
                            </w:r>
                          </w:p>
                        </w:tc>
                      </w:tr>
                      <w:tr w:rsidR="003C2F53" w:rsidRPr="00475BB7" w14:paraId="0F9C9860" w14:textId="77777777" w:rsidTr="00475BB7">
                        <w:trPr>
                          <w:trHeight w:val="204"/>
                        </w:trPr>
                        <w:tc>
                          <w:tcPr>
                            <w:tcW w:w="1578" w:type="pct"/>
                            <w:tcBorders>
                              <w:top w:val="nil"/>
                              <w:left w:val="nil"/>
                              <w:bottom w:val="nil"/>
                              <w:right w:val="nil"/>
                            </w:tcBorders>
                            <w:noWrap/>
                            <w:hideMark/>
                          </w:tcPr>
                          <w:p w14:paraId="698FD7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Weighted Avg. Basic Shares Out.</w:t>
                            </w:r>
                          </w:p>
                        </w:tc>
                        <w:tc>
                          <w:tcPr>
                            <w:tcW w:w="548" w:type="pct"/>
                            <w:tcBorders>
                              <w:top w:val="nil"/>
                              <w:left w:val="nil"/>
                              <w:bottom w:val="nil"/>
                              <w:right w:val="nil"/>
                            </w:tcBorders>
                            <w:hideMark/>
                          </w:tcPr>
                          <w:p w14:paraId="4E386CB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65AFDED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614" w:type="pct"/>
                            <w:tcBorders>
                              <w:top w:val="nil"/>
                              <w:left w:val="nil"/>
                              <w:bottom w:val="nil"/>
                              <w:right w:val="nil"/>
                            </w:tcBorders>
                            <w:hideMark/>
                          </w:tcPr>
                          <w:p w14:paraId="270555B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12B7403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614" w:type="pct"/>
                            <w:tcBorders>
                              <w:top w:val="nil"/>
                              <w:left w:val="nil"/>
                              <w:bottom w:val="nil"/>
                              <w:right w:val="nil"/>
                            </w:tcBorders>
                            <w:hideMark/>
                          </w:tcPr>
                          <w:p w14:paraId="1B27C19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5F3BAE5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520992A4" w14:textId="77777777" w:rsidTr="00475BB7">
                        <w:trPr>
                          <w:trHeight w:val="204"/>
                        </w:trPr>
                        <w:tc>
                          <w:tcPr>
                            <w:tcW w:w="1578" w:type="pct"/>
                            <w:tcBorders>
                              <w:top w:val="nil"/>
                              <w:left w:val="nil"/>
                              <w:bottom w:val="nil"/>
                              <w:right w:val="nil"/>
                            </w:tcBorders>
                            <w:noWrap/>
                            <w:hideMark/>
                          </w:tcPr>
                          <w:p w14:paraId="058E6103"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Diluted EPS</w:t>
                            </w:r>
                          </w:p>
                        </w:tc>
                        <w:tc>
                          <w:tcPr>
                            <w:tcW w:w="548" w:type="pct"/>
                            <w:tcBorders>
                              <w:top w:val="nil"/>
                              <w:left w:val="nil"/>
                              <w:bottom w:val="nil"/>
                              <w:right w:val="nil"/>
                            </w:tcBorders>
                            <w:hideMark/>
                          </w:tcPr>
                          <w:p w14:paraId="422C64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$1.6 </w:t>
                            </w:r>
                          </w:p>
                        </w:tc>
                        <w:tc>
                          <w:tcPr>
                            <w:tcW w:w="548" w:type="pct"/>
                            <w:tcBorders>
                              <w:top w:val="nil"/>
                              <w:left w:val="nil"/>
                              <w:bottom w:val="nil"/>
                              <w:right w:val="nil"/>
                            </w:tcBorders>
                            <w:hideMark/>
                          </w:tcPr>
                          <w:p w14:paraId="3C0B825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$0.97 </w:t>
                            </w:r>
                          </w:p>
                        </w:tc>
                        <w:tc>
                          <w:tcPr>
                            <w:tcW w:w="614" w:type="pct"/>
                            <w:tcBorders>
                              <w:top w:val="nil"/>
                              <w:left w:val="nil"/>
                              <w:bottom w:val="nil"/>
                              <w:right w:val="nil"/>
                            </w:tcBorders>
                            <w:hideMark/>
                          </w:tcPr>
                          <w:p w14:paraId="209315D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$1.54 </w:t>
                            </w:r>
                          </w:p>
                        </w:tc>
                        <w:tc>
                          <w:tcPr>
                            <w:tcW w:w="548" w:type="pct"/>
                            <w:tcBorders>
                              <w:top w:val="nil"/>
                              <w:left w:val="nil"/>
                              <w:bottom w:val="nil"/>
                              <w:right w:val="nil"/>
                            </w:tcBorders>
                            <w:hideMark/>
                          </w:tcPr>
                          <w:p w14:paraId="45B9F70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$1.93 </w:t>
                            </w:r>
                          </w:p>
                        </w:tc>
                        <w:tc>
                          <w:tcPr>
                            <w:tcW w:w="614" w:type="pct"/>
                            <w:tcBorders>
                              <w:top w:val="nil"/>
                              <w:left w:val="nil"/>
                              <w:bottom w:val="nil"/>
                              <w:right w:val="nil"/>
                            </w:tcBorders>
                            <w:hideMark/>
                          </w:tcPr>
                          <w:p w14:paraId="0A47AA0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$2.55 </w:t>
                            </w:r>
                          </w:p>
                        </w:tc>
                        <w:tc>
                          <w:tcPr>
                            <w:tcW w:w="548" w:type="pct"/>
                            <w:tcBorders>
                              <w:top w:val="nil"/>
                              <w:left w:val="nil"/>
                              <w:bottom w:val="nil"/>
                              <w:right w:val="nil"/>
                            </w:tcBorders>
                            <w:hideMark/>
                          </w:tcPr>
                          <w:p w14:paraId="7A52B57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$1.11 </w:t>
                            </w:r>
                          </w:p>
                        </w:tc>
                      </w:tr>
                      <w:tr w:rsidR="003C2F53" w:rsidRPr="00475BB7" w14:paraId="291C0805" w14:textId="77777777" w:rsidTr="00475BB7">
                        <w:trPr>
                          <w:trHeight w:val="204"/>
                        </w:trPr>
                        <w:tc>
                          <w:tcPr>
                            <w:tcW w:w="1578" w:type="pct"/>
                            <w:tcBorders>
                              <w:top w:val="nil"/>
                              <w:left w:val="nil"/>
                              <w:bottom w:val="nil"/>
                              <w:right w:val="nil"/>
                            </w:tcBorders>
                            <w:noWrap/>
                            <w:hideMark/>
                          </w:tcPr>
                          <w:p w14:paraId="544B7EC2"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Diluted EPS Excl. Extra Items</w:t>
                            </w:r>
                          </w:p>
                        </w:tc>
                        <w:tc>
                          <w:tcPr>
                            <w:tcW w:w="548" w:type="pct"/>
                            <w:tcBorders>
                              <w:top w:val="nil"/>
                              <w:left w:val="nil"/>
                              <w:bottom w:val="nil"/>
                              <w:right w:val="nil"/>
                            </w:tcBorders>
                            <w:hideMark/>
                          </w:tcPr>
                          <w:p w14:paraId="6F4AC8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0.04 </w:t>
                            </w:r>
                          </w:p>
                        </w:tc>
                        <w:tc>
                          <w:tcPr>
                            <w:tcW w:w="548" w:type="pct"/>
                            <w:tcBorders>
                              <w:top w:val="nil"/>
                              <w:left w:val="nil"/>
                              <w:bottom w:val="nil"/>
                              <w:right w:val="nil"/>
                            </w:tcBorders>
                            <w:hideMark/>
                          </w:tcPr>
                          <w:p w14:paraId="2308D82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1.0 </w:t>
                            </w:r>
                          </w:p>
                        </w:tc>
                        <w:tc>
                          <w:tcPr>
                            <w:tcW w:w="614" w:type="pct"/>
                            <w:tcBorders>
                              <w:top w:val="nil"/>
                              <w:left w:val="nil"/>
                              <w:bottom w:val="nil"/>
                              <w:right w:val="nil"/>
                            </w:tcBorders>
                            <w:hideMark/>
                          </w:tcPr>
                          <w:p w14:paraId="2559DCA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548" w:type="pct"/>
                            <w:tcBorders>
                              <w:top w:val="nil"/>
                              <w:left w:val="nil"/>
                              <w:bottom w:val="nil"/>
                              <w:right w:val="nil"/>
                            </w:tcBorders>
                            <w:hideMark/>
                          </w:tcPr>
                          <w:p w14:paraId="03722C1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1.96 </w:t>
                            </w:r>
                          </w:p>
                        </w:tc>
                        <w:tc>
                          <w:tcPr>
                            <w:tcW w:w="614" w:type="pct"/>
                            <w:tcBorders>
                              <w:top w:val="nil"/>
                              <w:left w:val="nil"/>
                              <w:bottom w:val="nil"/>
                              <w:right w:val="nil"/>
                            </w:tcBorders>
                            <w:hideMark/>
                          </w:tcPr>
                          <w:p w14:paraId="4E121DC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1.43 </w:t>
                            </w:r>
                          </w:p>
                        </w:tc>
                        <w:tc>
                          <w:tcPr>
                            <w:tcW w:w="548" w:type="pct"/>
                            <w:tcBorders>
                              <w:top w:val="nil"/>
                              <w:left w:val="nil"/>
                              <w:bottom w:val="nil"/>
                              <w:right w:val="nil"/>
                            </w:tcBorders>
                            <w:hideMark/>
                          </w:tcPr>
                          <w:p w14:paraId="280D81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1.11 </w:t>
                            </w:r>
                          </w:p>
                        </w:tc>
                      </w:tr>
                      <w:tr w:rsidR="003C2F53" w:rsidRPr="00475BB7" w14:paraId="2CD393DF" w14:textId="77777777" w:rsidTr="00475BB7">
                        <w:trPr>
                          <w:trHeight w:val="204"/>
                        </w:trPr>
                        <w:tc>
                          <w:tcPr>
                            <w:tcW w:w="1578" w:type="pct"/>
                            <w:tcBorders>
                              <w:top w:val="nil"/>
                              <w:left w:val="nil"/>
                              <w:bottom w:val="nil"/>
                              <w:right w:val="nil"/>
                            </w:tcBorders>
                            <w:noWrap/>
                            <w:hideMark/>
                          </w:tcPr>
                          <w:p w14:paraId="336C61D0"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Weighted Avg. Diluted Shares Out.</w:t>
                            </w:r>
                          </w:p>
                        </w:tc>
                        <w:tc>
                          <w:tcPr>
                            <w:tcW w:w="548" w:type="pct"/>
                            <w:tcBorders>
                              <w:top w:val="nil"/>
                              <w:left w:val="nil"/>
                              <w:bottom w:val="nil"/>
                              <w:right w:val="nil"/>
                            </w:tcBorders>
                            <w:hideMark/>
                          </w:tcPr>
                          <w:p w14:paraId="5FF132A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4331964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614" w:type="pct"/>
                            <w:tcBorders>
                              <w:top w:val="nil"/>
                              <w:left w:val="nil"/>
                              <w:bottom w:val="nil"/>
                              <w:right w:val="nil"/>
                            </w:tcBorders>
                            <w:hideMark/>
                          </w:tcPr>
                          <w:p w14:paraId="605DDDB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0.8 </w:t>
                            </w:r>
                          </w:p>
                        </w:tc>
                        <w:tc>
                          <w:tcPr>
                            <w:tcW w:w="548" w:type="pct"/>
                            <w:tcBorders>
                              <w:top w:val="nil"/>
                              <w:left w:val="nil"/>
                              <w:bottom w:val="nil"/>
                              <w:right w:val="nil"/>
                            </w:tcBorders>
                            <w:hideMark/>
                          </w:tcPr>
                          <w:p w14:paraId="0C0F350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614" w:type="pct"/>
                            <w:tcBorders>
                              <w:top w:val="nil"/>
                              <w:left w:val="nil"/>
                              <w:bottom w:val="nil"/>
                              <w:right w:val="nil"/>
                            </w:tcBorders>
                            <w:hideMark/>
                          </w:tcPr>
                          <w:p w14:paraId="3E724A4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c>
                          <w:tcPr>
                            <w:tcW w:w="548" w:type="pct"/>
                            <w:tcBorders>
                              <w:top w:val="nil"/>
                              <w:left w:val="nil"/>
                              <w:bottom w:val="nil"/>
                              <w:right w:val="nil"/>
                            </w:tcBorders>
                            <w:hideMark/>
                          </w:tcPr>
                          <w:p w14:paraId="4199300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0.7 </w:t>
                            </w:r>
                          </w:p>
                        </w:tc>
                      </w:tr>
                      <w:tr w:rsidR="003C2F53" w:rsidRPr="00475BB7" w14:paraId="23CBCD2C" w14:textId="77777777" w:rsidTr="00475BB7">
                        <w:trPr>
                          <w:trHeight w:val="204"/>
                        </w:trPr>
                        <w:tc>
                          <w:tcPr>
                            <w:tcW w:w="1578" w:type="pct"/>
                            <w:tcBorders>
                              <w:top w:val="nil"/>
                              <w:left w:val="nil"/>
                              <w:bottom w:val="nil"/>
                              <w:right w:val="nil"/>
                            </w:tcBorders>
                            <w:noWrap/>
                            <w:hideMark/>
                          </w:tcPr>
                          <w:p w14:paraId="4BDC8F0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Normalized Basic EPS</w:t>
                            </w:r>
                          </w:p>
                        </w:tc>
                        <w:tc>
                          <w:tcPr>
                            <w:tcW w:w="548" w:type="pct"/>
                            <w:tcBorders>
                              <w:top w:val="nil"/>
                              <w:left w:val="nil"/>
                              <w:bottom w:val="nil"/>
                              <w:right w:val="nil"/>
                            </w:tcBorders>
                            <w:hideMark/>
                          </w:tcPr>
                          <w:p w14:paraId="6766EDA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$1.26 </w:t>
                            </w:r>
                          </w:p>
                        </w:tc>
                        <w:tc>
                          <w:tcPr>
                            <w:tcW w:w="548" w:type="pct"/>
                            <w:tcBorders>
                              <w:top w:val="nil"/>
                              <w:left w:val="nil"/>
                              <w:bottom w:val="nil"/>
                              <w:right w:val="nil"/>
                            </w:tcBorders>
                            <w:hideMark/>
                          </w:tcPr>
                          <w:p w14:paraId="72B82D2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614" w:type="pct"/>
                            <w:tcBorders>
                              <w:top w:val="nil"/>
                              <w:left w:val="nil"/>
                              <w:bottom w:val="nil"/>
                              <w:right w:val="nil"/>
                            </w:tcBorders>
                            <w:hideMark/>
                          </w:tcPr>
                          <w:p w14:paraId="1EA848C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$1.42 </w:t>
                            </w:r>
                          </w:p>
                        </w:tc>
                        <w:tc>
                          <w:tcPr>
                            <w:tcW w:w="548" w:type="pct"/>
                            <w:tcBorders>
                              <w:top w:val="nil"/>
                              <w:left w:val="nil"/>
                              <w:bottom w:val="nil"/>
                              <w:right w:val="nil"/>
                            </w:tcBorders>
                            <w:hideMark/>
                          </w:tcPr>
                          <w:p w14:paraId="38FD6CB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 </w:t>
                            </w:r>
                          </w:p>
                        </w:tc>
                        <w:tc>
                          <w:tcPr>
                            <w:tcW w:w="614" w:type="pct"/>
                            <w:tcBorders>
                              <w:top w:val="nil"/>
                              <w:left w:val="nil"/>
                              <w:bottom w:val="nil"/>
                              <w:right w:val="nil"/>
                            </w:tcBorders>
                            <w:hideMark/>
                          </w:tcPr>
                          <w:p w14:paraId="6D3F66B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$1.81 </w:t>
                            </w:r>
                          </w:p>
                        </w:tc>
                        <w:tc>
                          <w:tcPr>
                            <w:tcW w:w="548" w:type="pct"/>
                            <w:tcBorders>
                              <w:top w:val="nil"/>
                              <w:left w:val="nil"/>
                              <w:bottom w:val="nil"/>
                              <w:right w:val="nil"/>
                            </w:tcBorders>
                            <w:hideMark/>
                          </w:tcPr>
                          <w:p w14:paraId="34545EF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$1.38 </w:t>
                            </w:r>
                          </w:p>
                        </w:tc>
                      </w:tr>
                      <w:tr w:rsidR="003C2F53" w:rsidRPr="00475BB7" w14:paraId="68AA8D85" w14:textId="77777777" w:rsidTr="00475BB7">
                        <w:trPr>
                          <w:trHeight w:val="204"/>
                        </w:trPr>
                        <w:tc>
                          <w:tcPr>
                            <w:tcW w:w="1578" w:type="pct"/>
                            <w:tcBorders>
                              <w:top w:val="nil"/>
                              <w:left w:val="nil"/>
                              <w:bottom w:val="nil"/>
                              <w:right w:val="nil"/>
                            </w:tcBorders>
                            <w:noWrap/>
                            <w:hideMark/>
                          </w:tcPr>
                          <w:p w14:paraId="5C8AE79A"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Normalized Diluted EPS</w:t>
                            </w:r>
                          </w:p>
                        </w:tc>
                        <w:tc>
                          <w:tcPr>
                            <w:tcW w:w="548" w:type="pct"/>
                            <w:tcBorders>
                              <w:top w:val="nil"/>
                              <w:left w:val="nil"/>
                              <w:bottom w:val="nil"/>
                              <w:right w:val="nil"/>
                            </w:tcBorders>
                            <w:hideMark/>
                          </w:tcPr>
                          <w:p w14:paraId="57E3D7E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1.26 </w:t>
                            </w:r>
                          </w:p>
                        </w:tc>
                        <w:tc>
                          <w:tcPr>
                            <w:tcW w:w="548" w:type="pct"/>
                            <w:tcBorders>
                              <w:top w:val="nil"/>
                              <w:left w:val="nil"/>
                              <w:bottom w:val="nil"/>
                              <w:right w:val="nil"/>
                            </w:tcBorders>
                            <w:hideMark/>
                          </w:tcPr>
                          <w:p w14:paraId="5ADDEA3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1.44 </w:t>
                            </w:r>
                          </w:p>
                        </w:tc>
                        <w:tc>
                          <w:tcPr>
                            <w:tcW w:w="614" w:type="pct"/>
                            <w:tcBorders>
                              <w:top w:val="nil"/>
                              <w:left w:val="nil"/>
                              <w:bottom w:val="nil"/>
                              <w:right w:val="nil"/>
                            </w:tcBorders>
                            <w:hideMark/>
                          </w:tcPr>
                          <w:p w14:paraId="0E70310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1.41 </w:t>
                            </w:r>
                          </w:p>
                        </w:tc>
                        <w:tc>
                          <w:tcPr>
                            <w:tcW w:w="548" w:type="pct"/>
                            <w:tcBorders>
                              <w:top w:val="nil"/>
                              <w:left w:val="nil"/>
                              <w:bottom w:val="nil"/>
                              <w:right w:val="nil"/>
                            </w:tcBorders>
                            <w:hideMark/>
                          </w:tcPr>
                          <w:p w14:paraId="0114BD1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1.39 </w:t>
                            </w:r>
                          </w:p>
                        </w:tc>
                        <w:tc>
                          <w:tcPr>
                            <w:tcW w:w="614" w:type="pct"/>
                            <w:tcBorders>
                              <w:top w:val="nil"/>
                              <w:left w:val="nil"/>
                              <w:bottom w:val="nil"/>
                              <w:right w:val="nil"/>
                            </w:tcBorders>
                            <w:hideMark/>
                          </w:tcPr>
                          <w:p w14:paraId="13A7115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1.8 </w:t>
                            </w:r>
                          </w:p>
                        </w:tc>
                        <w:tc>
                          <w:tcPr>
                            <w:tcW w:w="548" w:type="pct"/>
                            <w:tcBorders>
                              <w:top w:val="nil"/>
                              <w:left w:val="nil"/>
                              <w:bottom w:val="nil"/>
                              <w:right w:val="nil"/>
                            </w:tcBorders>
                            <w:hideMark/>
                          </w:tcPr>
                          <w:p w14:paraId="0B5220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1.37 </w:t>
                            </w:r>
                          </w:p>
                        </w:tc>
                      </w:tr>
                      <w:tr w:rsidR="003C2F53" w:rsidRPr="00475BB7" w14:paraId="2F95CEB6" w14:textId="77777777" w:rsidTr="00475BB7">
                        <w:trPr>
                          <w:trHeight w:val="204"/>
                        </w:trPr>
                        <w:tc>
                          <w:tcPr>
                            <w:tcW w:w="1578" w:type="pct"/>
                            <w:tcBorders>
                              <w:top w:val="nil"/>
                              <w:left w:val="nil"/>
                              <w:bottom w:val="nil"/>
                              <w:right w:val="nil"/>
                            </w:tcBorders>
                            <w:noWrap/>
                            <w:hideMark/>
                          </w:tcPr>
                          <w:p w14:paraId="72041DF6"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Dividends per Share</w:t>
                            </w:r>
                          </w:p>
                        </w:tc>
                        <w:tc>
                          <w:tcPr>
                            <w:tcW w:w="548" w:type="pct"/>
                            <w:tcBorders>
                              <w:top w:val="nil"/>
                              <w:left w:val="nil"/>
                              <w:bottom w:val="nil"/>
                              <w:right w:val="nil"/>
                            </w:tcBorders>
                            <w:hideMark/>
                          </w:tcPr>
                          <w:p w14:paraId="22FE6B7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156C984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614" w:type="pct"/>
                            <w:tcBorders>
                              <w:top w:val="nil"/>
                              <w:left w:val="nil"/>
                              <w:bottom w:val="nil"/>
                              <w:right w:val="nil"/>
                            </w:tcBorders>
                            <w:hideMark/>
                          </w:tcPr>
                          <w:p w14:paraId="021BC26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7DFDA9A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614" w:type="pct"/>
                            <w:tcBorders>
                              <w:top w:val="nil"/>
                              <w:left w:val="nil"/>
                              <w:bottom w:val="nil"/>
                              <w:right w:val="nil"/>
                            </w:tcBorders>
                            <w:hideMark/>
                          </w:tcPr>
                          <w:p w14:paraId="076178E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c>
                          <w:tcPr>
                            <w:tcW w:w="548" w:type="pct"/>
                            <w:tcBorders>
                              <w:top w:val="nil"/>
                              <w:left w:val="nil"/>
                              <w:bottom w:val="nil"/>
                              <w:right w:val="nil"/>
                            </w:tcBorders>
                            <w:hideMark/>
                          </w:tcPr>
                          <w:p w14:paraId="4167362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 -  </w:t>
                            </w:r>
                          </w:p>
                        </w:tc>
                      </w:tr>
                      <w:tr w:rsidR="003C2F53" w:rsidRPr="00475BB7" w14:paraId="52C7B1CF" w14:textId="77777777" w:rsidTr="00475BB7">
                        <w:trPr>
                          <w:trHeight w:val="204"/>
                        </w:trPr>
                        <w:tc>
                          <w:tcPr>
                            <w:tcW w:w="1578" w:type="pct"/>
                            <w:tcBorders>
                              <w:top w:val="nil"/>
                              <w:left w:val="nil"/>
                              <w:bottom w:val="nil"/>
                              <w:right w:val="nil"/>
                            </w:tcBorders>
                            <w:noWrap/>
                            <w:hideMark/>
                          </w:tcPr>
                          <w:p w14:paraId="2127F3B6"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Payout Ratio %</w:t>
                            </w:r>
                          </w:p>
                        </w:tc>
                        <w:tc>
                          <w:tcPr>
                            <w:tcW w:w="548" w:type="pct"/>
                            <w:tcBorders>
                              <w:top w:val="nil"/>
                              <w:left w:val="nil"/>
                              <w:bottom w:val="nil"/>
                              <w:right w:val="nil"/>
                            </w:tcBorders>
                            <w:hideMark/>
                          </w:tcPr>
                          <w:p w14:paraId="14BD4D8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9.4% </w:t>
                            </w:r>
                          </w:p>
                        </w:tc>
                        <w:tc>
                          <w:tcPr>
                            <w:tcW w:w="548" w:type="pct"/>
                            <w:tcBorders>
                              <w:top w:val="nil"/>
                              <w:left w:val="nil"/>
                              <w:bottom w:val="nil"/>
                              <w:right w:val="nil"/>
                            </w:tcBorders>
                            <w:hideMark/>
                          </w:tcPr>
                          <w:p w14:paraId="3D55228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8.9% </w:t>
                            </w:r>
                          </w:p>
                        </w:tc>
                        <w:tc>
                          <w:tcPr>
                            <w:tcW w:w="614" w:type="pct"/>
                            <w:tcBorders>
                              <w:top w:val="nil"/>
                              <w:left w:val="nil"/>
                              <w:bottom w:val="nil"/>
                              <w:right w:val="nil"/>
                            </w:tcBorders>
                            <w:hideMark/>
                          </w:tcPr>
                          <w:p w14:paraId="061A0B4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35.7% </w:t>
                            </w:r>
                          </w:p>
                        </w:tc>
                        <w:tc>
                          <w:tcPr>
                            <w:tcW w:w="548" w:type="pct"/>
                            <w:tcBorders>
                              <w:top w:val="nil"/>
                              <w:left w:val="nil"/>
                              <w:bottom w:val="nil"/>
                              <w:right w:val="nil"/>
                            </w:tcBorders>
                            <w:hideMark/>
                          </w:tcPr>
                          <w:p w14:paraId="303071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28.2% </w:t>
                            </w:r>
                          </w:p>
                        </w:tc>
                        <w:tc>
                          <w:tcPr>
                            <w:tcW w:w="614" w:type="pct"/>
                            <w:tcBorders>
                              <w:top w:val="nil"/>
                              <w:left w:val="nil"/>
                              <w:bottom w:val="nil"/>
                              <w:right w:val="nil"/>
                            </w:tcBorders>
                            <w:hideMark/>
                          </w:tcPr>
                          <w:p w14:paraId="4D84BDA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24.4% </w:t>
                            </w:r>
                          </w:p>
                        </w:tc>
                        <w:tc>
                          <w:tcPr>
                            <w:tcW w:w="548" w:type="pct"/>
                            <w:tcBorders>
                              <w:top w:val="nil"/>
                              <w:left w:val="nil"/>
                              <w:bottom w:val="nil"/>
                              <w:right w:val="nil"/>
                            </w:tcBorders>
                            <w:hideMark/>
                          </w:tcPr>
                          <w:p w14:paraId="786B9889"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83.0% </w:t>
                            </w:r>
                          </w:p>
                        </w:tc>
                      </w:tr>
                      <w:tr w:rsidR="003C2F53" w:rsidRPr="00475BB7" w14:paraId="0C630152" w14:textId="77777777" w:rsidTr="00475BB7">
                        <w:trPr>
                          <w:trHeight w:val="204"/>
                        </w:trPr>
                        <w:tc>
                          <w:tcPr>
                            <w:tcW w:w="1578" w:type="pct"/>
                            <w:tcBorders>
                              <w:top w:val="nil"/>
                              <w:left w:val="nil"/>
                              <w:bottom w:val="nil"/>
                              <w:right w:val="nil"/>
                            </w:tcBorders>
                            <w:noWrap/>
                            <w:hideMark/>
                          </w:tcPr>
                          <w:p w14:paraId="51FD3DB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Shares per Depository Receipt</w:t>
                            </w:r>
                          </w:p>
                        </w:tc>
                        <w:tc>
                          <w:tcPr>
                            <w:tcW w:w="548" w:type="pct"/>
                            <w:tcBorders>
                              <w:top w:val="nil"/>
                              <w:left w:val="nil"/>
                              <w:bottom w:val="nil"/>
                              <w:right w:val="nil"/>
                            </w:tcBorders>
                            <w:hideMark/>
                          </w:tcPr>
                          <w:p w14:paraId="7B35AEC8"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557F20E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091ED7B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7F46B3D0"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614" w:type="pct"/>
                            <w:tcBorders>
                              <w:top w:val="nil"/>
                              <w:left w:val="nil"/>
                              <w:bottom w:val="nil"/>
                              <w:right w:val="nil"/>
                            </w:tcBorders>
                            <w:hideMark/>
                          </w:tcPr>
                          <w:p w14:paraId="566D2A1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c>
                          <w:tcPr>
                            <w:tcW w:w="548" w:type="pct"/>
                            <w:tcBorders>
                              <w:top w:val="nil"/>
                              <w:left w:val="nil"/>
                              <w:bottom w:val="nil"/>
                              <w:right w:val="nil"/>
                            </w:tcBorders>
                            <w:hideMark/>
                          </w:tcPr>
                          <w:p w14:paraId="34F3E9F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0.2 </w:t>
                            </w:r>
                          </w:p>
                        </w:tc>
                      </w:tr>
                      <w:tr w:rsidR="00475BB7" w:rsidRPr="00475BB7" w14:paraId="1794A0FE" w14:textId="77777777" w:rsidTr="00475BB7">
                        <w:trPr>
                          <w:trHeight w:val="204"/>
                        </w:trPr>
                        <w:tc>
                          <w:tcPr>
                            <w:tcW w:w="1578" w:type="pct"/>
                            <w:tcBorders>
                              <w:top w:val="nil"/>
                              <w:left w:val="nil"/>
                              <w:bottom w:val="nil"/>
                              <w:right w:val="nil"/>
                            </w:tcBorders>
                            <w:noWrap/>
                            <w:hideMark/>
                          </w:tcPr>
                          <w:p w14:paraId="4D366BCC"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r w:rsidRPr="00475BB7">
                              <w:rPr>
                                <w:rFonts w:ascii="Cambria" w:eastAsia="Times New Roman" w:hAnsi="Cambria" w:cs="Arial"/>
                                <w:b/>
                                <w:bCs/>
                                <w:color w:val="000000"/>
                                <w:kern w:val="0"/>
                                <w:sz w:val="14"/>
                                <w:szCs w:val="14"/>
                                <w:lang w:eastAsia="en-IN"/>
                                <w14:ligatures w14:val="none"/>
                              </w:rPr>
                              <w:t>Supplemental Items</w:t>
                            </w:r>
                          </w:p>
                        </w:tc>
                        <w:tc>
                          <w:tcPr>
                            <w:tcW w:w="548" w:type="pct"/>
                            <w:tcBorders>
                              <w:top w:val="nil"/>
                              <w:left w:val="nil"/>
                              <w:bottom w:val="nil"/>
                              <w:right w:val="nil"/>
                            </w:tcBorders>
                            <w:noWrap/>
                            <w:hideMark/>
                          </w:tcPr>
                          <w:p w14:paraId="3BD2561D" w14:textId="77777777" w:rsidR="00475BB7" w:rsidRPr="00475BB7" w:rsidRDefault="00475BB7" w:rsidP="00475BB7">
                            <w:pPr>
                              <w:spacing w:after="0" w:line="240" w:lineRule="auto"/>
                              <w:rPr>
                                <w:rFonts w:ascii="Cambria" w:eastAsia="Times New Roman" w:hAnsi="Cambria" w:cs="Arial"/>
                                <w:b/>
                                <w:bCs/>
                                <w:color w:val="000000"/>
                                <w:kern w:val="0"/>
                                <w:sz w:val="14"/>
                                <w:szCs w:val="14"/>
                                <w:lang w:eastAsia="en-IN"/>
                                <w14:ligatures w14:val="none"/>
                              </w:rPr>
                            </w:pPr>
                          </w:p>
                        </w:tc>
                        <w:tc>
                          <w:tcPr>
                            <w:tcW w:w="548" w:type="pct"/>
                            <w:tcBorders>
                              <w:top w:val="nil"/>
                              <w:left w:val="nil"/>
                              <w:bottom w:val="nil"/>
                              <w:right w:val="nil"/>
                            </w:tcBorders>
                            <w:noWrap/>
                            <w:hideMark/>
                          </w:tcPr>
                          <w:p w14:paraId="0F3E6AAF"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688F6E60"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618A388F"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614" w:type="pct"/>
                            <w:tcBorders>
                              <w:top w:val="nil"/>
                              <w:left w:val="nil"/>
                              <w:bottom w:val="nil"/>
                              <w:right w:val="nil"/>
                            </w:tcBorders>
                            <w:noWrap/>
                            <w:hideMark/>
                          </w:tcPr>
                          <w:p w14:paraId="0EA89E11"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c>
                          <w:tcPr>
                            <w:tcW w:w="548" w:type="pct"/>
                            <w:tcBorders>
                              <w:top w:val="nil"/>
                              <w:left w:val="nil"/>
                              <w:bottom w:val="nil"/>
                              <w:right w:val="nil"/>
                            </w:tcBorders>
                            <w:noWrap/>
                            <w:hideMark/>
                          </w:tcPr>
                          <w:p w14:paraId="75C4BD07" w14:textId="77777777" w:rsidR="00475BB7" w:rsidRPr="00475BB7" w:rsidRDefault="00475BB7" w:rsidP="00475BB7">
                            <w:pPr>
                              <w:spacing w:after="0" w:line="240" w:lineRule="auto"/>
                              <w:rPr>
                                <w:rFonts w:ascii="Times New Roman" w:eastAsia="Times New Roman" w:hAnsi="Times New Roman" w:cs="Times New Roman"/>
                                <w:kern w:val="0"/>
                                <w:sz w:val="14"/>
                                <w:szCs w:val="14"/>
                                <w:lang w:eastAsia="en-IN"/>
                                <w14:ligatures w14:val="none"/>
                              </w:rPr>
                            </w:pPr>
                          </w:p>
                        </w:tc>
                      </w:tr>
                      <w:tr w:rsidR="003C2F53" w:rsidRPr="00475BB7" w14:paraId="45EBED65" w14:textId="77777777" w:rsidTr="00475BB7">
                        <w:trPr>
                          <w:trHeight w:val="204"/>
                        </w:trPr>
                        <w:tc>
                          <w:tcPr>
                            <w:tcW w:w="1578" w:type="pct"/>
                            <w:tcBorders>
                              <w:top w:val="nil"/>
                              <w:left w:val="nil"/>
                              <w:bottom w:val="nil"/>
                              <w:right w:val="nil"/>
                            </w:tcBorders>
                            <w:noWrap/>
                            <w:hideMark/>
                          </w:tcPr>
                          <w:p w14:paraId="3BF0F60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EBITDA</w:t>
                            </w:r>
                          </w:p>
                        </w:tc>
                        <w:tc>
                          <w:tcPr>
                            <w:tcW w:w="548" w:type="pct"/>
                            <w:tcBorders>
                              <w:top w:val="nil"/>
                              <w:left w:val="nil"/>
                              <w:bottom w:val="nil"/>
                              <w:right w:val="nil"/>
                            </w:tcBorders>
                            <w:hideMark/>
                          </w:tcPr>
                          <w:p w14:paraId="261B6ED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05790BF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4.3 </w:t>
                            </w:r>
                          </w:p>
                        </w:tc>
                        <w:tc>
                          <w:tcPr>
                            <w:tcW w:w="614" w:type="pct"/>
                            <w:tcBorders>
                              <w:top w:val="nil"/>
                              <w:left w:val="nil"/>
                              <w:bottom w:val="nil"/>
                              <w:right w:val="nil"/>
                            </w:tcBorders>
                            <w:hideMark/>
                          </w:tcPr>
                          <w:p w14:paraId="0FCC1FD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3.8 </w:t>
                            </w:r>
                          </w:p>
                        </w:tc>
                        <w:tc>
                          <w:tcPr>
                            <w:tcW w:w="548" w:type="pct"/>
                            <w:tcBorders>
                              <w:top w:val="nil"/>
                              <w:left w:val="nil"/>
                              <w:bottom w:val="nil"/>
                              <w:right w:val="nil"/>
                            </w:tcBorders>
                            <w:hideMark/>
                          </w:tcPr>
                          <w:p w14:paraId="24EDC47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614" w:type="pct"/>
                            <w:tcBorders>
                              <w:top w:val="nil"/>
                              <w:left w:val="nil"/>
                              <w:bottom w:val="nil"/>
                              <w:right w:val="nil"/>
                            </w:tcBorders>
                            <w:hideMark/>
                          </w:tcPr>
                          <w:p w14:paraId="509792ED"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548" w:type="pct"/>
                            <w:tcBorders>
                              <w:top w:val="nil"/>
                              <w:left w:val="nil"/>
                              <w:bottom w:val="nil"/>
                              <w:right w:val="nil"/>
                            </w:tcBorders>
                            <w:hideMark/>
                          </w:tcPr>
                          <w:p w14:paraId="61EC6BA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3.7 </w:t>
                            </w:r>
                          </w:p>
                        </w:tc>
                      </w:tr>
                      <w:tr w:rsidR="003C2F53" w:rsidRPr="00475BB7" w14:paraId="3469C3DC" w14:textId="77777777" w:rsidTr="00475BB7">
                        <w:trPr>
                          <w:trHeight w:val="204"/>
                        </w:trPr>
                        <w:tc>
                          <w:tcPr>
                            <w:tcW w:w="1578" w:type="pct"/>
                            <w:tcBorders>
                              <w:top w:val="nil"/>
                              <w:left w:val="nil"/>
                              <w:bottom w:val="nil"/>
                              <w:right w:val="nil"/>
                            </w:tcBorders>
                            <w:noWrap/>
                            <w:hideMark/>
                          </w:tcPr>
                          <w:p w14:paraId="06FF06D9"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EBITA</w:t>
                            </w:r>
                          </w:p>
                        </w:tc>
                        <w:tc>
                          <w:tcPr>
                            <w:tcW w:w="548" w:type="pct"/>
                            <w:tcBorders>
                              <w:top w:val="nil"/>
                              <w:left w:val="nil"/>
                              <w:bottom w:val="nil"/>
                              <w:right w:val="nil"/>
                            </w:tcBorders>
                            <w:hideMark/>
                          </w:tcPr>
                          <w:p w14:paraId="00B66D6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c>
                          <w:tcPr>
                            <w:tcW w:w="548" w:type="pct"/>
                            <w:tcBorders>
                              <w:top w:val="nil"/>
                              <w:left w:val="nil"/>
                              <w:bottom w:val="nil"/>
                              <w:right w:val="nil"/>
                            </w:tcBorders>
                            <w:hideMark/>
                          </w:tcPr>
                          <w:p w14:paraId="7190CA1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3.0 </w:t>
                            </w:r>
                          </w:p>
                        </w:tc>
                        <w:tc>
                          <w:tcPr>
                            <w:tcW w:w="614" w:type="pct"/>
                            <w:tcBorders>
                              <w:top w:val="nil"/>
                              <w:left w:val="nil"/>
                              <w:bottom w:val="nil"/>
                              <w:right w:val="nil"/>
                            </w:tcBorders>
                            <w:hideMark/>
                          </w:tcPr>
                          <w:p w14:paraId="5AA57F84"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548" w:type="pct"/>
                            <w:tcBorders>
                              <w:top w:val="nil"/>
                              <w:left w:val="nil"/>
                              <w:bottom w:val="nil"/>
                              <w:right w:val="nil"/>
                            </w:tcBorders>
                            <w:hideMark/>
                          </w:tcPr>
                          <w:p w14:paraId="1A19C1F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614" w:type="pct"/>
                            <w:tcBorders>
                              <w:top w:val="nil"/>
                              <w:left w:val="nil"/>
                              <w:bottom w:val="nil"/>
                              <w:right w:val="nil"/>
                            </w:tcBorders>
                            <w:hideMark/>
                          </w:tcPr>
                          <w:p w14:paraId="6932365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2.8 </w:t>
                            </w:r>
                          </w:p>
                        </w:tc>
                        <w:tc>
                          <w:tcPr>
                            <w:tcW w:w="548" w:type="pct"/>
                            <w:tcBorders>
                              <w:top w:val="nil"/>
                              <w:left w:val="nil"/>
                              <w:bottom w:val="nil"/>
                              <w:right w:val="nil"/>
                            </w:tcBorders>
                            <w:hideMark/>
                          </w:tcPr>
                          <w:p w14:paraId="465B376A"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r>
                      <w:tr w:rsidR="003C2F53" w:rsidRPr="00475BB7" w14:paraId="7963E286" w14:textId="77777777" w:rsidTr="00475BB7">
                        <w:trPr>
                          <w:trHeight w:val="204"/>
                        </w:trPr>
                        <w:tc>
                          <w:tcPr>
                            <w:tcW w:w="1578" w:type="pct"/>
                            <w:tcBorders>
                              <w:top w:val="nil"/>
                              <w:left w:val="nil"/>
                              <w:bottom w:val="nil"/>
                              <w:right w:val="nil"/>
                            </w:tcBorders>
                            <w:noWrap/>
                            <w:hideMark/>
                          </w:tcPr>
                          <w:p w14:paraId="588BAD68"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w:t>
                            </w:r>
                          </w:p>
                        </w:tc>
                        <w:tc>
                          <w:tcPr>
                            <w:tcW w:w="548" w:type="pct"/>
                            <w:tcBorders>
                              <w:top w:val="nil"/>
                              <w:left w:val="nil"/>
                              <w:bottom w:val="nil"/>
                              <w:right w:val="nil"/>
                            </w:tcBorders>
                            <w:hideMark/>
                          </w:tcPr>
                          <w:p w14:paraId="01884A7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c>
                          <w:tcPr>
                            <w:tcW w:w="548" w:type="pct"/>
                            <w:tcBorders>
                              <w:top w:val="nil"/>
                              <w:left w:val="nil"/>
                              <w:bottom w:val="nil"/>
                              <w:right w:val="nil"/>
                            </w:tcBorders>
                            <w:hideMark/>
                          </w:tcPr>
                          <w:p w14:paraId="649EAA3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2.6 </w:t>
                            </w:r>
                          </w:p>
                        </w:tc>
                        <w:tc>
                          <w:tcPr>
                            <w:tcW w:w="614" w:type="pct"/>
                            <w:tcBorders>
                              <w:top w:val="nil"/>
                              <w:left w:val="nil"/>
                              <w:bottom w:val="nil"/>
                              <w:right w:val="nil"/>
                            </w:tcBorders>
                            <w:hideMark/>
                          </w:tcPr>
                          <w:p w14:paraId="35F44BFB"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7813BF3C"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614" w:type="pct"/>
                            <w:tcBorders>
                              <w:top w:val="nil"/>
                              <w:left w:val="nil"/>
                              <w:bottom w:val="nil"/>
                              <w:right w:val="nil"/>
                            </w:tcBorders>
                            <w:hideMark/>
                          </w:tcPr>
                          <w:p w14:paraId="289C65F2"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2.5 </w:t>
                            </w:r>
                          </w:p>
                        </w:tc>
                        <w:tc>
                          <w:tcPr>
                            <w:tcW w:w="548" w:type="pct"/>
                            <w:tcBorders>
                              <w:top w:val="nil"/>
                              <w:left w:val="nil"/>
                              <w:bottom w:val="nil"/>
                              <w:right w:val="nil"/>
                            </w:tcBorders>
                            <w:hideMark/>
                          </w:tcPr>
                          <w:p w14:paraId="12FFC637"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2.3 </w:t>
                            </w:r>
                          </w:p>
                        </w:tc>
                      </w:tr>
                      <w:tr w:rsidR="003C2F53" w:rsidRPr="00475BB7" w14:paraId="4A53E313" w14:textId="77777777" w:rsidTr="00475BB7">
                        <w:trPr>
                          <w:trHeight w:val="204"/>
                        </w:trPr>
                        <w:tc>
                          <w:tcPr>
                            <w:tcW w:w="1578" w:type="pct"/>
                            <w:tcBorders>
                              <w:top w:val="nil"/>
                              <w:left w:val="nil"/>
                              <w:bottom w:val="nil"/>
                              <w:right w:val="nil"/>
                            </w:tcBorders>
                            <w:noWrap/>
                            <w:hideMark/>
                          </w:tcPr>
                          <w:p w14:paraId="07F637E1" w14:textId="77777777" w:rsidR="00475BB7" w:rsidRPr="00475BB7" w:rsidRDefault="00475BB7" w:rsidP="00475BB7">
                            <w:pPr>
                              <w:spacing w:after="0" w:line="240" w:lineRule="auto"/>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EBITDAR</w:t>
                            </w:r>
                          </w:p>
                        </w:tc>
                        <w:tc>
                          <w:tcPr>
                            <w:tcW w:w="548" w:type="pct"/>
                            <w:tcBorders>
                              <w:top w:val="nil"/>
                              <w:left w:val="nil"/>
                              <w:bottom w:val="nil"/>
                              <w:right w:val="nil"/>
                            </w:tcBorders>
                            <w:hideMark/>
                          </w:tcPr>
                          <w:p w14:paraId="0BCA5655"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6C5EB911"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4.3 </w:t>
                            </w:r>
                          </w:p>
                        </w:tc>
                        <w:tc>
                          <w:tcPr>
                            <w:tcW w:w="614" w:type="pct"/>
                            <w:tcBorders>
                              <w:top w:val="nil"/>
                              <w:left w:val="nil"/>
                              <w:bottom w:val="nil"/>
                              <w:right w:val="nil"/>
                            </w:tcBorders>
                            <w:hideMark/>
                          </w:tcPr>
                          <w:p w14:paraId="08EEB83E"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3.9 </w:t>
                            </w:r>
                          </w:p>
                        </w:tc>
                        <w:tc>
                          <w:tcPr>
                            <w:tcW w:w="548" w:type="pct"/>
                            <w:tcBorders>
                              <w:top w:val="nil"/>
                              <w:left w:val="nil"/>
                              <w:bottom w:val="nil"/>
                              <w:right w:val="nil"/>
                            </w:tcBorders>
                            <w:hideMark/>
                          </w:tcPr>
                          <w:p w14:paraId="491EC7C3"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4.0 </w:t>
                            </w:r>
                          </w:p>
                        </w:tc>
                        <w:tc>
                          <w:tcPr>
                            <w:tcW w:w="614" w:type="pct"/>
                            <w:tcBorders>
                              <w:top w:val="nil"/>
                              <w:left w:val="nil"/>
                              <w:bottom w:val="nil"/>
                              <w:right w:val="nil"/>
                            </w:tcBorders>
                            <w:hideMark/>
                          </w:tcPr>
                          <w:p w14:paraId="3CE2683F"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4.1 </w:t>
                            </w:r>
                          </w:p>
                        </w:tc>
                        <w:tc>
                          <w:tcPr>
                            <w:tcW w:w="548" w:type="pct"/>
                            <w:tcBorders>
                              <w:top w:val="nil"/>
                              <w:left w:val="nil"/>
                              <w:bottom w:val="nil"/>
                              <w:right w:val="nil"/>
                            </w:tcBorders>
                            <w:hideMark/>
                          </w:tcPr>
                          <w:p w14:paraId="54C5FBA6" w14:textId="77777777" w:rsidR="00475BB7" w:rsidRPr="00475BB7" w:rsidRDefault="00475BB7" w:rsidP="00475BB7">
                            <w:pPr>
                              <w:spacing w:after="0" w:line="240" w:lineRule="auto"/>
                              <w:jc w:val="right"/>
                              <w:rPr>
                                <w:rFonts w:ascii="Cambria" w:eastAsia="Times New Roman" w:hAnsi="Cambria" w:cs="Arial"/>
                                <w:color w:val="000000"/>
                                <w:kern w:val="0"/>
                                <w:sz w:val="14"/>
                                <w:szCs w:val="14"/>
                                <w:lang w:eastAsia="en-IN"/>
                                <w14:ligatures w14:val="none"/>
                              </w:rPr>
                            </w:pPr>
                            <w:r w:rsidRPr="00475BB7">
                              <w:rPr>
                                <w:rFonts w:ascii="Cambria" w:eastAsia="Times New Roman" w:hAnsi="Cambria" w:cs="Arial"/>
                                <w:color w:val="000000"/>
                                <w:kern w:val="0"/>
                                <w:sz w:val="14"/>
                                <w:szCs w:val="14"/>
                                <w:lang w:eastAsia="en-IN"/>
                                <w14:ligatures w14:val="none"/>
                              </w:rPr>
                              <w:t xml:space="preserve">                  3.8 </w:t>
                            </w:r>
                          </w:p>
                        </w:tc>
                      </w:tr>
                    </w:tbl>
                    <w:p w14:paraId="14A17D83" w14:textId="5491D531" w:rsidR="00473366" w:rsidRDefault="00473366"/>
                  </w:txbxContent>
                </v:textbox>
                <w10:wrap type="square" anchorx="margin"/>
              </v:shape>
            </w:pict>
          </mc:Fallback>
        </mc:AlternateContent>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466D79" w:rsidRPr="00456405">
        <w:rPr>
          <w:rFonts w:ascii="Cambria" w:hAnsi="Cambria"/>
          <w:b/>
          <w:bCs/>
          <w:sz w:val="24"/>
          <w:szCs w:val="24"/>
        </w:rPr>
        <w:br/>
      </w:r>
      <w:r w:rsidR="00781EC6" w:rsidRPr="00456405">
        <w:rPr>
          <w:rFonts w:ascii="Cambria" w:hAnsi="Cambria"/>
          <w:b/>
          <w:bCs/>
          <w:noProof/>
          <w:sz w:val="24"/>
          <w:szCs w:val="24"/>
        </w:rPr>
        <w:lastRenderedPageBreak/>
        <mc:AlternateContent>
          <mc:Choice Requires="wps">
            <w:drawing>
              <wp:anchor distT="45720" distB="45720" distL="114300" distR="114300" simplePos="0" relativeHeight="251732992" behindDoc="0" locked="0" layoutInCell="1" allowOverlap="1" wp14:anchorId="72F7C7F7" wp14:editId="0AFF74B6">
                <wp:simplePos x="0" y="0"/>
                <wp:positionH relativeFrom="margin">
                  <wp:align>right</wp:align>
                </wp:positionH>
                <wp:positionV relativeFrom="paragraph">
                  <wp:posOffset>0</wp:posOffset>
                </wp:positionV>
                <wp:extent cx="6172200" cy="1404620"/>
                <wp:effectExtent l="0" t="0" r="0" b="0"/>
                <wp:wrapSquare wrapText="bothSides"/>
                <wp:docPr id="1625888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3027"/>
                              <w:gridCol w:w="1068"/>
                              <w:gridCol w:w="1068"/>
                              <w:gridCol w:w="1068"/>
                              <w:gridCol w:w="1068"/>
                              <w:gridCol w:w="1068"/>
                              <w:gridCol w:w="1066"/>
                            </w:tblGrid>
                            <w:tr w:rsidR="00781EC6" w:rsidRPr="00781EC6" w14:paraId="0E7399DC" w14:textId="77777777" w:rsidTr="00781EC6">
                              <w:trPr>
                                <w:trHeight w:val="324"/>
                              </w:trPr>
                              <w:tc>
                                <w:tcPr>
                                  <w:tcW w:w="5000" w:type="pct"/>
                                  <w:gridSpan w:val="7"/>
                                  <w:tcBorders>
                                    <w:top w:val="nil"/>
                                    <w:left w:val="nil"/>
                                    <w:bottom w:val="nil"/>
                                    <w:right w:val="nil"/>
                                  </w:tcBorders>
                                  <w:noWrap/>
                                  <w:vAlign w:val="bottom"/>
                                  <w:hideMark/>
                                </w:tcPr>
                                <w:p w14:paraId="5A3716D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Carrefour SA (ENXTPA:CA) &gt; Financials &gt; Balance Sheet</w:t>
                                  </w:r>
                                </w:p>
                              </w:tc>
                            </w:tr>
                            <w:tr w:rsidR="00781EC6" w:rsidRPr="00781EC6" w14:paraId="414B0456" w14:textId="77777777" w:rsidTr="00781EC6">
                              <w:trPr>
                                <w:trHeight w:val="204"/>
                              </w:trPr>
                              <w:tc>
                                <w:tcPr>
                                  <w:tcW w:w="1605" w:type="pct"/>
                                  <w:tcBorders>
                                    <w:top w:val="nil"/>
                                    <w:left w:val="nil"/>
                                    <w:bottom w:val="nil"/>
                                    <w:right w:val="nil"/>
                                  </w:tcBorders>
                                  <w:shd w:val="clear" w:color="000000" w:fill="003366"/>
                                  <w:noWrap/>
                                  <w:vAlign w:val="bottom"/>
                                  <w:hideMark/>
                                </w:tcPr>
                                <w:p w14:paraId="03E25468"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Balance Sheet</w:t>
                                  </w:r>
                                </w:p>
                              </w:tc>
                              <w:tc>
                                <w:tcPr>
                                  <w:tcW w:w="566" w:type="pct"/>
                                  <w:tcBorders>
                                    <w:top w:val="nil"/>
                                    <w:left w:val="nil"/>
                                    <w:bottom w:val="nil"/>
                                    <w:right w:val="nil"/>
                                  </w:tcBorders>
                                  <w:shd w:val="clear" w:color="000000" w:fill="003366"/>
                                  <w:noWrap/>
                                  <w:vAlign w:val="bottom"/>
                                  <w:hideMark/>
                                </w:tcPr>
                                <w:p w14:paraId="1CCCD833"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798EDBC3"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7891D3BA"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0D748B92"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4B1B2366"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6B29E535"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r>
                            <w:tr w:rsidR="00781EC6" w:rsidRPr="00781EC6" w14:paraId="18D85A5A" w14:textId="77777777" w:rsidTr="00781EC6">
                              <w:trPr>
                                <w:trHeight w:val="408"/>
                              </w:trPr>
                              <w:tc>
                                <w:tcPr>
                                  <w:tcW w:w="1605" w:type="pct"/>
                                  <w:tcBorders>
                                    <w:top w:val="nil"/>
                                    <w:left w:val="nil"/>
                                    <w:bottom w:val="nil"/>
                                    <w:right w:val="nil"/>
                                  </w:tcBorders>
                                  <w:shd w:val="clear" w:color="000000" w:fill="F0F0DC"/>
                                  <w:vAlign w:val="bottom"/>
                                  <w:hideMark/>
                                </w:tcPr>
                                <w:p w14:paraId="75F2283D"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Balance Sheet as of:</w:t>
                                  </w:r>
                                </w:p>
                              </w:tc>
                              <w:tc>
                                <w:tcPr>
                                  <w:tcW w:w="566" w:type="pct"/>
                                  <w:tcBorders>
                                    <w:top w:val="nil"/>
                                    <w:left w:val="nil"/>
                                    <w:bottom w:val="nil"/>
                                    <w:right w:val="nil"/>
                                  </w:tcBorders>
                                  <w:shd w:val="clear" w:color="000000" w:fill="F0F0DC"/>
                                  <w:vAlign w:val="bottom"/>
                                  <w:hideMark/>
                                </w:tcPr>
                                <w:p w14:paraId="65FE938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Restated</w:t>
                                  </w:r>
                                  <w:r w:rsidRPr="00781EC6">
                                    <w:rPr>
                                      <w:rFonts w:ascii="Cambria" w:eastAsia="Times New Roman" w:hAnsi="Cambria" w:cs="Arial"/>
                                      <w:b/>
                                      <w:bCs/>
                                      <w:color w:val="000000"/>
                                      <w:kern w:val="0"/>
                                      <w:sz w:val="14"/>
                                      <w:szCs w:val="14"/>
                                      <w:lang w:eastAsia="en-IN"/>
                                      <w14:ligatures w14:val="none"/>
                                    </w:rPr>
                                    <w:br/>
                                    <w:t>Dec-31-2019</w:t>
                                  </w:r>
                                </w:p>
                              </w:tc>
                              <w:tc>
                                <w:tcPr>
                                  <w:tcW w:w="566" w:type="pct"/>
                                  <w:tcBorders>
                                    <w:top w:val="nil"/>
                                    <w:left w:val="nil"/>
                                    <w:bottom w:val="nil"/>
                                    <w:right w:val="nil"/>
                                  </w:tcBorders>
                                  <w:shd w:val="clear" w:color="000000" w:fill="F0F0DC"/>
                                  <w:vAlign w:val="bottom"/>
                                  <w:hideMark/>
                                </w:tcPr>
                                <w:p w14:paraId="726FC84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Dec-31-2020</w:t>
                                  </w:r>
                                </w:p>
                              </w:tc>
                              <w:tc>
                                <w:tcPr>
                                  <w:tcW w:w="566" w:type="pct"/>
                                  <w:tcBorders>
                                    <w:top w:val="nil"/>
                                    <w:left w:val="nil"/>
                                    <w:bottom w:val="nil"/>
                                    <w:right w:val="nil"/>
                                  </w:tcBorders>
                                  <w:shd w:val="clear" w:color="000000" w:fill="F0F0DC"/>
                                  <w:vAlign w:val="bottom"/>
                                  <w:hideMark/>
                                </w:tcPr>
                                <w:p w14:paraId="4562A11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Dec-31-2021</w:t>
                                  </w:r>
                                </w:p>
                              </w:tc>
                              <w:tc>
                                <w:tcPr>
                                  <w:tcW w:w="566" w:type="pct"/>
                                  <w:tcBorders>
                                    <w:top w:val="nil"/>
                                    <w:left w:val="nil"/>
                                    <w:bottom w:val="nil"/>
                                    <w:right w:val="nil"/>
                                  </w:tcBorders>
                                  <w:shd w:val="clear" w:color="000000" w:fill="F0F0DC"/>
                                  <w:vAlign w:val="bottom"/>
                                  <w:hideMark/>
                                </w:tcPr>
                                <w:p w14:paraId="73CA8E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Restated</w:t>
                                  </w:r>
                                  <w:r w:rsidRPr="00781EC6">
                                    <w:rPr>
                                      <w:rFonts w:ascii="Cambria" w:eastAsia="Times New Roman" w:hAnsi="Cambria" w:cs="Arial"/>
                                      <w:b/>
                                      <w:bCs/>
                                      <w:color w:val="000000"/>
                                      <w:kern w:val="0"/>
                                      <w:sz w:val="14"/>
                                      <w:szCs w:val="14"/>
                                      <w:lang w:eastAsia="en-IN"/>
                                      <w14:ligatures w14:val="none"/>
                                    </w:rPr>
                                    <w:br/>
                                    <w:t>Dec-31-2022</w:t>
                                  </w:r>
                                </w:p>
                              </w:tc>
                              <w:tc>
                                <w:tcPr>
                                  <w:tcW w:w="566" w:type="pct"/>
                                  <w:tcBorders>
                                    <w:top w:val="nil"/>
                                    <w:left w:val="nil"/>
                                    <w:bottom w:val="nil"/>
                                    <w:right w:val="nil"/>
                                  </w:tcBorders>
                                  <w:shd w:val="clear" w:color="000000" w:fill="F0F0DC"/>
                                  <w:vAlign w:val="bottom"/>
                                  <w:hideMark/>
                                </w:tcPr>
                                <w:p w14:paraId="3CC7BA3A"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Dec-31-2023</w:t>
                                  </w:r>
                                </w:p>
                              </w:tc>
                              <w:tc>
                                <w:tcPr>
                                  <w:tcW w:w="566" w:type="pct"/>
                                  <w:tcBorders>
                                    <w:top w:val="nil"/>
                                    <w:left w:val="nil"/>
                                    <w:bottom w:val="nil"/>
                                    <w:right w:val="nil"/>
                                  </w:tcBorders>
                                  <w:shd w:val="clear" w:color="000000" w:fill="F0F0DC"/>
                                  <w:vAlign w:val="bottom"/>
                                  <w:hideMark/>
                                </w:tcPr>
                                <w:p w14:paraId="5540250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Dec-31-2024</w:t>
                                  </w:r>
                                </w:p>
                              </w:tc>
                            </w:tr>
                            <w:tr w:rsidR="00781EC6" w:rsidRPr="00781EC6" w14:paraId="4E140DCA" w14:textId="77777777" w:rsidTr="00781EC6">
                              <w:trPr>
                                <w:trHeight w:val="204"/>
                              </w:trPr>
                              <w:tc>
                                <w:tcPr>
                                  <w:tcW w:w="1605" w:type="pct"/>
                                  <w:tcBorders>
                                    <w:top w:val="nil"/>
                                    <w:left w:val="nil"/>
                                    <w:bottom w:val="nil"/>
                                    <w:right w:val="nil"/>
                                  </w:tcBorders>
                                  <w:shd w:val="clear" w:color="000000" w:fill="F0F0DC"/>
                                  <w:vAlign w:val="bottom"/>
                                  <w:hideMark/>
                                </w:tcPr>
                                <w:p w14:paraId="3F0EF102" w14:textId="77777777" w:rsidR="00781EC6" w:rsidRPr="00781EC6" w:rsidRDefault="00781EC6" w:rsidP="00781EC6">
                                  <w:pPr>
                                    <w:spacing w:after="0" w:line="240" w:lineRule="auto"/>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Currency</w:t>
                                  </w:r>
                                </w:p>
                              </w:tc>
                              <w:tc>
                                <w:tcPr>
                                  <w:tcW w:w="566" w:type="pct"/>
                                  <w:tcBorders>
                                    <w:top w:val="nil"/>
                                    <w:left w:val="nil"/>
                                    <w:bottom w:val="nil"/>
                                    <w:right w:val="nil"/>
                                  </w:tcBorders>
                                  <w:shd w:val="clear" w:color="000000" w:fill="F0F0DC"/>
                                  <w:vAlign w:val="bottom"/>
                                  <w:hideMark/>
                                </w:tcPr>
                                <w:p w14:paraId="3B40AA0D"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AC883C6"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9740E9C"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4613BAF"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113B6738"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2EF37D20"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r>
                            <w:tr w:rsidR="00781EC6" w:rsidRPr="00781EC6" w14:paraId="09F73116" w14:textId="77777777" w:rsidTr="00781EC6">
                              <w:trPr>
                                <w:trHeight w:val="204"/>
                              </w:trPr>
                              <w:tc>
                                <w:tcPr>
                                  <w:tcW w:w="1605" w:type="pct"/>
                                  <w:tcBorders>
                                    <w:top w:val="nil"/>
                                    <w:left w:val="nil"/>
                                    <w:bottom w:val="nil"/>
                                    <w:right w:val="nil"/>
                                  </w:tcBorders>
                                  <w:noWrap/>
                                  <w:hideMark/>
                                </w:tcPr>
                                <w:p w14:paraId="7261DE10"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ASSETS</w:t>
                                  </w:r>
                                </w:p>
                              </w:tc>
                              <w:tc>
                                <w:tcPr>
                                  <w:tcW w:w="566" w:type="pct"/>
                                  <w:tcBorders>
                                    <w:top w:val="nil"/>
                                    <w:left w:val="nil"/>
                                    <w:bottom w:val="nil"/>
                                    <w:right w:val="nil"/>
                                  </w:tcBorders>
                                  <w:noWrap/>
                                  <w:hideMark/>
                                </w:tcPr>
                                <w:p w14:paraId="2F910A4B"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p>
                              </w:tc>
                              <w:tc>
                                <w:tcPr>
                                  <w:tcW w:w="566" w:type="pct"/>
                                  <w:tcBorders>
                                    <w:top w:val="nil"/>
                                    <w:left w:val="nil"/>
                                    <w:bottom w:val="nil"/>
                                    <w:right w:val="nil"/>
                                  </w:tcBorders>
                                  <w:noWrap/>
                                  <w:hideMark/>
                                </w:tcPr>
                                <w:p w14:paraId="6A44AA19"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673E6C87"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60D66303"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BA1607B"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8FF01DD"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r>
                            <w:tr w:rsidR="00781EC6" w:rsidRPr="00781EC6" w14:paraId="13FE88CC" w14:textId="77777777" w:rsidTr="00781EC6">
                              <w:trPr>
                                <w:trHeight w:val="204"/>
                              </w:trPr>
                              <w:tc>
                                <w:tcPr>
                                  <w:tcW w:w="1605" w:type="pct"/>
                                  <w:tcBorders>
                                    <w:top w:val="nil"/>
                                    <w:left w:val="nil"/>
                                    <w:bottom w:val="nil"/>
                                    <w:right w:val="nil"/>
                                  </w:tcBorders>
                                  <w:noWrap/>
                                  <w:hideMark/>
                                </w:tcPr>
                                <w:p w14:paraId="6B22DC8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Cash And Equivalents</w:t>
                                  </w:r>
                                </w:p>
                              </w:tc>
                              <w:tc>
                                <w:tcPr>
                                  <w:tcW w:w="566" w:type="pct"/>
                                  <w:tcBorders>
                                    <w:top w:val="nil"/>
                                    <w:left w:val="nil"/>
                                    <w:bottom w:val="nil"/>
                                    <w:right w:val="nil"/>
                                  </w:tcBorders>
                                  <w:hideMark/>
                                </w:tcPr>
                                <w:p w14:paraId="33720D9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5.0 </w:t>
                                  </w:r>
                                </w:p>
                              </w:tc>
                              <w:tc>
                                <w:tcPr>
                                  <w:tcW w:w="566" w:type="pct"/>
                                  <w:tcBorders>
                                    <w:top w:val="nil"/>
                                    <w:left w:val="nil"/>
                                    <w:bottom w:val="nil"/>
                                    <w:right w:val="nil"/>
                                  </w:tcBorders>
                                  <w:hideMark/>
                                </w:tcPr>
                                <w:p w14:paraId="398033B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5.4 </w:t>
                                  </w:r>
                                </w:p>
                              </w:tc>
                              <w:tc>
                                <w:tcPr>
                                  <w:tcW w:w="566" w:type="pct"/>
                                  <w:tcBorders>
                                    <w:top w:val="nil"/>
                                    <w:left w:val="nil"/>
                                    <w:bottom w:val="nil"/>
                                    <w:right w:val="nil"/>
                                  </w:tcBorders>
                                  <w:hideMark/>
                                </w:tcPr>
                                <w:p w14:paraId="064C05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 </w:t>
                                  </w:r>
                                </w:p>
                              </w:tc>
                              <w:tc>
                                <w:tcPr>
                                  <w:tcW w:w="566" w:type="pct"/>
                                  <w:tcBorders>
                                    <w:top w:val="nil"/>
                                    <w:left w:val="nil"/>
                                    <w:bottom w:val="nil"/>
                                    <w:right w:val="nil"/>
                                  </w:tcBorders>
                                  <w:hideMark/>
                                </w:tcPr>
                                <w:p w14:paraId="2D758DA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5.6 </w:t>
                                  </w:r>
                                </w:p>
                              </w:tc>
                              <w:tc>
                                <w:tcPr>
                                  <w:tcW w:w="566" w:type="pct"/>
                                  <w:tcBorders>
                                    <w:top w:val="nil"/>
                                    <w:left w:val="nil"/>
                                    <w:bottom w:val="nil"/>
                                    <w:right w:val="nil"/>
                                  </w:tcBorders>
                                  <w:hideMark/>
                                </w:tcPr>
                                <w:p w14:paraId="11C74E1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7.0 </w:t>
                                  </w:r>
                                </w:p>
                              </w:tc>
                              <w:tc>
                                <w:tcPr>
                                  <w:tcW w:w="566" w:type="pct"/>
                                  <w:tcBorders>
                                    <w:top w:val="nil"/>
                                    <w:left w:val="nil"/>
                                    <w:bottom w:val="nil"/>
                                    <w:right w:val="nil"/>
                                  </w:tcBorders>
                                  <w:hideMark/>
                                </w:tcPr>
                                <w:p w14:paraId="260B210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6.8 </w:t>
                                  </w:r>
                                </w:p>
                              </w:tc>
                            </w:tr>
                            <w:tr w:rsidR="00781EC6" w:rsidRPr="00781EC6" w14:paraId="75E546FF" w14:textId="77777777" w:rsidTr="00781EC6">
                              <w:trPr>
                                <w:trHeight w:val="204"/>
                              </w:trPr>
                              <w:tc>
                                <w:tcPr>
                                  <w:tcW w:w="1605" w:type="pct"/>
                                  <w:tcBorders>
                                    <w:top w:val="nil"/>
                                    <w:left w:val="nil"/>
                                    <w:bottom w:val="nil"/>
                                    <w:right w:val="nil"/>
                                  </w:tcBorders>
                                  <w:noWrap/>
                                  <w:hideMark/>
                                </w:tcPr>
                                <w:p w14:paraId="26D2B4A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Short Term Investments</w:t>
                                  </w:r>
                                </w:p>
                              </w:tc>
                              <w:tc>
                                <w:tcPr>
                                  <w:tcW w:w="566" w:type="pct"/>
                                  <w:tcBorders>
                                    <w:top w:val="nil"/>
                                    <w:left w:val="nil"/>
                                    <w:bottom w:val="nil"/>
                                    <w:right w:val="nil"/>
                                  </w:tcBorders>
                                  <w:hideMark/>
                                </w:tcPr>
                                <w:p w14:paraId="7C68590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4A2B775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008F42A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12FD54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1BA7CB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0F48C61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r>
                            <w:tr w:rsidR="00781EC6" w:rsidRPr="00781EC6" w14:paraId="5CD68090" w14:textId="77777777" w:rsidTr="00781EC6">
                              <w:trPr>
                                <w:trHeight w:val="204"/>
                              </w:trPr>
                              <w:tc>
                                <w:tcPr>
                                  <w:tcW w:w="1605" w:type="pct"/>
                                  <w:tcBorders>
                                    <w:top w:val="nil"/>
                                    <w:left w:val="nil"/>
                                    <w:bottom w:val="nil"/>
                                    <w:right w:val="nil"/>
                                  </w:tcBorders>
                                  <w:noWrap/>
                                  <w:hideMark/>
                                </w:tcPr>
                                <w:p w14:paraId="77E1A1E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Trading Asset Securities</w:t>
                                  </w:r>
                                </w:p>
                              </w:tc>
                              <w:tc>
                                <w:tcPr>
                                  <w:tcW w:w="566" w:type="pct"/>
                                  <w:tcBorders>
                                    <w:top w:val="nil"/>
                                    <w:left w:val="nil"/>
                                    <w:bottom w:val="nil"/>
                                    <w:right w:val="nil"/>
                                  </w:tcBorders>
                                  <w:hideMark/>
                                </w:tcPr>
                                <w:p w14:paraId="260C12E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c>
                                <w:tcPr>
                                  <w:tcW w:w="566" w:type="pct"/>
                                  <w:tcBorders>
                                    <w:top w:val="nil"/>
                                    <w:left w:val="nil"/>
                                    <w:bottom w:val="nil"/>
                                    <w:right w:val="nil"/>
                                  </w:tcBorders>
                                  <w:hideMark/>
                                </w:tcPr>
                                <w:p w14:paraId="383ECE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5C72209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2159BA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c>
                                <w:tcPr>
                                  <w:tcW w:w="566" w:type="pct"/>
                                  <w:tcBorders>
                                    <w:top w:val="nil"/>
                                    <w:left w:val="nil"/>
                                    <w:bottom w:val="nil"/>
                                    <w:right w:val="nil"/>
                                  </w:tcBorders>
                                  <w:hideMark/>
                                </w:tcPr>
                                <w:p w14:paraId="0A46DD2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5B9E23F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r>
                            <w:tr w:rsidR="00781EC6" w:rsidRPr="00781EC6" w14:paraId="4A3D77F7" w14:textId="77777777" w:rsidTr="00781EC6">
                              <w:trPr>
                                <w:trHeight w:val="204"/>
                              </w:trPr>
                              <w:tc>
                                <w:tcPr>
                                  <w:tcW w:w="1605" w:type="pct"/>
                                  <w:tcBorders>
                                    <w:top w:val="nil"/>
                                    <w:left w:val="nil"/>
                                    <w:bottom w:val="nil"/>
                                    <w:right w:val="nil"/>
                                  </w:tcBorders>
                                  <w:noWrap/>
                                  <w:hideMark/>
                                </w:tcPr>
                                <w:p w14:paraId="2C0EF93E"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Cash &amp; ST Investments</w:t>
                                  </w:r>
                                </w:p>
                              </w:tc>
                              <w:tc>
                                <w:tcPr>
                                  <w:tcW w:w="566" w:type="pct"/>
                                  <w:tcBorders>
                                    <w:top w:val="single" w:sz="4" w:space="0" w:color="000000"/>
                                    <w:left w:val="nil"/>
                                    <w:bottom w:val="nil"/>
                                    <w:right w:val="nil"/>
                                  </w:tcBorders>
                                  <w:hideMark/>
                                </w:tcPr>
                                <w:p w14:paraId="557C8CB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5.1 </w:t>
                                  </w:r>
                                </w:p>
                              </w:tc>
                              <w:tc>
                                <w:tcPr>
                                  <w:tcW w:w="566" w:type="pct"/>
                                  <w:tcBorders>
                                    <w:top w:val="single" w:sz="4" w:space="0" w:color="000000"/>
                                    <w:left w:val="nil"/>
                                    <w:bottom w:val="nil"/>
                                    <w:right w:val="nil"/>
                                  </w:tcBorders>
                                  <w:hideMark/>
                                </w:tcPr>
                                <w:p w14:paraId="262E8C5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5.5 </w:t>
                                  </w:r>
                                </w:p>
                              </w:tc>
                              <w:tc>
                                <w:tcPr>
                                  <w:tcW w:w="566" w:type="pct"/>
                                  <w:tcBorders>
                                    <w:top w:val="single" w:sz="4" w:space="0" w:color="000000"/>
                                    <w:left w:val="nil"/>
                                    <w:bottom w:val="nil"/>
                                    <w:right w:val="nil"/>
                                  </w:tcBorders>
                                  <w:hideMark/>
                                </w:tcPr>
                                <w:p w14:paraId="62C9B85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4.3 </w:t>
                                  </w:r>
                                </w:p>
                              </w:tc>
                              <w:tc>
                                <w:tcPr>
                                  <w:tcW w:w="566" w:type="pct"/>
                                  <w:tcBorders>
                                    <w:top w:val="single" w:sz="4" w:space="0" w:color="000000"/>
                                    <w:left w:val="nil"/>
                                    <w:bottom w:val="nil"/>
                                    <w:right w:val="nil"/>
                                  </w:tcBorders>
                                  <w:hideMark/>
                                </w:tcPr>
                                <w:p w14:paraId="6FB2F02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5.8 </w:t>
                                  </w:r>
                                </w:p>
                              </w:tc>
                              <w:tc>
                                <w:tcPr>
                                  <w:tcW w:w="566" w:type="pct"/>
                                  <w:tcBorders>
                                    <w:top w:val="single" w:sz="4" w:space="0" w:color="000000"/>
                                    <w:left w:val="nil"/>
                                    <w:bottom w:val="nil"/>
                                    <w:right w:val="nil"/>
                                  </w:tcBorders>
                                  <w:hideMark/>
                                </w:tcPr>
                                <w:p w14:paraId="3EB3C14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7.4 </w:t>
                                  </w:r>
                                </w:p>
                              </w:tc>
                              <w:tc>
                                <w:tcPr>
                                  <w:tcW w:w="566" w:type="pct"/>
                                  <w:tcBorders>
                                    <w:top w:val="single" w:sz="4" w:space="0" w:color="000000"/>
                                    <w:left w:val="nil"/>
                                    <w:bottom w:val="nil"/>
                                    <w:right w:val="nil"/>
                                  </w:tcBorders>
                                  <w:hideMark/>
                                </w:tcPr>
                                <w:p w14:paraId="110A111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7.0 </w:t>
                                  </w:r>
                                </w:p>
                              </w:tc>
                            </w:tr>
                            <w:tr w:rsidR="00781EC6" w:rsidRPr="00781EC6" w14:paraId="3E79F6D1" w14:textId="77777777" w:rsidTr="00781EC6">
                              <w:trPr>
                                <w:trHeight w:val="204"/>
                              </w:trPr>
                              <w:tc>
                                <w:tcPr>
                                  <w:tcW w:w="1605" w:type="pct"/>
                                  <w:tcBorders>
                                    <w:top w:val="nil"/>
                                    <w:left w:val="nil"/>
                                    <w:bottom w:val="nil"/>
                                    <w:right w:val="nil"/>
                                  </w:tcBorders>
                                  <w:noWrap/>
                                  <w:hideMark/>
                                </w:tcPr>
                                <w:p w14:paraId="333020D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Receivable</w:t>
                                  </w:r>
                                </w:p>
                              </w:tc>
                              <w:tc>
                                <w:tcPr>
                                  <w:tcW w:w="566" w:type="pct"/>
                                  <w:tcBorders>
                                    <w:top w:val="nil"/>
                                    <w:left w:val="nil"/>
                                    <w:bottom w:val="nil"/>
                                    <w:right w:val="nil"/>
                                  </w:tcBorders>
                                  <w:hideMark/>
                                </w:tcPr>
                                <w:p w14:paraId="58679C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7.5 </w:t>
                                  </w:r>
                                </w:p>
                              </w:tc>
                              <w:tc>
                                <w:tcPr>
                                  <w:tcW w:w="566" w:type="pct"/>
                                  <w:tcBorders>
                                    <w:top w:val="nil"/>
                                    <w:left w:val="nil"/>
                                    <w:bottom w:val="nil"/>
                                    <w:right w:val="nil"/>
                                  </w:tcBorders>
                                  <w:hideMark/>
                                </w:tcPr>
                                <w:p w14:paraId="19EB217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7.2 </w:t>
                                  </w:r>
                                </w:p>
                              </w:tc>
                              <w:tc>
                                <w:tcPr>
                                  <w:tcW w:w="566" w:type="pct"/>
                                  <w:tcBorders>
                                    <w:top w:val="nil"/>
                                    <w:left w:val="nil"/>
                                    <w:bottom w:val="nil"/>
                                    <w:right w:val="nil"/>
                                  </w:tcBorders>
                                  <w:hideMark/>
                                </w:tcPr>
                                <w:p w14:paraId="6C703CC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6.9 </w:t>
                                  </w:r>
                                </w:p>
                              </w:tc>
                              <w:tc>
                                <w:tcPr>
                                  <w:tcW w:w="566" w:type="pct"/>
                                  <w:tcBorders>
                                    <w:top w:val="nil"/>
                                    <w:left w:val="nil"/>
                                    <w:bottom w:val="nil"/>
                                    <w:right w:val="nil"/>
                                  </w:tcBorders>
                                  <w:hideMark/>
                                </w:tcPr>
                                <w:p w14:paraId="28D7A6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8.0 </w:t>
                                  </w:r>
                                </w:p>
                              </w:tc>
                              <w:tc>
                                <w:tcPr>
                                  <w:tcW w:w="566" w:type="pct"/>
                                  <w:tcBorders>
                                    <w:top w:val="nil"/>
                                    <w:left w:val="nil"/>
                                    <w:bottom w:val="nil"/>
                                    <w:right w:val="nil"/>
                                  </w:tcBorders>
                                  <w:hideMark/>
                                </w:tcPr>
                                <w:p w14:paraId="741AABF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8.8 </w:t>
                                  </w:r>
                                </w:p>
                              </w:tc>
                              <w:tc>
                                <w:tcPr>
                                  <w:tcW w:w="566" w:type="pct"/>
                                  <w:tcBorders>
                                    <w:top w:val="nil"/>
                                    <w:left w:val="nil"/>
                                    <w:bottom w:val="nil"/>
                                    <w:right w:val="nil"/>
                                  </w:tcBorders>
                                  <w:hideMark/>
                                </w:tcPr>
                                <w:p w14:paraId="3E437F5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8.2 </w:t>
                                  </w:r>
                                </w:p>
                              </w:tc>
                            </w:tr>
                            <w:tr w:rsidR="00781EC6" w:rsidRPr="00781EC6" w14:paraId="2D59A98E" w14:textId="77777777" w:rsidTr="00781EC6">
                              <w:trPr>
                                <w:trHeight w:val="204"/>
                              </w:trPr>
                              <w:tc>
                                <w:tcPr>
                                  <w:tcW w:w="1605" w:type="pct"/>
                                  <w:tcBorders>
                                    <w:top w:val="nil"/>
                                    <w:left w:val="nil"/>
                                    <w:bottom w:val="nil"/>
                                    <w:right w:val="nil"/>
                                  </w:tcBorders>
                                  <w:noWrap/>
                                  <w:hideMark/>
                                </w:tcPr>
                                <w:p w14:paraId="67FE763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Receivables</w:t>
                                  </w:r>
                                </w:p>
                              </w:tc>
                              <w:tc>
                                <w:tcPr>
                                  <w:tcW w:w="566" w:type="pct"/>
                                  <w:tcBorders>
                                    <w:top w:val="nil"/>
                                    <w:left w:val="nil"/>
                                    <w:bottom w:val="nil"/>
                                    <w:right w:val="nil"/>
                                  </w:tcBorders>
                                  <w:hideMark/>
                                </w:tcPr>
                                <w:p w14:paraId="2809B7A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1.4 </w:t>
                                  </w:r>
                                </w:p>
                              </w:tc>
                              <w:tc>
                                <w:tcPr>
                                  <w:tcW w:w="566" w:type="pct"/>
                                  <w:tcBorders>
                                    <w:top w:val="nil"/>
                                    <w:left w:val="nil"/>
                                    <w:bottom w:val="nil"/>
                                    <w:right w:val="nil"/>
                                  </w:tcBorders>
                                  <w:hideMark/>
                                </w:tcPr>
                                <w:p w14:paraId="17D6764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1985478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291510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282338E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A49D41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r>
                            <w:tr w:rsidR="00781EC6" w:rsidRPr="00781EC6" w14:paraId="6FD7057F" w14:textId="77777777" w:rsidTr="00781EC6">
                              <w:trPr>
                                <w:trHeight w:val="204"/>
                              </w:trPr>
                              <w:tc>
                                <w:tcPr>
                                  <w:tcW w:w="1605" w:type="pct"/>
                                  <w:tcBorders>
                                    <w:top w:val="nil"/>
                                    <w:left w:val="nil"/>
                                    <w:bottom w:val="nil"/>
                                    <w:right w:val="nil"/>
                                  </w:tcBorders>
                                  <w:noWrap/>
                                  <w:hideMark/>
                                </w:tcPr>
                                <w:p w14:paraId="63CA7F7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Receivables</w:t>
                                  </w:r>
                                </w:p>
                              </w:tc>
                              <w:tc>
                                <w:tcPr>
                                  <w:tcW w:w="566" w:type="pct"/>
                                  <w:tcBorders>
                                    <w:top w:val="single" w:sz="4" w:space="0" w:color="000000"/>
                                    <w:left w:val="nil"/>
                                    <w:bottom w:val="nil"/>
                                    <w:right w:val="nil"/>
                                  </w:tcBorders>
                                  <w:hideMark/>
                                </w:tcPr>
                                <w:p w14:paraId="6A88814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8.9 </w:t>
                                  </w:r>
                                </w:p>
                              </w:tc>
                              <w:tc>
                                <w:tcPr>
                                  <w:tcW w:w="566" w:type="pct"/>
                                  <w:tcBorders>
                                    <w:top w:val="single" w:sz="4" w:space="0" w:color="000000"/>
                                    <w:left w:val="nil"/>
                                    <w:bottom w:val="nil"/>
                                    <w:right w:val="nil"/>
                                  </w:tcBorders>
                                  <w:hideMark/>
                                </w:tcPr>
                                <w:p w14:paraId="11D519A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8.6 </w:t>
                                  </w:r>
                                </w:p>
                              </w:tc>
                              <w:tc>
                                <w:tcPr>
                                  <w:tcW w:w="566" w:type="pct"/>
                                  <w:tcBorders>
                                    <w:top w:val="single" w:sz="4" w:space="0" w:color="000000"/>
                                    <w:left w:val="nil"/>
                                    <w:bottom w:val="nil"/>
                                    <w:right w:val="nil"/>
                                  </w:tcBorders>
                                  <w:hideMark/>
                                </w:tcPr>
                                <w:p w14:paraId="3744E0D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8.4 </w:t>
                                  </w:r>
                                </w:p>
                              </w:tc>
                              <w:tc>
                                <w:tcPr>
                                  <w:tcW w:w="566" w:type="pct"/>
                                  <w:tcBorders>
                                    <w:top w:val="single" w:sz="4" w:space="0" w:color="000000"/>
                                    <w:left w:val="nil"/>
                                    <w:bottom w:val="nil"/>
                                    <w:right w:val="nil"/>
                                  </w:tcBorders>
                                  <w:hideMark/>
                                </w:tcPr>
                                <w:p w14:paraId="6873AB5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9.8 </w:t>
                                  </w:r>
                                </w:p>
                              </w:tc>
                              <w:tc>
                                <w:tcPr>
                                  <w:tcW w:w="566" w:type="pct"/>
                                  <w:tcBorders>
                                    <w:top w:val="single" w:sz="4" w:space="0" w:color="000000"/>
                                    <w:left w:val="nil"/>
                                    <w:bottom w:val="nil"/>
                                    <w:right w:val="nil"/>
                                  </w:tcBorders>
                                  <w:hideMark/>
                                </w:tcPr>
                                <w:p w14:paraId="3882259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10.5 </w:t>
                                  </w:r>
                                </w:p>
                              </w:tc>
                              <w:tc>
                                <w:tcPr>
                                  <w:tcW w:w="566" w:type="pct"/>
                                  <w:tcBorders>
                                    <w:top w:val="single" w:sz="4" w:space="0" w:color="000000"/>
                                    <w:left w:val="nil"/>
                                    <w:bottom w:val="nil"/>
                                    <w:right w:val="nil"/>
                                  </w:tcBorders>
                                  <w:hideMark/>
                                </w:tcPr>
                                <w:p w14:paraId="73E9EA8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10.0 </w:t>
                                  </w:r>
                                </w:p>
                              </w:tc>
                            </w:tr>
                            <w:tr w:rsidR="00781EC6" w:rsidRPr="00781EC6" w14:paraId="54B3038E" w14:textId="77777777" w:rsidTr="00781EC6">
                              <w:trPr>
                                <w:trHeight w:val="204"/>
                              </w:trPr>
                              <w:tc>
                                <w:tcPr>
                                  <w:tcW w:w="1605" w:type="pct"/>
                                  <w:tcBorders>
                                    <w:top w:val="nil"/>
                                    <w:left w:val="nil"/>
                                    <w:bottom w:val="nil"/>
                                    <w:right w:val="nil"/>
                                  </w:tcBorders>
                                  <w:noWrap/>
                                  <w:hideMark/>
                                </w:tcPr>
                                <w:p w14:paraId="26FACBD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Inventory</w:t>
                                  </w:r>
                                </w:p>
                              </w:tc>
                              <w:tc>
                                <w:tcPr>
                                  <w:tcW w:w="566" w:type="pct"/>
                                  <w:tcBorders>
                                    <w:top w:val="nil"/>
                                    <w:left w:val="nil"/>
                                    <w:bottom w:val="nil"/>
                                    <w:right w:val="nil"/>
                                  </w:tcBorders>
                                  <w:hideMark/>
                                </w:tcPr>
                                <w:p w14:paraId="7E6B47A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6.6 </w:t>
                                  </w:r>
                                </w:p>
                              </w:tc>
                              <w:tc>
                                <w:tcPr>
                                  <w:tcW w:w="566" w:type="pct"/>
                                  <w:tcBorders>
                                    <w:top w:val="nil"/>
                                    <w:left w:val="nil"/>
                                    <w:bottom w:val="nil"/>
                                    <w:right w:val="nil"/>
                                  </w:tcBorders>
                                  <w:hideMark/>
                                </w:tcPr>
                                <w:p w14:paraId="74A7D8B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6.5 </w:t>
                                  </w:r>
                                </w:p>
                              </w:tc>
                              <w:tc>
                                <w:tcPr>
                                  <w:tcW w:w="566" w:type="pct"/>
                                  <w:tcBorders>
                                    <w:top w:val="nil"/>
                                    <w:left w:val="nil"/>
                                    <w:bottom w:val="nil"/>
                                    <w:right w:val="nil"/>
                                  </w:tcBorders>
                                  <w:hideMark/>
                                </w:tcPr>
                                <w:p w14:paraId="663277D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6.7 </w:t>
                                  </w:r>
                                </w:p>
                              </w:tc>
                              <w:tc>
                                <w:tcPr>
                                  <w:tcW w:w="566" w:type="pct"/>
                                  <w:tcBorders>
                                    <w:top w:val="nil"/>
                                    <w:left w:val="nil"/>
                                    <w:bottom w:val="nil"/>
                                    <w:right w:val="nil"/>
                                  </w:tcBorders>
                                  <w:hideMark/>
                                </w:tcPr>
                                <w:p w14:paraId="392C615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7.4 </w:t>
                                  </w:r>
                                </w:p>
                              </w:tc>
                              <w:tc>
                                <w:tcPr>
                                  <w:tcW w:w="566" w:type="pct"/>
                                  <w:tcBorders>
                                    <w:top w:val="nil"/>
                                    <w:left w:val="nil"/>
                                    <w:bottom w:val="nil"/>
                                    <w:right w:val="nil"/>
                                  </w:tcBorders>
                                  <w:hideMark/>
                                </w:tcPr>
                                <w:p w14:paraId="769E8E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7.2 </w:t>
                                  </w:r>
                                </w:p>
                              </w:tc>
                              <w:tc>
                                <w:tcPr>
                                  <w:tcW w:w="566" w:type="pct"/>
                                  <w:tcBorders>
                                    <w:top w:val="nil"/>
                                    <w:left w:val="nil"/>
                                    <w:bottom w:val="nil"/>
                                    <w:right w:val="nil"/>
                                  </w:tcBorders>
                                  <w:hideMark/>
                                </w:tcPr>
                                <w:p w14:paraId="3BCA23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6.9 </w:t>
                                  </w:r>
                                </w:p>
                              </w:tc>
                            </w:tr>
                            <w:tr w:rsidR="00781EC6" w:rsidRPr="00781EC6" w14:paraId="46DE0E91" w14:textId="77777777" w:rsidTr="00781EC6">
                              <w:trPr>
                                <w:trHeight w:val="204"/>
                              </w:trPr>
                              <w:tc>
                                <w:tcPr>
                                  <w:tcW w:w="1605" w:type="pct"/>
                                  <w:tcBorders>
                                    <w:top w:val="nil"/>
                                    <w:left w:val="nil"/>
                                    <w:bottom w:val="nil"/>
                                    <w:right w:val="nil"/>
                                  </w:tcBorders>
                                  <w:noWrap/>
                                  <w:hideMark/>
                                </w:tcPr>
                                <w:p w14:paraId="729C328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Prepaid Exp.</w:t>
                                  </w:r>
                                </w:p>
                              </w:tc>
                              <w:tc>
                                <w:tcPr>
                                  <w:tcW w:w="566" w:type="pct"/>
                                  <w:tcBorders>
                                    <w:top w:val="nil"/>
                                    <w:left w:val="nil"/>
                                    <w:bottom w:val="nil"/>
                                    <w:right w:val="nil"/>
                                  </w:tcBorders>
                                  <w:hideMark/>
                                </w:tcPr>
                                <w:p w14:paraId="6D4A69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5ABDA62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389C9D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6B590E4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5286526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0613F6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r>
                            <w:tr w:rsidR="00781EC6" w:rsidRPr="00781EC6" w14:paraId="77469C64" w14:textId="77777777" w:rsidTr="00781EC6">
                              <w:trPr>
                                <w:trHeight w:val="204"/>
                              </w:trPr>
                              <w:tc>
                                <w:tcPr>
                                  <w:tcW w:w="1605" w:type="pct"/>
                                  <w:tcBorders>
                                    <w:top w:val="nil"/>
                                    <w:left w:val="nil"/>
                                    <w:bottom w:val="nil"/>
                                    <w:right w:val="nil"/>
                                  </w:tcBorders>
                                  <w:noWrap/>
                                  <w:hideMark/>
                                </w:tcPr>
                                <w:p w14:paraId="4FE1BBE6"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Current Assets</w:t>
                                  </w:r>
                                </w:p>
                              </w:tc>
                              <w:tc>
                                <w:tcPr>
                                  <w:tcW w:w="566" w:type="pct"/>
                                  <w:tcBorders>
                                    <w:top w:val="nil"/>
                                    <w:left w:val="nil"/>
                                    <w:bottom w:val="nil"/>
                                    <w:right w:val="nil"/>
                                  </w:tcBorders>
                                  <w:hideMark/>
                                </w:tcPr>
                                <w:p w14:paraId="21F23D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6532D9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AC15F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176ECE1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10E4638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24CA12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r>
                            <w:tr w:rsidR="00781EC6" w:rsidRPr="00781EC6" w14:paraId="58A5FC12" w14:textId="77777777" w:rsidTr="00781EC6">
                              <w:trPr>
                                <w:trHeight w:val="204"/>
                              </w:trPr>
                              <w:tc>
                                <w:tcPr>
                                  <w:tcW w:w="1605" w:type="pct"/>
                                  <w:tcBorders>
                                    <w:top w:val="nil"/>
                                    <w:left w:val="nil"/>
                                    <w:bottom w:val="nil"/>
                                    <w:right w:val="nil"/>
                                  </w:tcBorders>
                                  <w:noWrap/>
                                  <w:hideMark/>
                                </w:tcPr>
                                <w:p w14:paraId="6AEAA289"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Current Assets</w:t>
                                  </w:r>
                                </w:p>
                              </w:tc>
                              <w:tc>
                                <w:tcPr>
                                  <w:tcW w:w="566" w:type="pct"/>
                                  <w:tcBorders>
                                    <w:top w:val="single" w:sz="4" w:space="0" w:color="000000"/>
                                    <w:left w:val="nil"/>
                                    <w:bottom w:val="nil"/>
                                    <w:right w:val="nil"/>
                                  </w:tcBorders>
                                  <w:hideMark/>
                                </w:tcPr>
                                <w:p w14:paraId="466A458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21.2 </w:t>
                                  </w:r>
                                </w:p>
                              </w:tc>
                              <w:tc>
                                <w:tcPr>
                                  <w:tcW w:w="566" w:type="pct"/>
                                  <w:tcBorders>
                                    <w:top w:val="single" w:sz="4" w:space="0" w:color="000000"/>
                                    <w:left w:val="nil"/>
                                    <w:bottom w:val="nil"/>
                                    <w:right w:val="nil"/>
                                  </w:tcBorders>
                                  <w:hideMark/>
                                </w:tcPr>
                                <w:p w14:paraId="75F9105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21.4 </w:t>
                                  </w:r>
                                </w:p>
                              </w:tc>
                              <w:tc>
                                <w:tcPr>
                                  <w:tcW w:w="566" w:type="pct"/>
                                  <w:tcBorders>
                                    <w:top w:val="single" w:sz="4" w:space="0" w:color="000000"/>
                                    <w:left w:val="nil"/>
                                    <w:bottom w:val="nil"/>
                                    <w:right w:val="nil"/>
                                  </w:tcBorders>
                                  <w:hideMark/>
                                </w:tcPr>
                                <w:p w14:paraId="6EF4FFC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20.2 </w:t>
                                  </w:r>
                                </w:p>
                              </w:tc>
                              <w:tc>
                                <w:tcPr>
                                  <w:tcW w:w="566" w:type="pct"/>
                                  <w:tcBorders>
                                    <w:top w:val="single" w:sz="4" w:space="0" w:color="000000"/>
                                    <w:left w:val="nil"/>
                                    <w:bottom w:val="nil"/>
                                    <w:right w:val="nil"/>
                                  </w:tcBorders>
                                  <w:hideMark/>
                                </w:tcPr>
                                <w:p w14:paraId="48060A7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25.6 </w:t>
                                  </w:r>
                                </w:p>
                              </w:tc>
                              <w:tc>
                                <w:tcPr>
                                  <w:tcW w:w="566" w:type="pct"/>
                                  <w:tcBorders>
                                    <w:top w:val="single" w:sz="4" w:space="0" w:color="000000"/>
                                    <w:left w:val="nil"/>
                                    <w:bottom w:val="nil"/>
                                    <w:right w:val="nil"/>
                                  </w:tcBorders>
                                  <w:hideMark/>
                                </w:tcPr>
                                <w:p w14:paraId="2ACBD9C9"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25.9 </w:t>
                                  </w:r>
                                </w:p>
                              </w:tc>
                              <w:tc>
                                <w:tcPr>
                                  <w:tcW w:w="566" w:type="pct"/>
                                  <w:tcBorders>
                                    <w:top w:val="single" w:sz="4" w:space="0" w:color="000000"/>
                                    <w:left w:val="nil"/>
                                    <w:bottom w:val="nil"/>
                                    <w:right w:val="nil"/>
                                  </w:tcBorders>
                                  <w:hideMark/>
                                </w:tcPr>
                                <w:p w14:paraId="696EBF1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24.6 </w:t>
                                  </w:r>
                                </w:p>
                              </w:tc>
                            </w:tr>
                            <w:tr w:rsidR="00781EC6" w:rsidRPr="00781EC6" w14:paraId="63C7C27E" w14:textId="77777777" w:rsidTr="00781EC6">
                              <w:trPr>
                                <w:trHeight w:val="204"/>
                              </w:trPr>
                              <w:tc>
                                <w:tcPr>
                                  <w:tcW w:w="1605" w:type="pct"/>
                                  <w:tcBorders>
                                    <w:top w:val="nil"/>
                                    <w:left w:val="nil"/>
                                    <w:bottom w:val="nil"/>
                                    <w:right w:val="nil"/>
                                  </w:tcBorders>
                                  <w:noWrap/>
                                  <w:hideMark/>
                                </w:tcPr>
                                <w:p w14:paraId="72C41E2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Gross Property, Plant &amp; Equipment</w:t>
                                  </w:r>
                                </w:p>
                              </w:tc>
                              <w:tc>
                                <w:tcPr>
                                  <w:tcW w:w="566" w:type="pct"/>
                                  <w:tcBorders>
                                    <w:top w:val="nil"/>
                                    <w:left w:val="nil"/>
                                    <w:bottom w:val="nil"/>
                                    <w:right w:val="nil"/>
                                  </w:tcBorders>
                                  <w:hideMark/>
                                </w:tcPr>
                                <w:p w14:paraId="68C568F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39.5 </w:t>
                                  </w:r>
                                </w:p>
                              </w:tc>
                              <w:tc>
                                <w:tcPr>
                                  <w:tcW w:w="566" w:type="pct"/>
                                  <w:tcBorders>
                                    <w:top w:val="nil"/>
                                    <w:left w:val="nil"/>
                                    <w:bottom w:val="nil"/>
                                    <w:right w:val="nil"/>
                                  </w:tcBorders>
                                  <w:hideMark/>
                                </w:tcPr>
                                <w:p w14:paraId="785827B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42.4 </w:t>
                                  </w:r>
                                </w:p>
                              </w:tc>
                              <w:tc>
                                <w:tcPr>
                                  <w:tcW w:w="566" w:type="pct"/>
                                  <w:tcBorders>
                                    <w:top w:val="nil"/>
                                    <w:left w:val="nil"/>
                                    <w:bottom w:val="nil"/>
                                    <w:right w:val="nil"/>
                                  </w:tcBorders>
                                  <w:hideMark/>
                                </w:tcPr>
                                <w:p w14:paraId="68F77CF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41.1 </w:t>
                                  </w:r>
                                </w:p>
                              </w:tc>
                              <w:tc>
                                <w:tcPr>
                                  <w:tcW w:w="566" w:type="pct"/>
                                  <w:tcBorders>
                                    <w:top w:val="nil"/>
                                    <w:left w:val="nil"/>
                                    <w:bottom w:val="nil"/>
                                    <w:right w:val="nil"/>
                                  </w:tcBorders>
                                  <w:hideMark/>
                                </w:tcPr>
                                <w:p w14:paraId="79826E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40.6 </w:t>
                                  </w:r>
                                </w:p>
                              </w:tc>
                              <w:tc>
                                <w:tcPr>
                                  <w:tcW w:w="566" w:type="pct"/>
                                  <w:tcBorders>
                                    <w:top w:val="nil"/>
                                    <w:left w:val="nil"/>
                                    <w:bottom w:val="nil"/>
                                    <w:right w:val="nil"/>
                                  </w:tcBorders>
                                  <w:hideMark/>
                                </w:tcPr>
                                <w:p w14:paraId="1BCFF2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42.7 </w:t>
                                  </w:r>
                                </w:p>
                              </w:tc>
                              <w:tc>
                                <w:tcPr>
                                  <w:tcW w:w="566" w:type="pct"/>
                                  <w:tcBorders>
                                    <w:top w:val="nil"/>
                                    <w:left w:val="nil"/>
                                    <w:bottom w:val="nil"/>
                                    <w:right w:val="nil"/>
                                  </w:tcBorders>
                                  <w:hideMark/>
                                </w:tcPr>
                                <w:p w14:paraId="1398B0E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41.9 </w:t>
                                  </w:r>
                                </w:p>
                              </w:tc>
                            </w:tr>
                            <w:tr w:rsidR="00781EC6" w:rsidRPr="00781EC6" w14:paraId="340759EE" w14:textId="77777777" w:rsidTr="00781EC6">
                              <w:trPr>
                                <w:trHeight w:val="204"/>
                              </w:trPr>
                              <w:tc>
                                <w:tcPr>
                                  <w:tcW w:w="1605" w:type="pct"/>
                                  <w:tcBorders>
                                    <w:top w:val="nil"/>
                                    <w:left w:val="nil"/>
                                    <w:bottom w:val="nil"/>
                                    <w:right w:val="nil"/>
                                  </w:tcBorders>
                                  <w:noWrap/>
                                  <w:hideMark/>
                                </w:tcPr>
                                <w:p w14:paraId="017D528A"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Accumulated Depreciation</w:t>
                                  </w:r>
                                </w:p>
                              </w:tc>
                              <w:tc>
                                <w:tcPr>
                                  <w:tcW w:w="566" w:type="pct"/>
                                  <w:tcBorders>
                                    <w:top w:val="nil"/>
                                    <w:left w:val="nil"/>
                                    <w:bottom w:val="nil"/>
                                    <w:right w:val="nil"/>
                                  </w:tcBorders>
                                  <w:hideMark/>
                                </w:tcPr>
                                <w:p w14:paraId="3FD427C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(21.1)  </w:t>
                                  </w:r>
                                </w:p>
                              </w:tc>
                              <w:tc>
                                <w:tcPr>
                                  <w:tcW w:w="566" w:type="pct"/>
                                  <w:tcBorders>
                                    <w:top w:val="nil"/>
                                    <w:left w:val="nil"/>
                                    <w:bottom w:val="nil"/>
                                    <w:right w:val="nil"/>
                                  </w:tcBorders>
                                  <w:hideMark/>
                                </w:tcPr>
                                <w:p w14:paraId="490737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(24.1)  </w:t>
                                  </w:r>
                                </w:p>
                              </w:tc>
                              <w:tc>
                                <w:tcPr>
                                  <w:tcW w:w="566" w:type="pct"/>
                                  <w:tcBorders>
                                    <w:top w:val="nil"/>
                                    <w:left w:val="nil"/>
                                    <w:bottom w:val="nil"/>
                                    <w:right w:val="nil"/>
                                  </w:tcBorders>
                                  <w:hideMark/>
                                </w:tcPr>
                                <w:p w14:paraId="34F9E96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(24.0)  </w:t>
                                  </w:r>
                                </w:p>
                              </w:tc>
                              <w:tc>
                                <w:tcPr>
                                  <w:tcW w:w="566" w:type="pct"/>
                                  <w:tcBorders>
                                    <w:top w:val="nil"/>
                                    <w:left w:val="nil"/>
                                    <w:bottom w:val="nil"/>
                                    <w:right w:val="nil"/>
                                  </w:tcBorders>
                                  <w:hideMark/>
                                </w:tcPr>
                                <w:p w14:paraId="727BC7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(22.6)  </w:t>
                                  </w:r>
                                </w:p>
                              </w:tc>
                              <w:tc>
                                <w:tcPr>
                                  <w:tcW w:w="566" w:type="pct"/>
                                  <w:tcBorders>
                                    <w:top w:val="nil"/>
                                    <w:left w:val="nil"/>
                                    <w:bottom w:val="nil"/>
                                    <w:right w:val="nil"/>
                                  </w:tcBorders>
                                  <w:hideMark/>
                                </w:tcPr>
                                <w:p w14:paraId="11A20E8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(24.1)  </w:t>
                                  </w:r>
                                </w:p>
                              </w:tc>
                              <w:tc>
                                <w:tcPr>
                                  <w:tcW w:w="566" w:type="pct"/>
                                  <w:tcBorders>
                                    <w:top w:val="nil"/>
                                    <w:left w:val="nil"/>
                                    <w:bottom w:val="nil"/>
                                    <w:right w:val="nil"/>
                                  </w:tcBorders>
                                  <w:hideMark/>
                                </w:tcPr>
                                <w:p w14:paraId="11137F4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(23.7)  </w:t>
                                  </w:r>
                                </w:p>
                              </w:tc>
                            </w:tr>
                            <w:tr w:rsidR="00781EC6" w:rsidRPr="00781EC6" w14:paraId="0D785C57" w14:textId="77777777" w:rsidTr="00781EC6">
                              <w:trPr>
                                <w:trHeight w:val="204"/>
                              </w:trPr>
                              <w:tc>
                                <w:tcPr>
                                  <w:tcW w:w="1605" w:type="pct"/>
                                  <w:tcBorders>
                                    <w:top w:val="nil"/>
                                    <w:left w:val="nil"/>
                                    <w:bottom w:val="nil"/>
                                    <w:right w:val="nil"/>
                                  </w:tcBorders>
                                  <w:noWrap/>
                                  <w:hideMark/>
                                </w:tcPr>
                                <w:p w14:paraId="1911D8B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Net Property, Plant &amp; Equipment</w:t>
                                  </w:r>
                                </w:p>
                              </w:tc>
                              <w:tc>
                                <w:tcPr>
                                  <w:tcW w:w="566" w:type="pct"/>
                                  <w:tcBorders>
                                    <w:top w:val="single" w:sz="4" w:space="0" w:color="000000"/>
                                    <w:left w:val="nil"/>
                                    <w:bottom w:val="nil"/>
                                    <w:right w:val="nil"/>
                                  </w:tcBorders>
                                  <w:hideMark/>
                                </w:tcPr>
                                <w:p w14:paraId="5CB331A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18.4 </w:t>
                                  </w:r>
                                </w:p>
                              </w:tc>
                              <w:tc>
                                <w:tcPr>
                                  <w:tcW w:w="566" w:type="pct"/>
                                  <w:tcBorders>
                                    <w:top w:val="single" w:sz="4" w:space="0" w:color="000000"/>
                                    <w:left w:val="nil"/>
                                    <w:bottom w:val="nil"/>
                                    <w:right w:val="nil"/>
                                  </w:tcBorders>
                                  <w:hideMark/>
                                </w:tcPr>
                                <w:p w14:paraId="6185B43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18.4 </w:t>
                                  </w:r>
                                </w:p>
                              </w:tc>
                              <w:tc>
                                <w:tcPr>
                                  <w:tcW w:w="566" w:type="pct"/>
                                  <w:tcBorders>
                                    <w:top w:val="single" w:sz="4" w:space="0" w:color="000000"/>
                                    <w:left w:val="nil"/>
                                    <w:bottom w:val="nil"/>
                                    <w:right w:val="nil"/>
                                  </w:tcBorders>
                                  <w:hideMark/>
                                </w:tcPr>
                                <w:p w14:paraId="615F207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17.2 </w:t>
                                  </w:r>
                                </w:p>
                              </w:tc>
                              <w:tc>
                                <w:tcPr>
                                  <w:tcW w:w="566" w:type="pct"/>
                                  <w:tcBorders>
                                    <w:top w:val="single" w:sz="4" w:space="0" w:color="000000"/>
                                    <w:left w:val="nil"/>
                                    <w:bottom w:val="nil"/>
                                    <w:right w:val="nil"/>
                                  </w:tcBorders>
                                  <w:hideMark/>
                                </w:tcPr>
                                <w:p w14:paraId="196DF69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18.0 </w:t>
                                  </w:r>
                                </w:p>
                              </w:tc>
                              <w:tc>
                                <w:tcPr>
                                  <w:tcW w:w="566" w:type="pct"/>
                                  <w:tcBorders>
                                    <w:top w:val="single" w:sz="4" w:space="0" w:color="000000"/>
                                    <w:left w:val="nil"/>
                                    <w:bottom w:val="nil"/>
                                    <w:right w:val="nil"/>
                                  </w:tcBorders>
                                  <w:hideMark/>
                                </w:tcPr>
                                <w:p w14:paraId="2A9A960A"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18.6 </w:t>
                                  </w:r>
                                </w:p>
                              </w:tc>
                              <w:tc>
                                <w:tcPr>
                                  <w:tcW w:w="566" w:type="pct"/>
                                  <w:tcBorders>
                                    <w:top w:val="single" w:sz="4" w:space="0" w:color="000000"/>
                                    <w:left w:val="nil"/>
                                    <w:bottom w:val="nil"/>
                                    <w:right w:val="nil"/>
                                  </w:tcBorders>
                                  <w:hideMark/>
                                </w:tcPr>
                                <w:p w14:paraId="077ACF89"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18.2 </w:t>
                                  </w:r>
                                </w:p>
                              </w:tc>
                            </w:tr>
                            <w:tr w:rsidR="00781EC6" w:rsidRPr="00781EC6" w14:paraId="39F9B85D" w14:textId="77777777" w:rsidTr="00781EC6">
                              <w:trPr>
                                <w:trHeight w:val="204"/>
                              </w:trPr>
                              <w:tc>
                                <w:tcPr>
                                  <w:tcW w:w="1605" w:type="pct"/>
                                  <w:tcBorders>
                                    <w:top w:val="nil"/>
                                    <w:left w:val="nil"/>
                                    <w:bottom w:val="nil"/>
                                    <w:right w:val="nil"/>
                                  </w:tcBorders>
                                  <w:noWrap/>
                                  <w:hideMark/>
                                </w:tcPr>
                                <w:p w14:paraId="5D7B3777"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Investments</w:t>
                                  </w:r>
                                </w:p>
                              </w:tc>
                              <w:tc>
                                <w:tcPr>
                                  <w:tcW w:w="566" w:type="pct"/>
                                  <w:tcBorders>
                                    <w:top w:val="nil"/>
                                    <w:left w:val="nil"/>
                                    <w:bottom w:val="nil"/>
                                    <w:right w:val="nil"/>
                                  </w:tcBorders>
                                  <w:hideMark/>
                                </w:tcPr>
                                <w:p w14:paraId="5B0BC37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6D56BA5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333897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1D29D2B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884977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41B438F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r>
                            <w:tr w:rsidR="00781EC6" w:rsidRPr="00781EC6" w14:paraId="48FBAD13" w14:textId="77777777" w:rsidTr="00781EC6">
                              <w:trPr>
                                <w:trHeight w:val="204"/>
                              </w:trPr>
                              <w:tc>
                                <w:tcPr>
                                  <w:tcW w:w="1605" w:type="pct"/>
                                  <w:tcBorders>
                                    <w:top w:val="nil"/>
                                    <w:left w:val="nil"/>
                                    <w:bottom w:val="nil"/>
                                    <w:right w:val="nil"/>
                                  </w:tcBorders>
                                  <w:noWrap/>
                                  <w:hideMark/>
                                </w:tcPr>
                                <w:p w14:paraId="3C22ABD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Goodwill</w:t>
                                  </w:r>
                                </w:p>
                              </w:tc>
                              <w:tc>
                                <w:tcPr>
                                  <w:tcW w:w="566" w:type="pct"/>
                                  <w:tcBorders>
                                    <w:top w:val="nil"/>
                                    <w:left w:val="nil"/>
                                    <w:bottom w:val="nil"/>
                                    <w:right w:val="nil"/>
                                  </w:tcBorders>
                                  <w:hideMark/>
                                </w:tcPr>
                                <w:p w14:paraId="1926373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9.0 </w:t>
                                  </w:r>
                                </w:p>
                              </w:tc>
                              <w:tc>
                                <w:tcPr>
                                  <w:tcW w:w="566" w:type="pct"/>
                                  <w:tcBorders>
                                    <w:top w:val="nil"/>
                                    <w:left w:val="nil"/>
                                    <w:bottom w:val="nil"/>
                                    <w:right w:val="nil"/>
                                  </w:tcBorders>
                                  <w:hideMark/>
                                </w:tcPr>
                                <w:p w14:paraId="6A20D4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9.8 </w:t>
                                  </w:r>
                                </w:p>
                              </w:tc>
                              <w:tc>
                                <w:tcPr>
                                  <w:tcW w:w="566" w:type="pct"/>
                                  <w:tcBorders>
                                    <w:top w:val="nil"/>
                                    <w:left w:val="nil"/>
                                    <w:bottom w:val="nil"/>
                                    <w:right w:val="nil"/>
                                  </w:tcBorders>
                                  <w:hideMark/>
                                </w:tcPr>
                                <w:p w14:paraId="0889FF4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9.1 </w:t>
                                  </w:r>
                                </w:p>
                              </w:tc>
                              <w:tc>
                                <w:tcPr>
                                  <w:tcW w:w="566" w:type="pct"/>
                                  <w:tcBorders>
                                    <w:top w:val="nil"/>
                                    <w:left w:val="nil"/>
                                    <w:bottom w:val="nil"/>
                                    <w:right w:val="nil"/>
                                  </w:tcBorders>
                                  <w:hideMark/>
                                </w:tcPr>
                                <w:p w14:paraId="31140C8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9.2 </w:t>
                                  </w:r>
                                </w:p>
                              </w:tc>
                              <w:tc>
                                <w:tcPr>
                                  <w:tcW w:w="566" w:type="pct"/>
                                  <w:tcBorders>
                                    <w:top w:val="nil"/>
                                    <w:left w:val="nil"/>
                                    <w:bottom w:val="nil"/>
                                    <w:right w:val="nil"/>
                                  </w:tcBorders>
                                  <w:hideMark/>
                                </w:tcPr>
                                <w:p w14:paraId="6930A16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9.6 </w:t>
                                  </w:r>
                                </w:p>
                              </w:tc>
                              <w:tc>
                                <w:tcPr>
                                  <w:tcW w:w="566" w:type="pct"/>
                                  <w:tcBorders>
                                    <w:top w:val="nil"/>
                                    <w:left w:val="nil"/>
                                    <w:bottom w:val="nil"/>
                                    <w:right w:val="nil"/>
                                  </w:tcBorders>
                                  <w:hideMark/>
                                </w:tcPr>
                                <w:p w14:paraId="09ACE5E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9.3 </w:t>
                                  </w:r>
                                </w:p>
                              </w:tc>
                            </w:tr>
                            <w:tr w:rsidR="00781EC6" w:rsidRPr="00781EC6" w14:paraId="1948C0B6" w14:textId="77777777" w:rsidTr="00781EC6">
                              <w:trPr>
                                <w:trHeight w:val="204"/>
                              </w:trPr>
                              <w:tc>
                                <w:tcPr>
                                  <w:tcW w:w="1605" w:type="pct"/>
                                  <w:tcBorders>
                                    <w:top w:val="nil"/>
                                    <w:left w:val="nil"/>
                                    <w:bottom w:val="nil"/>
                                    <w:right w:val="nil"/>
                                  </w:tcBorders>
                                  <w:noWrap/>
                                  <w:hideMark/>
                                </w:tcPr>
                                <w:p w14:paraId="7A2B7E8D"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Intangibles</w:t>
                                  </w:r>
                                </w:p>
                              </w:tc>
                              <w:tc>
                                <w:tcPr>
                                  <w:tcW w:w="566" w:type="pct"/>
                                  <w:tcBorders>
                                    <w:top w:val="nil"/>
                                    <w:left w:val="nil"/>
                                    <w:bottom w:val="nil"/>
                                    <w:right w:val="nil"/>
                                  </w:tcBorders>
                                  <w:hideMark/>
                                </w:tcPr>
                                <w:p w14:paraId="71A2E07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1089BE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0F5C027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57D6798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5A00E6A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F9DF18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r>
                            <w:tr w:rsidR="00781EC6" w:rsidRPr="00781EC6" w14:paraId="026C2293" w14:textId="77777777" w:rsidTr="00781EC6">
                              <w:trPr>
                                <w:trHeight w:val="204"/>
                              </w:trPr>
                              <w:tc>
                                <w:tcPr>
                                  <w:tcW w:w="1605" w:type="pct"/>
                                  <w:tcBorders>
                                    <w:top w:val="nil"/>
                                    <w:left w:val="nil"/>
                                    <w:bottom w:val="nil"/>
                                    <w:right w:val="nil"/>
                                  </w:tcBorders>
                                  <w:noWrap/>
                                  <w:hideMark/>
                                </w:tcPr>
                                <w:p w14:paraId="1715BDC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Receivable Long-Term</w:t>
                                  </w:r>
                                </w:p>
                              </w:tc>
                              <w:tc>
                                <w:tcPr>
                                  <w:tcW w:w="566" w:type="pct"/>
                                  <w:tcBorders>
                                    <w:top w:val="nil"/>
                                    <w:left w:val="nil"/>
                                    <w:bottom w:val="nil"/>
                                    <w:right w:val="nil"/>
                                  </w:tcBorders>
                                  <w:hideMark/>
                                </w:tcPr>
                                <w:p w14:paraId="381EC6A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0FB7A71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2.5 </w:t>
                                  </w:r>
                                </w:p>
                              </w:tc>
                              <w:tc>
                                <w:tcPr>
                                  <w:tcW w:w="566" w:type="pct"/>
                                  <w:tcBorders>
                                    <w:top w:val="nil"/>
                                    <w:left w:val="nil"/>
                                    <w:bottom w:val="nil"/>
                                    <w:right w:val="nil"/>
                                  </w:tcBorders>
                                  <w:hideMark/>
                                </w:tcPr>
                                <w:p w14:paraId="139226E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68EC187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447309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0C3FB0B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r>
                            <w:tr w:rsidR="00781EC6" w:rsidRPr="00781EC6" w14:paraId="511569A5" w14:textId="77777777" w:rsidTr="00781EC6">
                              <w:trPr>
                                <w:trHeight w:val="204"/>
                              </w:trPr>
                              <w:tc>
                                <w:tcPr>
                                  <w:tcW w:w="1605" w:type="pct"/>
                                  <w:tcBorders>
                                    <w:top w:val="nil"/>
                                    <w:left w:val="nil"/>
                                    <w:bottom w:val="nil"/>
                                    <w:right w:val="nil"/>
                                  </w:tcBorders>
                                  <w:noWrap/>
                                  <w:hideMark/>
                                </w:tcPr>
                                <w:p w14:paraId="097701B3"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Deferred Tax Assets, LT</w:t>
                                  </w:r>
                                </w:p>
                              </w:tc>
                              <w:tc>
                                <w:tcPr>
                                  <w:tcW w:w="566" w:type="pct"/>
                                  <w:tcBorders>
                                    <w:top w:val="nil"/>
                                    <w:left w:val="nil"/>
                                    <w:bottom w:val="nil"/>
                                    <w:right w:val="nil"/>
                                  </w:tcBorders>
                                  <w:hideMark/>
                                </w:tcPr>
                                <w:p w14:paraId="3588EE8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0.9 </w:t>
                                  </w:r>
                                </w:p>
                              </w:tc>
                              <w:tc>
                                <w:tcPr>
                                  <w:tcW w:w="566" w:type="pct"/>
                                  <w:tcBorders>
                                    <w:top w:val="nil"/>
                                    <w:left w:val="nil"/>
                                    <w:bottom w:val="nil"/>
                                    <w:right w:val="nil"/>
                                  </w:tcBorders>
                                  <w:hideMark/>
                                </w:tcPr>
                                <w:p w14:paraId="613341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0.8 </w:t>
                                  </w:r>
                                </w:p>
                              </w:tc>
                              <w:tc>
                                <w:tcPr>
                                  <w:tcW w:w="566" w:type="pct"/>
                                  <w:tcBorders>
                                    <w:top w:val="nil"/>
                                    <w:left w:val="nil"/>
                                    <w:bottom w:val="nil"/>
                                    <w:right w:val="nil"/>
                                  </w:tcBorders>
                                  <w:hideMark/>
                                </w:tcPr>
                                <w:p w14:paraId="0665546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0.7 </w:t>
                                  </w:r>
                                </w:p>
                              </w:tc>
                              <w:tc>
                                <w:tcPr>
                                  <w:tcW w:w="566" w:type="pct"/>
                                  <w:tcBorders>
                                    <w:top w:val="nil"/>
                                    <w:left w:val="nil"/>
                                    <w:bottom w:val="nil"/>
                                    <w:right w:val="nil"/>
                                  </w:tcBorders>
                                  <w:hideMark/>
                                </w:tcPr>
                                <w:p w14:paraId="78629E2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7A5AD9C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0A61480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r>
                            <w:tr w:rsidR="00781EC6" w:rsidRPr="00781EC6" w14:paraId="30076B99" w14:textId="77777777" w:rsidTr="00781EC6">
                              <w:trPr>
                                <w:trHeight w:val="204"/>
                              </w:trPr>
                              <w:tc>
                                <w:tcPr>
                                  <w:tcW w:w="1605" w:type="pct"/>
                                  <w:tcBorders>
                                    <w:top w:val="nil"/>
                                    <w:left w:val="nil"/>
                                    <w:bottom w:val="nil"/>
                                    <w:right w:val="nil"/>
                                  </w:tcBorders>
                                  <w:noWrap/>
                                  <w:hideMark/>
                                </w:tcPr>
                                <w:p w14:paraId="3D82B9C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Long-Term Assets</w:t>
                                  </w:r>
                                </w:p>
                              </w:tc>
                              <w:tc>
                                <w:tcPr>
                                  <w:tcW w:w="566" w:type="pct"/>
                                  <w:tcBorders>
                                    <w:top w:val="nil"/>
                                    <w:left w:val="nil"/>
                                    <w:bottom w:val="nil"/>
                                    <w:right w:val="nil"/>
                                  </w:tcBorders>
                                  <w:hideMark/>
                                </w:tcPr>
                                <w:p w14:paraId="5B1D00A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02AEAA7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01CF2A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1.4 </w:t>
                                  </w:r>
                                </w:p>
                              </w:tc>
                              <w:tc>
                                <w:tcPr>
                                  <w:tcW w:w="566" w:type="pct"/>
                                  <w:tcBorders>
                                    <w:top w:val="nil"/>
                                    <w:left w:val="nil"/>
                                    <w:bottom w:val="nil"/>
                                    <w:right w:val="nil"/>
                                  </w:tcBorders>
                                  <w:hideMark/>
                                </w:tcPr>
                                <w:p w14:paraId="039091C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5C3562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0721A01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r>
                            <w:tr w:rsidR="00781EC6" w:rsidRPr="00781EC6" w14:paraId="400D8B95" w14:textId="77777777" w:rsidTr="00781EC6">
                              <w:trPr>
                                <w:trHeight w:val="204"/>
                              </w:trPr>
                              <w:tc>
                                <w:tcPr>
                                  <w:tcW w:w="1605" w:type="pct"/>
                                  <w:tcBorders>
                                    <w:top w:val="nil"/>
                                    <w:left w:val="nil"/>
                                    <w:bottom w:val="nil"/>
                                    <w:right w:val="nil"/>
                                  </w:tcBorders>
                                  <w:noWrap/>
                                  <w:hideMark/>
                                </w:tcPr>
                                <w:p w14:paraId="27B78CDF"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Assets</w:t>
                                  </w:r>
                                </w:p>
                              </w:tc>
                              <w:tc>
                                <w:tcPr>
                                  <w:tcW w:w="566" w:type="pct"/>
                                  <w:tcBorders>
                                    <w:top w:val="single" w:sz="4" w:space="0" w:color="000000"/>
                                    <w:left w:val="nil"/>
                                    <w:bottom w:val="nil"/>
                                    <w:right w:val="nil"/>
                                  </w:tcBorders>
                                  <w:hideMark/>
                                </w:tcPr>
                                <w:p w14:paraId="47A41B0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57.8 </w:t>
                                  </w:r>
                                </w:p>
                              </w:tc>
                              <w:tc>
                                <w:tcPr>
                                  <w:tcW w:w="566" w:type="pct"/>
                                  <w:tcBorders>
                                    <w:top w:val="single" w:sz="4" w:space="0" w:color="000000"/>
                                    <w:left w:val="nil"/>
                                    <w:bottom w:val="nil"/>
                                    <w:right w:val="nil"/>
                                  </w:tcBorders>
                                  <w:hideMark/>
                                </w:tcPr>
                                <w:p w14:paraId="7DACE6F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58.2 </w:t>
                                  </w:r>
                                </w:p>
                              </w:tc>
                              <w:tc>
                                <w:tcPr>
                                  <w:tcW w:w="566" w:type="pct"/>
                                  <w:tcBorders>
                                    <w:top w:val="single" w:sz="4" w:space="0" w:color="000000"/>
                                    <w:left w:val="nil"/>
                                    <w:bottom w:val="nil"/>
                                    <w:right w:val="nil"/>
                                  </w:tcBorders>
                                  <w:hideMark/>
                                </w:tcPr>
                                <w:p w14:paraId="6D25069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54.2 </w:t>
                                  </w:r>
                                </w:p>
                              </w:tc>
                              <w:tc>
                                <w:tcPr>
                                  <w:tcW w:w="566" w:type="pct"/>
                                  <w:tcBorders>
                                    <w:top w:val="single" w:sz="4" w:space="0" w:color="000000"/>
                                    <w:left w:val="nil"/>
                                    <w:bottom w:val="nil"/>
                                    <w:right w:val="nil"/>
                                  </w:tcBorders>
                                  <w:hideMark/>
                                </w:tcPr>
                                <w:p w14:paraId="4079C01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60.4 </w:t>
                                  </w:r>
                                </w:p>
                              </w:tc>
                              <w:tc>
                                <w:tcPr>
                                  <w:tcW w:w="566" w:type="pct"/>
                                  <w:tcBorders>
                                    <w:top w:val="single" w:sz="4" w:space="0" w:color="000000"/>
                                    <w:left w:val="nil"/>
                                    <w:bottom w:val="nil"/>
                                    <w:right w:val="nil"/>
                                  </w:tcBorders>
                                  <w:hideMark/>
                                </w:tcPr>
                                <w:p w14:paraId="19CC17D7"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62.1 </w:t>
                                  </w:r>
                                </w:p>
                              </w:tc>
                              <w:tc>
                                <w:tcPr>
                                  <w:tcW w:w="566" w:type="pct"/>
                                  <w:tcBorders>
                                    <w:top w:val="single" w:sz="4" w:space="0" w:color="000000"/>
                                    <w:left w:val="nil"/>
                                    <w:bottom w:val="nil"/>
                                    <w:right w:val="nil"/>
                                  </w:tcBorders>
                                  <w:hideMark/>
                                </w:tcPr>
                                <w:p w14:paraId="45BB5DE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59.4 </w:t>
                                  </w:r>
                                </w:p>
                              </w:tc>
                            </w:tr>
                            <w:tr w:rsidR="00781EC6" w:rsidRPr="00781EC6" w14:paraId="21A4AB49" w14:textId="77777777" w:rsidTr="00781EC6">
                              <w:trPr>
                                <w:trHeight w:val="204"/>
                              </w:trPr>
                              <w:tc>
                                <w:tcPr>
                                  <w:tcW w:w="1605" w:type="pct"/>
                                  <w:tcBorders>
                                    <w:top w:val="nil"/>
                                    <w:left w:val="nil"/>
                                    <w:bottom w:val="nil"/>
                                    <w:right w:val="nil"/>
                                  </w:tcBorders>
                                  <w:noWrap/>
                                  <w:hideMark/>
                                </w:tcPr>
                                <w:p w14:paraId="62B09CDB"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LIABILITIES</w:t>
                                  </w:r>
                                </w:p>
                              </w:tc>
                              <w:tc>
                                <w:tcPr>
                                  <w:tcW w:w="566" w:type="pct"/>
                                  <w:tcBorders>
                                    <w:top w:val="nil"/>
                                    <w:left w:val="nil"/>
                                    <w:bottom w:val="nil"/>
                                    <w:right w:val="nil"/>
                                  </w:tcBorders>
                                  <w:noWrap/>
                                  <w:hideMark/>
                                </w:tcPr>
                                <w:p w14:paraId="2C7E7392"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p>
                              </w:tc>
                              <w:tc>
                                <w:tcPr>
                                  <w:tcW w:w="566" w:type="pct"/>
                                  <w:tcBorders>
                                    <w:top w:val="nil"/>
                                    <w:left w:val="nil"/>
                                    <w:bottom w:val="nil"/>
                                    <w:right w:val="nil"/>
                                  </w:tcBorders>
                                  <w:noWrap/>
                                  <w:hideMark/>
                                </w:tcPr>
                                <w:p w14:paraId="0A24851B"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361300DA"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2146CD6"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34A005B7"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7A080B41"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r>
                            <w:tr w:rsidR="00781EC6" w:rsidRPr="00781EC6" w14:paraId="7E0AE5FC" w14:textId="77777777" w:rsidTr="00781EC6">
                              <w:trPr>
                                <w:trHeight w:val="204"/>
                              </w:trPr>
                              <w:tc>
                                <w:tcPr>
                                  <w:tcW w:w="1605" w:type="pct"/>
                                  <w:tcBorders>
                                    <w:top w:val="nil"/>
                                    <w:left w:val="nil"/>
                                    <w:bottom w:val="nil"/>
                                    <w:right w:val="nil"/>
                                  </w:tcBorders>
                                  <w:noWrap/>
                                  <w:hideMark/>
                                </w:tcPr>
                                <w:p w14:paraId="454BCDEF"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Payable</w:t>
                                  </w:r>
                                </w:p>
                              </w:tc>
                              <w:tc>
                                <w:tcPr>
                                  <w:tcW w:w="566" w:type="pct"/>
                                  <w:tcBorders>
                                    <w:top w:val="nil"/>
                                    <w:left w:val="nil"/>
                                    <w:bottom w:val="nil"/>
                                    <w:right w:val="nil"/>
                                  </w:tcBorders>
                                  <w:hideMark/>
                                </w:tcPr>
                                <w:p w14:paraId="08282F6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13.0 </w:t>
                                  </w:r>
                                </w:p>
                              </w:tc>
                              <w:tc>
                                <w:tcPr>
                                  <w:tcW w:w="566" w:type="pct"/>
                                  <w:tcBorders>
                                    <w:top w:val="nil"/>
                                    <w:left w:val="nil"/>
                                    <w:bottom w:val="nil"/>
                                    <w:right w:val="nil"/>
                                  </w:tcBorders>
                                  <w:hideMark/>
                                </w:tcPr>
                                <w:p w14:paraId="08B04E2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12.9 </w:t>
                                  </w:r>
                                </w:p>
                              </w:tc>
                              <w:tc>
                                <w:tcPr>
                                  <w:tcW w:w="566" w:type="pct"/>
                                  <w:tcBorders>
                                    <w:top w:val="nil"/>
                                    <w:left w:val="nil"/>
                                    <w:bottom w:val="nil"/>
                                    <w:right w:val="nil"/>
                                  </w:tcBorders>
                                  <w:hideMark/>
                                </w:tcPr>
                                <w:p w14:paraId="6EB2002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12.4 </w:t>
                                  </w:r>
                                </w:p>
                              </w:tc>
                              <w:tc>
                                <w:tcPr>
                                  <w:tcW w:w="566" w:type="pct"/>
                                  <w:tcBorders>
                                    <w:top w:val="nil"/>
                                    <w:left w:val="nil"/>
                                    <w:bottom w:val="nil"/>
                                    <w:right w:val="nil"/>
                                  </w:tcBorders>
                                  <w:hideMark/>
                                </w:tcPr>
                                <w:p w14:paraId="3DBDEDC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12.9 </w:t>
                                  </w:r>
                                </w:p>
                              </w:tc>
                              <w:tc>
                                <w:tcPr>
                                  <w:tcW w:w="566" w:type="pct"/>
                                  <w:tcBorders>
                                    <w:top w:val="nil"/>
                                    <w:left w:val="nil"/>
                                    <w:bottom w:val="nil"/>
                                    <w:right w:val="nil"/>
                                  </w:tcBorders>
                                  <w:hideMark/>
                                </w:tcPr>
                                <w:p w14:paraId="3A56E77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13.5 </w:t>
                                  </w:r>
                                </w:p>
                              </w:tc>
                              <w:tc>
                                <w:tcPr>
                                  <w:tcW w:w="566" w:type="pct"/>
                                  <w:tcBorders>
                                    <w:top w:val="nil"/>
                                    <w:left w:val="nil"/>
                                    <w:bottom w:val="nil"/>
                                    <w:right w:val="nil"/>
                                  </w:tcBorders>
                                  <w:hideMark/>
                                </w:tcPr>
                                <w:p w14:paraId="32FBB99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13.6 </w:t>
                                  </w:r>
                                </w:p>
                              </w:tc>
                            </w:tr>
                            <w:tr w:rsidR="00781EC6" w:rsidRPr="00781EC6" w14:paraId="6AB581F2" w14:textId="77777777" w:rsidTr="00781EC6">
                              <w:trPr>
                                <w:trHeight w:val="204"/>
                              </w:trPr>
                              <w:tc>
                                <w:tcPr>
                                  <w:tcW w:w="1605" w:type="pct"/>
                                  <w:tcBorders>
                                    <w:top w:val="nil"/>
                                    <w:left w:val="nil"/>
                                    <w:bottom w:val="nil"/>
                                    <w:right w:val="nil"/>
                                  </w:tcBorders>
                                  <w:noWrap/>
                                  <w:hideMark/>
                                </w:tcPr>
                                <w:p w14:paraId="0325ED7C"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Accrued Exp.</w:t>
                                  </w:r>
                                </w:p>
                              </w:tc>
                              <w:tc>
                                <w:tcPr>
                                  <w:tcW w:w="566" w:type="pct"/>
                                  <w:tcBorders>
                                    <w:top w:val="nil"/>
                                    <w:left w:val="nil"/>
                                    <w:bottom w:val="nil"/>
                                    <w:right w:val="nil"/>
                                  </w:tcBorders>
                                  <w:hideMark/>
                                </w:tcPr>
                                <w:p w14:paraId="6114681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66EB17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2.9 </w:t>
                                  </w:r>
                                </w:p>
                              </w:tc>
                              <w:tc>
                                <w:tcPr>
                                  <w:tcW w:w="566" w:type="pct"/>
                                  <w:tcBorders>
                                    <w:top w:val="nil"/>
                                    <w:left w:val="nil"/>
                                    <w:bottom w:val="nil"/>
                                    <w:right w:val="nil"/>
                                  </w:tcBorders>
                                  <w:hideMark/>
                                </w:tcPr>
                                <w:p w14:paraId="64038A7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76E3DD5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1EAFDC0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2.8 </w:t>
                                  </w:r>
                                </w:p>
                              </w:tc>
                              <w:tc>
                                <w:tcPr>
                                  <w:tcW w:w="566" w:type="pct"/>
                                  <w:tcBorders>
                                    <w:top w:val="nil"/>
                                    <w:left w:val="nil"/>
                                    <w:bottom w:val="nil"/>
                                    <w:right w:val="nil"/>
                                  </w:tcBorders>
                                  <w:hideMark/>
                                </w:tcPr>
                                <w:p w14:paraId="5B97D43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2.9 </w:t>
                                  </w:r>
                                </w:p>
                              </w:tc>
                            </w:tr>
                            <w:tr w:rsidR="00781EC6" w:rsidRPr="00781EC6" w14:paraId="184E5BD4" w14:textId="77777777" w:rsidTr="00781EC6">
                              <w:trPr>
                                <w:trHeight w:val="204"/>
                              </w:trPr>
                              <w:tc>
                                <w:tcPr>
                                  <w:tcW w:w="1605" w:type="pct"/>
                                  <w:tcBorders>
                                    <w:top w:val="nil"/>
                                    <w:left w:val="nil"/>
                                    <w:bottom w:val="nil"/>
                                    <w:right w:val="nil"/>
                                  </w:tcBorders>
                                  <w:noWrap/>
                                  <w:hideMark/>
                                </w:tcPr>
                                <w:p w14:paraId="504708B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Short-term Borrowings</w:t>
                                  </w:r>
                                </w:p>
                              </w:tc>
                              <w:tc>
                                <w:tcPr>
                                  <w:tcW w:w="566" w:type="pct"/>
                                  <w:tcBorders>
                                    <w:top w:val="nil"/>
                                    <w:left w:val="nil"/>
                                    <w:bottom w:val="nil"/>
                                    <w:right w:val="nil"/>
                                  </w:tcBorders>
                                  <w:hideMark/>
                                </w:tcPr>
                                <w:p w14:paraId="502537B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3ED7DB1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79FC2F1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5AA727E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59B2725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2DD9D1B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r>
                            <w:tr w:rsidR="00781EC6" w:rsidRPr="00781EC6" w14:paraId="1D039871" w14:textId="77777777" w:rsidTr="00781EC6">
                              <w:trPr>
                                <w:trHeight w:val="204"/>
                              </w:trPr>
                              <w:tc>
                                <w:tcPr>
                                  <w:tcW w:w="1605" w:type="pct"/>
                                  <w:tcBorders>
                                    <w:top w:val="nil"/>
                                    <w:left w:val="nil"/>
                                    <w:bottom w:val="nil"/>
                                    <w:right w:val="nil"/>
                                  </w:tcBorders>
                                  <w:noWrap/>
                                  <w:hideMark/>
                                </w:tcPr>
                                <w:p w14:paraId="1125966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Port. of LT Debt</w:t>
                                  </w:r>
                                </w:p>
                              </w:tc>
                              <w:tc>
                                <w:tcPr>
                                  <w:tcW w:w="566" w:type="pct"/>
                                  <w:tcBorders>
                                    <w:top w:val="nil"/>
                                    <w:left w:val="nil"/>
                                    <w:bottom w:val="nil"/>
                                    <w:right w:val="nil"/>
                                  </w:tcBorders>
                                  <w:hideMark/>
                                </w:tcPr>
                                <w:p w14:paraId="6A07C4B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5.3 </w:t>
                                  </w:r>
                                </w:p>
                              </w:tc>
                              <w:tc>
                                <w:tcPr>
                                  <w:tcW w:w="566" w:type="pct"/>
                                  <w:tcBorders>
                                    <w:top w:val="nil"/>
                                    <w:left w:val="nil"/>
                                    <w:bottom w:val="nil"/>
                                    <w:right w:val="nil"/>
                                  </w:tcBorders>
                                  <w:hideMark/>
                                </w:tcPr>
                                <w:p w14:paraId="4712450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5.1 </w:t>
                                  </w:r>
                                </w:p>
                              </w:tc>
                              <w:tc>
                                <w:tcPr>
                                  <w:tcW w:w="566" w:type="pct"/>
                                  <w:tcBorders>
                                    <w:top w:val="nil"/>
                                    <w:left w:val="nil"/>
                                    <w:bottom w:val="nil"/>
                                    <w:right w:val="nil"/>
                                  </w:tcBorders>
                                  <w:hideMark/>
                                </w:tcPr>
                                <w:p w14:paraId="22EFA96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4.8 </w:t>
                                  </w:r>
                                </w:p>
                              </w:tc>
                              <w:tc>
                                <w:tcPr>
                                  <w:tcW w:w="566" w:type="pct"/>
                                  <w:tcBorders>
                                    <w:top w:val="nil"/>
                                    <w:left w:val="nil"/>
                                    <w:bottom w:val="nil"/>
                                    <w:right w:val="nil"/>
                                  </w:tcBorders>
                                  <w:hideMark/>
                                </w:tcPr>
                                <w:p w14:paraId="5F4308F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6.1 </w:t>
                                  </w:r>
                                </w:p>
                              </w:tc>
                              <w:tc>
                                <w:tcPr>
                                  <w:tcW w:w="566" w:type="pct"/>
                                  <w:tcBorders>
                                    <w:top w:val="nil"/>
                                    <w:left w:val="nil"/>
                                    <w:bottom w:val="nil"/>
                                    <w:right w:val="nil"/>
                                  </w:tcBorders>
                                  <w:hideMark/>
                                </w:tcPr>
                                <w:p w14:paraId="29BCEF0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6.5 </w:t>
                                  </w:r>
                                </w:p>
                              </w:tc>
                              <w:tc>
                                <w:tcPr>
                                  <w:tcW w:w="566" w:type="pct"/>
                                  <w:tcBorders>
                                    <w:top w:val="nil"/>
                                    <w:left w:val="nil"/>
                                    <w:bottom w:val="nil"/>
                                    <w:right w:val="nil"/>
                                  </w:tcBorders>
                                  <w:hideMark/>
                                </w:tcPr>
                                <w:p w14:paraId="502B024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6.0 </w:t>
                                  </w:r>
                                </w:p>
                              </w:tc>
                            </w:tr>
                            <w:tr w:rsidR="00781EC6" w:rsidRPr="00781EC6" w14:paraId="7ED80F16" w14:textId="77777777" w:rsidTr="00781EC6">
                              <w:trPr>
                                <w:trHeight w:val="204"/>
                              </w:trPr>
                              <w:tc>
                                <w:tcPr>
                                  <w:tcW w:w="1605" w:type="pct"/>
                                  <w:tcBorders>
                                    <w:top w:val="nil"/>
                                    <w:left w:val="nil"/>
                                    <w:bottom w:val="nil"/>
                                    <w:right w:val="nil"/>
                                  </w:tcBorders>
                                  <w:noWrap/>
                                  <w:hideMark/>
                                </w:tcPr>
                                <w:p w14:paraId="2DFBEC7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Port. of Leases</w:t>
                                  </w:r>
                                </w:p>
                              </w:tc>
                              <w:tc>
                                <w:tcPr>
                                  <w:tcW w:w="566" w:type="pct"/>
                                  <w:tcBorders>
                                    <w:top w:val="nil"/>
                                    <w:left w:val="nil"/>
                                    <w:bottom w:val="nil"/>
                                    <w:right w:val="nil"/>
                                  </w:tcBorders>
                                  <w:hideMark/>
                                </w:tcPr>
                                <w:p w14:paraId="34AA3FC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025EA7B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0455D8B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6C67191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c>
                                <w:tcPr>
                                  <w:tcW w:w="566" w:type="pct"/>
                                  <w:tcBorders>
                                    <w:top w:val="nil"/>
                                    <w:left w:val="nil"/>
                                    <w:bottom w:val="nil"/>
                                    <w:right w:val="nil"/>
                                  </w:tcBorders>
                                  <w:hideMark/>
                                </w:tcPr>
                                <w:p w14:paraId="4A3AF5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52ED90C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r>
                            <w:tr w:rsidR="00781EC6" w:rsidRPr="00781EC6" w14:paraId="4555C0AF" w14:textId="77777777" w:rsidTr="00781EC6">
                              <w:trPr>
                                <w:trHeight w:val="204"/>
                              </w:trPr>
                              <w:tc>
                                <w:tcPr>
                                  <w:tcW w:w="1605" w:type="pct"/>
                                  <w:tcBorders>
                                    <w:top w:val="nil"/>
                                    <w:left w:val="nil"/>
                                    <w:bottom w:val="nil"/>
                                    <w:right w:val="nil"/>
                                  </w:tcBorders>
                                  <w:noWrap/>
                                  <w:hideMark/>
                                </w:tcPr>
                                <w:p w14:paraId="41C7B54E"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Income Taxes Payable</w:t>
                                  </w:r>
                                </w:p>
                              </w:tc>
                              <w:tc>
                                <w:tcPr>
                                  <w:tcW w:w="566" w:type="pct"/>
                                  <w:tcBorders>
                                    <w:top w:val="nil"/>
                                    <w:left w:val="nil"/>
                                    <w:bottom w:val="nil"/>
                                    <w:right w:val="nil"/>
                                  </w:tcBorders>
                                  <w:hideMark/>
                                </w:tcPr>
                                <w:p w14:paraId="258343F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37D3DB7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559616B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79F1C8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4B9306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25A82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r>
                            <w:tr w:rsidR="00781EC6" w:rsidRPr="00781EC6" w14:paraId="774EBC54" w14:textId="77777777" w:rsidTr="00781EC6">
                              <w:trPr>
                                <w:trHeight w:val="204"/>
                              </w:trPr>
                              <w:tc>
                                <w:tcPr>
                                  <w:tcW w:w="1605" w:type="pct"/>
                                  <w:tcBorders>
                                    <w:top w:val="nil"/>
                                    <w:left w:val="nil"/>
                                    <w:bottom w:val="nil"/>
                                    <w:right w:val="nil"/>
                                  </w:tcBorders>
                                  <w:noWrap/>
                                  <w:hideMark/>
                                </w:tcPr>
                                <w:p w14:paraId="05CDCC6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Unearned Revenue, Current</w:t>
                                  </w:r>
                                </w:p>
                              </w:tc>
                              <w:tc>
                                <w:tcPr>
                                  <w:tcW w:w="566" w:type="pct"/>
                                  <w:tcBorders>
                                    <w:top w:val="nil"/>
                                    <w:left w:val="nil"/>
                                    <w:bottom w:val="nil"/>
                                    <w:right w:val="nil"/>
                                  </w:tcBorders>
                                  <w:hideMark/>
                                </w:tcPr>
                                <w:p w14:paraId="4326275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29BFEB6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42B5B99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509E798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6AA9F4E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15263F1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r>
                            <w:tr w:rsidR="00781EC6" w:rsidRPr="00781EC6" w14:paraId="53D44AF4" w14:textId="77777777" w:rsidTr="00781EC6">
                              <w:trPr>
                                <w:trHeight w:val="204"/>
                              </w:trPr>
                              <w:tc>
                                <w:tcPr>
                                  <w:tcW w:w="1605" w:type="pct"/>
                                  <w:tcBorders>
                                    <w:top w:val="nil"/>
                                    <w:left w:val="nil"/>
                                    <w:bottom w:val="nil"/>
                                    <w:right w:val="nil"/>
                                  </w:tcBorders>
                                  <w:noWrap/>
                                  <w:hideMark/>
                                </w:tcPr>
                                <w:p w14:paraId="229BC91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Current Liabilities</w:t>
                                  </w:r>
                                </w:p>
                              </w:tc>
                              <w:tc>
                                <w:tcPr>
                                  <w:tcW w:w="566" w:type="pct"/>
                                  <w:tcBorders>
                                    <w:top w:val="nil"/>
                                    <w:left w:val="nil"/>
                                    <w:bottom w:val="nil"/>
                                    <w:right w:val="nil"/>
                                  </w:tcBorders>
                                  <w:hideMark/>
                                </w:tcPr>
                                <w:p w14:paraId="4D7E6AD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3.6 </w:t>
                                  </w:r>
                                </w:p>
                              </w:tc>
                              <w:tc>
                                <w:tcPr>
                                  <w:tcW w:w="566" w:type="pct"/>
                                  <w:tcBorders>
                                    <w:top w:val="nil"/>
                                    <w:left w:val="nil"/>
                                    <w:bottom w:val="nil"/>
                                    <w:right w:val="nil"/>
                                  </w:tcBorders>
                                  <w:hideMark/>
                                </w:tcPr>
                                <w:p w14:paraId="05D4D09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3.7 </w:t>
                                  </w:r>
                                </w:p>
                              </w:tc>
                              <w:tc>
                                <w:tcPr>
                                  <w:tcW w:w="566" w:type="pct"/>
                                  <w:tcBorders>
                                    <w:top w:val="nil"/>
                                    <w:left w:val="nil"/>
                                    <w:bottom w:val="nil"/>
                                    <w:right w:val="nil"/>
                                  </w:tcBorders>
                                  <w:hideMark/>
                                </w:tcPr>
                                <w:p w14:paraId="5053ADB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353D06E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5.1 </w:t>
                                  </w:r>
                                </w:p>
                              </w:tc>
                              <w:tc>
                                <w:tcPr>
                                  <w:tcW w:w="566" w:type="pct"/>
                                  <w:tcBorders>
                                    <w:top w:val="nil"/>
                                    <w:left w:val="nil"/>
                                    <w:bottom w:val="nil"/>
                                    <w:right w:val="nil"/>
                                  </w:tcBorders>
                                  <w:hideMark/>
                                </w:tcPr>
                                <w:p w14:paraId="013F6E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3.5 </w:t>
                                  </w:r>
                                </w:p>
                              </w:tc>
                              <w:tc>
                                <w:tcPr>
                                  <w:tcW w:w="566" w:type="pct"/>
                                  <w:tcBorders>
                                    <w:top w:val="nil"/>
                                    <w:left w:val="nil"/>
                                    <w:bottom w:val="nil"/>
                                    <w:right w:val="nil"/>
                                  </w:tcBorders>
                                  <w:hideMark/>
                                </w:tcPr>
                                <w:p w14:paraId="79873A4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3.1 </w:t>
                                  </w:r>
                                </w:p>
                              </w:tc>
                            </w:tr>
                            <w:tr w:rsidR="00781EC6" w:rsidRPr="00781EC6" w14:paraId="124C9AF7" w14:textId="77777777" w:rsidTr="00781EC6">
                              <w:trPr>
                                <w:trHeight w:val="204"/>
                              </w:trPr>
                              <w:tc>
                                <w:tcPr>
                                  <w:tcW w:w="1605" w:type="pct"/>
                                  <w:tcBorders>
                                    <w:top w:val="nil"/>
                                    <w:left w:val="nil"/>
                                    <w:bottom w:val="nil"/>
                                    <w:right w:val="nil"/>
                                  </w:tcBorders>
                                  <w:noWrap/>
                                  <w:hideMark/>
                                </w:tcPr>
                                <w:p w14:paraId="124C53D3"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Current Liabilities</w:t>
                                  </w:r>
                                </w:p>
                              </w:tc>
                              <w:tc>
                                <w:tcPr>
                                  <w:tcW w:w="566" w:type="pct"/>
                                  <w:tcBorders>
                                    <w:top w:val="single" w:sz="4" w:space="0" w:color="000000"/>
                                    <w:left w:val="nil"/>
                                    <w:bottom w:val="nil"/>
                                    <w:right w:val="nil"/>
                                  </w:tcBorders>
                                  <w:hideMark/>
                                </w:tcPr>
                                <w:p w14:paraId="15388FA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25.9 </w:t>
                                  </w:r>
                                </w:p>
                              </w:tc>
                              <w:tc>
                                <w:tcPr>
                                  <w:tcW w:w="566" w:type="pct"/>
                                  <w:tcBorders>
                                    <w:top w:val="single" w:sz="4" w:space="0" w:color="000000"/>
                                    <w:left w:val="nil"/>
                                    <w:bottom w:val="nil"/>
                                    <w:right w:val="nil"/>
                                  </w:tcBorders>
                                  <w:hideMark/>
                                </w:tcPr>
                                <w:p w14:paraId="35ECF1BC"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26.1 </w:t>
                                  </w:r>
                                </w:p>
                              </w:tc>
                              <w:tc>
                                <w:tcPr>
                                  <w:tcW w:w="566" w:type="pct"/>
                                  <w:tcBorders>
                                    <w:top w:val="single" w:sz="4" w:space="0" w:color="000000"/>
                                    <w:left w:val="nil"/>
                                    <w:bottom w:val="nil"/>
                                    <w:right w:val="nil"/>
                                  </w:tcBorders>
                                  <w:hideMark/>
                                </w:tcPr>
                                <w:p w14:paraId="5E0285D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25.2 </w:t>
                                  </w:r>
                                </w:p>
                              </w:tc>
                              <w:tc>
                                <w:tcPr>
                                  <w:tcW w:w="566" w:type="pct"/>
                                  <w:tcBorders>
                                    <w:top w:val="single" w:sz="4" w:space="0" w:color="000000"/>
                                    <w:left w:val="nil"/>
                                    <w:bottom w:val="nil"/>
                                    <w:right w:val="nil"/>
                                  </w:tcBorders>
                                  <w:hideMark/>
                                </w:tcPr>
                                <w:p w14:paraId="21D6AE4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28.8 </w:t>
                                  </w:r>
                                </w:p>
                              </w:tc>
                              <w:tc>
                                <w:tcPr>
                                  <w:tcW w:w="566" w:type="pct"/>
                                  <w:tcBorders>
                                    <w:top w:val="single" w:sz="4" w:space="0" w:color="000000"/>
                                    <w:left w:val="nil"/>
                                    <w:bottom w:val="nil"/>
                                    <w:right w:val="nil"/>
                                  </w:tcBorders>
                                  <w:hideMark/>
                                </w:tcPr>
                                <w:p w14:paraId="43E8B3B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28.0 </w:t>
                                  </w:r>
                                </w:p>
                              </w:tc>
                              <w:tc>
                                <w:tcPr>
                                  <w:tcW w:w="566" w:type="pct"/>
                                  <w:tcBorders>
                                    <w:top w:val="single" w:sz="4" w:space="0" w:color="000000"/>
                                    <w:left w:val="nil"/>
                                    <w:bottom w:val="nil"/>
                                    <w:right w:val="nil"/>
                                  </w:tcBorders>
                                  <w:hideMark/>
                                </w:tcPr>
                                <w:p w14:paraId="5142FF6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28.1 </w:t>
                                  </w:r>
                                </w:p>
                              </w:tc>
                            </w:tr>
                            <w:tr w:rsidR="00781EC6" w:rsidRPr="00781EC6" w14:paraId="36FB174A" w14:textId="77777777" w:rsidTr="00781EC6">
                              <w:trPr>
                                <w:trHeight w:val="204"/>
                              </w:trPr>
                              <w:tc>
                                <w:tcPr>
                                  <w:tcW w:w="1605" w:type="pct"/>
                                  <w:tcBorders>
                                    <w:top w:val="nil"/>
                                    <w:left w:val="nil"/>
                                    <w:bottom w:val="nil"/>
                                    <w:right w:val="nil"/>
                                  </w:tcBorders>
                                  <w:noWrap/>
                                  <w:hideMark/>
                                </w:tcPr>
                                <w:p w14:paraId="1FE19DF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Debt</w:t>
                                  </w:r>
                                </w:p>
                              </w:tc>
                              <w:tc>
                                <w:tcPr>
                                  <w:tcW w:w="566" w:type="pct"/>
                                  <w:tcBorders>
                                    <w:top w:val="nil"/>
                                    <w:left w:val="nil"/>
                                    <w:bottom w:val="nil"/>
                                    <w:right w:val="nil"/>
                                  </w:tcBorders>
                                  <w:hideMark/>
                                </w:tcPr>
                                <w:p w14:paraId="2D75FB5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9.1 </w:t>
                                  </w:r>
                                </w:p>
                              </w:tc>
                              <w:tc>
                                <w:tcPr>
                                  <w:tcW w:w="566" w:type="pct"/>
                                  <w:tcBorders>
                                    <w:top w:val="nil"/>
                                    <w:left w:val="nil"/>
                                    <w:bottom w:val="nil"/>
                                    <w:right w:val="nil"/>
                                  </w:tcBorders>
                                  <w:hideMark/>
                                </w:tcPr>
                                <w:p w14:paraId="22377CE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9.6 </w:t>
                                  </w:r>
                                </w:p>
                              </w:tc>
                              <w:tc>
                                <w:tcPr>
                                  <w:tcW w:w="566" w:type="pct"/>
                                  <w:tcBorders>
                                    <w:top w:val="nil"/>
                                    <w:left w:val="nil"/>
                                    <w:bottom w:val="nil"/>
                                    <w:right w:val="nil"/>
                                  </w:tcBorders>
                                  <w:hideMark/>
                                </w:tcPr>
                                <w:p w14:paraId="45BEF3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8.0 </w:t>
                                  </w:r>
                                </w:p>
                              </w:tc>
                              <w:tc>
                                <w:tcPr>
                                  <w:tcW w:w="566" w:type="pct"/>
                                  <w:tcBorders>
                                    <w:top w:val="nil"/>
                                    <w:left w:val="nil"/>
                                    <w:bottom w:val="nil"/>
                                    <w:right w:val="nil"/>
                                  </w:tcBorders>
                                  <w:hideMark/>
                                </w:tcPr>
                                <w:p w14:paraId="498594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9.0 </w:t>
                                  </w:r>
                                </w:p>
                              </w:tc>
                              <w:tc>
                                <w:tcPr>
                                  <w:tcW w:w="566" w:type="pct"/>
                                  <w:tcBorders>
                                    <w:top w:val="nil"/>
                                    <w:left w:val="nil"/>
                                    <w:bottom w:val="nil"/>
                                    <w:right w:val="nil"/>
                                  </w:tcBorders>
                                  <w:hideMark/>
                                </w:tcPr>
                                <w:p w14:paraId="24A3531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10.2 </w:t>
                                  </w:r>
                                </w:p>
                              </w:tc>
                              <w:tc>
                                <w:tcPr>
                                  <w:tcW w:w="566" w:type="pct"/>
                                  <w:tcBorders>
                                    <w:top w:val="nil"/>
                                    <w:left w:val="nil"/>
                                    <w:bottom w:val="nil"/>
                                    <w:right w:val="nil"/>
                                  </w:tcBorders>
                                  <w:hideMark/>
                                </w:tcPr>
                                <w:p w14:paraId="28B8074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10.0 </w:t>
                                  </w:r>
                                </w:p>
                              </w:tc>
                            </w:tr>
                            <w:tr w:rsidR="00781EC6" w:rsidRPr="00781EC6" w14:paraId="3F4F8F80" w14:textId="77777777" w:rsidTr="00781EC6">
                              <w:trPr>
                                <w:trHeight w:val="204"/>
                              </w:trPr>
                              <w:tc>
                                <w:tcPr>
                                  <w:tcW w:w="1605" w:type="pct"/>
                                  <w:tcBorders>
                                    <w:top w:val="nil"/>
                                    <w:left w:val="nil"/>
                                    <w:bottom w:val="nil"/>
                                    <w:right w:val="nil"/>
                                  </w:tcBorders>
                                  <w:noWrap/>
                                  <w:hideMark/>
                                </w:tcPr>
                                <w:p w14:paraId="59B9411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Leases</w:t>
                                  </w:r>
                                </w:p>
                              </w:tc>
                              <w:tc>
                                <w:tcPr>
                                  <w:tcW w:w="566" w:type="pct"/>
                                  <w:tcBorders>
                                    <w:top w:val="nil"/>
                                    <w:left w:val="nil"/>
                                    <w:bottom w:val="nil"/>
                                    <w:right w:val="nil"/>
                                  </w:tcBorders>
                                  <w:hideMark/>
                                </w:tcPr>
                                <w:p w14:paraId="33029C3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4.8 </w:t>
                                  </w:r>
                                </w:p>
                              </w:tc>
                              <w:tc>
                                <w:tcPr>
                                  <w:tcW w:w="566" w:type="pct"/>
                                  <w:tcBorders>
                                    <w:top w:val="nil"/>
                                    <w:left w:val="nil"/>
                                    <w:bottom w:val="nil"/>
                                    <w:right w:val="nil"/>
                                  </w:tcBorders>
                                  <w:hideMark/>
                                </w:tcPr>
                                <w:p w14:paraId="0630D9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4.6 </w:t>
                                  </w:r>
                                </w:p>
                              </w:tc>
                              <w:tc>
                                <w:tcPr>
                                  <w:tcW w:w="566" w:type="pct"/>
                                  <w:tcBorders>
                                    <w:top w:val="nil"/>
                                    <w:left w:val="nil"/>
                                    <w:bottom w:val="nil"/>
                                    <w:right w:val="nil"/>
                                  </w:tcBorders>
                                  <w:hideMark/>
                                </w:tcPr>
                                <w:p w14:paraId="1B1AC16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 </w:t>
                                  </w:r>
                                </w:p>
                              </w:tc>
                              <w:tc>
                                <w:tcPr>
                                  <w:tcW w:w="566" w:type="pct"/>
                                  <w:tcBorders>
                                    <w:top w:val="nil"/>
                                    <w:left w:val="nil"/>
                                    <w:bottom w:val="nil"/>
                                    <w:right w:val="nil"/>
                                  </w:tcBorders>
                                  <w:hideMark/>
                                </w:tcPr>
                                <w:p w14:paraId="6C7B195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4987CE8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4.3 </w:t>
                                  </w:r>
                                </w:p>
                              </w:tc>
                              <w:tc>
                                <w:tcPr>
                                  <w:tcW w:w="566" w:type="pct"/>
                                  <w:tcBorders>
                                    <w:top w:val="nil"/>
                                    <w:left w:val="nil"/>
                                    <w:bottom w:val="nil"/>
                                    <w:right w:val="nil"/>
                                  </w:tcBorders>
                                  <w:hideMark/>
                                </w:tcPr>
                                <w:p w14:paraId="7A0C276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 </w:t>
                                  </w:r>
                                </w:p>
                              </w:tc>
                            </w:tr>
                            <w:tr w:rsidR="00781EC6" w:rsidRPr="00781EC6" w14:paraId="14F226D4" w14:textId="77777777" w:rsidTr="00781EC6">
                              <w:trPr>
                                <w:trHeight w:val="204"/>
                              </w:trPr>
                              <w:tc>
                                <w:tcPr>
                                  <w:tcW w:w="1605" w:type="pct"/>
                                  <w:tcBorders>
                                    <w:top w:val="nil"/>
                                    <w:left w:val="nil"/>
                                    <w:bottom w:val="nil"/>
                                    <w:right w:val="nil"/>
                                  </w:tcBorders>
                                  <w:noWrap/>
                                  <w:hideMark/>
                                </w:tcPr>
                                <w:p w14:paraId="6A4104A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Pension &amp; Other Post-Retire. Benefits</w:t>
                                  </w:r>
                                </w:p>
                              </w:tc>
                              <w:tc>
                                <w:tcPr>
                                  <w:tcW w:w="566" w:type="pct"/>
                                  <w:tcBorders>
                                    <w:top w:val="nil"/>
                                    <w:left w:val="nil"/>
                                    <w:bottom w:val="nil"/>
                                    <w:right w:val="nil"/>
                                  </w:tcBorders>
                                  <w:hideMark/>
                                </w:tcPr>
                                <w:p w14:paraId="5B5B7A3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 </w:t>
                                  </w:r>
                                </w:p>
                              </w:tc>
                              <w:tc>
                                <w:tcPr>
                                  <w:tcW w:w="566" w:type="pct"/>
                                  <w:tcBorders>
                                    <w:top w:val="nil"/>
                                    <w:left w:val="nil"/>
                                    <w:bottom w:val="nil"/>
                                    <w:right w:val="nil"/>
                                  </w:tcBorders>
                                  <w:hideMark/>
                                </w:tcPr>
                                <w:p w14:paraId="5F6D69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c>
                                <w:tcPr>
                                  <w:tcW w:w="566" w:type="pct"/>
                                  <w:tcBorders>
                                    <w:top w:val="nil"/>
                                    <w:left w:val="nil"/>
                                    <w:bottom w:val="nil"/>
                                    <w:right w:val="nil"/>
                                  </w:tcBorders>
                                  <w:hideMark/>
                                </w:tcPr>
                                <w:p w14:paraId="0379F57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0.9 </w:t>
                                  </w:r>
                                </w:p>
                              </w:tc>
                              <w:tc>
                                <w:tcPr>
                                  <w:tcW w:w="566" w:type="pct"/>
                                  <w:tcBorders>
                                    <w:top w:val="nil"/>
                                    <w:left w:val="nil"/>
                                    <w:bottom w:val="nil"/>
                                    <w:right w:val="nil"/>
                                  </w:tcBorders>
                                  <w:hideMark/>
                                </w:tcPr>
                                <w:p w14:paraId="78C9D37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71C2F0F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5EA2570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r>
                            <w:tr w:rsidR="00781EC6" w:rsidRPr="00781EC6" w14:paraId="5967D4A9" w14:textId="77777777" w:rsidTr="00781EC6">
                              <w:trPr>
                                <w:trHeight w:val="204"/>
                              </w:trPr>
                              <w:tc>
                                <w:tcPr>
                                  <w:tcW w:w="1605" w:type="pct"/>
                                  <w:tcBorders>
                                    <w:top w:val="nil"/>
                                    <w:left w:val="nil"/>
                                    <w:bottom w:val="nil"/>
                                    <w:right w:val="nil"/>
                                  </w:tcBorders>
                                  <w:noWrap/>
                                  <w:hideMark/>
                                </w:tcPr>
                                <w:p w14:paraId="28C840B9"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Def. Tax Liability, Non-Curr.</w:t>
                                  </w:r>
                                </w:p>
                              </w:tc>
                              <w:tc>
                                <w:tcPr>
                                  <w:tcW w:w="566" w:type="pct"/>
                                  <w:tcBorders>
                                    <w:top w:val="nil"/>
                                    <w:left w:val="nil"/>
                                    <w:bottom w:val="nil"/>
                                    <w:right w:val="nil"/>
                                  </w:tcBorders>
                                  <w:hideMark/>
                                </w:tcPr>
                                <w:p w14:paraId="2567CB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0.7 </w:t>
                                  </w:r>
                                </w:p>
                              </w:tc>
                              <w:tc>
                                <w:tcPr>
                                  <w:tcW w:w="566" w:type="pct"/>
                                  <w:tcBorders>
                                    <w:top w:val="nil"/>
                                    <w:left w:val="nil"/>
                                    <w:bottom w:val="nil"/>
                                    <w:right w:val="nil"/>
                                  </w:tcBorders>
                                  <w:hideMark/>
                                </w:tcPr>
                                <w:p w14:paraId="19F3123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1D0EEC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6091C62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536B9FD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2E07E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r>
                            <w:tr w:rsidR="00781EC6" w:rsidRPr="00781EC6" w14:paraId="25D9628E" w14:textId="77777777" w:rsidTr="00781EC6">
                              <w:trPr>
                                <w:trHeight w:val="204"/>
                              </w:trPr>
                              <w:tc>
                                <w:tcPr>
                                  <w:tcW w:w="1605" w:type="pct"/>
                                  <w:tcBorders>
                                    <w:top w:val="nil"/>
                                    <w:left w:val="nil"/>
                                    <w:bottom w:val="nil"/>
                                    <w:right w:val="nil"/>
                                  </w:tcBorders>
                                  <w:noWrap/>
                                  <w:hideMark/>
                                </w:tcPr>
                                <w:p w14:paraId="7F564B3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Non-Current Liabilities</w:t>
                                  </w:r>
                                </w:p>
                              </w:tc>
                              <w:tc>
                                <w:tcPr>
                                  <w:tcW w:w="566" w:type="pct"/>
                                  <w:tcBorders>
                                    <w:top w:val="nil"/>
                                    <w:left w:val="nil"/>
                                    <w:bottom w:val="nil"/>
                                    <w:right w:val="nil"/>
                                  </w:tcBorders>
                                  <w:hideMark/>
                                </w:tcPr>
                                <w:p w14:paraId="2C910F9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2.8 </w:t>
                                  </w:r>
                                </w:p>
                              </w:tc>
                              <w:tc>
                                <w:tcPr>
                                  <w:tcW w:w="566" w:type="pct"/>
                                  <w:tcBorders>
                                    <w:top w:val="nil"/>
                                    <w:left w:val="nil"/>
                                    <w:bottom w:val="nil"/>
                                    <w:right w:val="nil"/>
                                  </w:tcBorders>
                                  <w:hideMark/>
                                </w:tcPr>
                                <w:p w14:paraId="5410091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063AA80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134BFB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65009A4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3.9 </w:t>
                                  </w:r>
                                </w:p>
                              </w:tc>
                              <w:tc>
                                <w:tcPr>
                                  <w:tcW w:w="566" w:type="pct"/>
                                  <w:tcBorders>
                                    <w:top w:val="nil"/>
                                    <w:left w:val="nil"/>
                                    <w:bottom w:val="nil"/>
                                    <w:right w:val="nil"/>
                                  </w:tcBorders>
                                  <w:hideMark/>
                                </w:tcPr>
                                <w:p w14:paraId="632BE41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3.1 </w:t>
                                  </w:r>
                                </w:p>
                              </w:tc>
                            </w:tr>
                            <w:tr w:rsidR="00781EC6" w:rsidRPr="00781EC6" w14:paraId="28514191" w14:textId="77777777" w:rsidTr="00781EC6">
                              <w:trPr>
                                <w:trHeight w:val="204"/>
                              </w:trPr>
                              <w:tc>
                                <w:tcPr>
                                  <w:tcW w:w="1605" w:type="pct"/>
                                  <w:tcBorders>
                                    <w:top w:val="nil"/>
                                    <w:left w:val="nil"/>
                                    <w:bottom w:val="nil"/>
                                    <w:right w:val="nil"/>
                                  </w:tcBorders>
                                  <w:noWrap/>
                                  <w:hideMark/>
                                </w:tcPr>
                                <w:p w14:paraId="1FA69729"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Liabilities</w:t>
                                  </w:r>
                                </w:p>
                              </w:tc>
                              <w:tc>
                                <w:tcPr>
                                  <w:tcW w:w="566" w:type="pct"/>
                                  <w:tcBorders>
                                    <w:top w:val="single" w:sz="4" w:space="0" w:color="000000"/>
                                    <w:left w:val="nil"/>
                                    <w:bottom w:val="nil"/>
                                    <w:right w:val="nil"/>
                                  </w:tcBorders>
                                  <w:hideMark/>
                                </w:tcPr>
                                <w:p w14:paraId="5501D4D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44.7 </w:t>
                                  </w:r>
                                </w:p>
                              </w:tc>
                              <w:tc>
                                <w:tcPr>
                                  <w:tcW w:w="566" w:type="pct"/>
                                  <w:tcBorders>
                                    <w:top w:val="single" w:sz="4" w:space="0" w:color="000000"/>
                                    <w:left w:val="nil"/>
                                    <w:bottom w:val="nil"/>
                                    <w:right w:val="nil"/>
                                  </w:tcBorders>
                                  <w:hideMark/>
                                </w:tcPr>
                                <w:p w14:paraId="424FFB6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44.0 </w:t>
                                  </w:r>
                                </w:p>
                              </w:tc>
                              <w:tc>
                                <w:tcPr>
                                  <w:tcW w:w="566" w:type="pct"/>
                                  <w:tcBorders>
                                    <w:top w:val="single" w:sz="4" w:space="0" w:color="000000"/>
                                    <w:left w:val="nil"/>
                                    <w:bottom w:val="nil"/>
                                    <w:right w:val="nil"/>
                                  </w:tcBorders>
                                  <w:hideMark/>
                                </w:tcPr>
                                <w:p w14:paraId="116B6A9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40.8 </w:t>
                                  </w:r>
                                </w:p>
                              </w:tc>
                              <w:tc>
                                <w:tcPr>
                                  <w:tcW w:w="566" w:type="pct"/>
                                  <w:tcBorders>
                                    <w:top w:val="single" w:sz="4" w:space="0" w:color="000000"/>
                                    <w:left w:val="nil"/>
                                    <w:bottom w:val="nil"/>
                                    <w:right w:val="nil"/>
                                  </w:tcBorders>
                                  <w:hideMark/>
                                </w:tcPr>
                                <w:p w14:paraId="60E4FF17"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46.4 </w:t>
                                  </w:r>
                                </w:p>
                              </w:tc>
                              <w:tc>
                                <w:tcPr>
                                  <w:tcW w:w="566" w:type="pct"/>
                                  <w:tcBorders>
                                    <w:top w:val="single" w:sz="4" w:space="0" w:color="000000"/>
                                    <w:left w:val="nil"/>
                                    <w:bottom w:val="nil"/>
                                    <w:right w:val="nil"/>
                                  </w:tcBorders>
                                  <w:hideMark/>
                                </w:tcPr>
                                <w:p w14:paraId="4C1B063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47.3 </w:t>
                                  </w:r>
                                </w:p>
                              </w:tc>
                              <w:tc>
                                <w:tcPr>
                                  <w:tcW w:w="566" w:type="pct"/>
                                  <w:tcBorders>
                                    <w:top w:val="single" w:sz="4" w:space="0" w:color="000000"/>
                                    <w:left w:val="nil"/>
                                    <w:bottom w:val="nil"/>
                                    <w:right w:val="nil"/>
                                  </w:tcBorders>
                                  <w:hideMark/>
                                </w:tcPr>
                                <w:p w14:paraId="43C99B2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46.5 </w:t>
                                  </w:r>
                                </w:p>
                              </w:tc>
                            </w:tr>
                            <w:tr w:rsidR="00781EC6" w:rsidRPr="00781EC6" w14:paraId="6AFF994D" w14:textId="77777777" w:rsidTr="00781EC6">
                              <w:trPr>
                                <w:trHeight w:val="204"/>
                              </w:trPr>
                              <w:tc>
                                <w:tcPr>
                                  <w:tcW w:w="1605" w:type="pct"/>
                                  <w:tcBorders>
                                    <w:top w:val="nil"/>
                                    <w:left w:val="nil"/>
                                    <w:bottom w:val="nil"/>
                                    <w:right w:val="nil"/>
                                  </w:tcBorders>
                                  <w:noWrap/>
                                  <w:hideMark/>
                                </w:tcPr>
                                <w:p w14:paraId="504D25D3"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Common Stock</w:t>
                                  </w:r>
                                </w:p>
                              </w:tc>
                              <w:tc>
                                <w:tcPr>
                                  <w:tcW w:w="566" w:type="pct"/>
                                  <w:tcBorders>
                                    <w:top w:val="nil"/>
                                    <w:left w:val="nil"/>
                                    <w:bottom w:val="nil"/>
                                    <w:right w:val="nil"/>
                                  </w:tcBorders>
                                  <w:hideMark/>
                                </w:tcPr>
                                <w:p w14:paraId="3AB0FAC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2.3 </w:t>
                                  </w:r>
                                </w:p>
                              </w:tc>
                              <w:tc>
                                <w:tcPr>
                                  <w:tcW w:w="566" w:type="pct"/>
                                  <w:tcBorders>
                                    <w:top w:val="nil"/>
                                    <w:left w:val="nil"/>
                                    <w:bottom w:val="nil"/>
                                    <w:right w:val="nil"/>
                                  </w:tcBorders>
                                  <w:hideMark/>
                                </w:tcPr>
                                <w:p w14:paraId="32925A9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2.5 </w:t>
                                  </w:r>
                                </w:p>
                              </w:tc>
                              <w:tc>
                                <w:tcPr>
                                  <w:tcW w:w="566" w:type="pct"/>
                                  <w:tcBorders>
                                    <w:top w:val="nil"/>
                                    <w:left w:val="nil"/>
                                    <w:bottom w:val="nil"/>
                                    <w:right w:val="nil"/>
                                  </w:tcBorders>
                                  <w:hideMark/>
                                </w:tcPr>
                                <w:p w14:paraId="33A973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06C299E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7296F6C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2487060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r>
                            <w:tr w:rsidR="00781EC6" w:rsidRPr="00781EC6" w14:paraId="38501C3D" w14:textId="77777777" w:rsidTr="00781EC6">
                              <w:trPr>
                                <w:trHeight w:val="204"/>
                              </w:trPr>
                              <w:tc>
                                <w:tcPr>
                                  <w:tcW w:w="1605" w:type="pct"/>
                                  <w:tcBorders>
                                    <w:top w:val="nil"/>
                                    <w:left w:val="nil"/>
                                    <w:bottom w:val="nil"/>
                                    <w:right w:val="nil"/>
                                  </w:tcBorders>
                                  <w:noWrap/>
                                  <w:hideMark/>
                                </w:tcPr>
                                <w:p w14:paraId="6AA91FD9"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Comprehensive Inc. and Other</w:t>
                                  </w:r>
                                </w:p>
                              </w:tc>
                              <w:tc>
                                <w:tcPr>
                                  <w:tcW w:w="566" w:type="pct"/>
                                  <w:tcBorders>
                                    <w:top w:val="nil"/>
                                    <w:left w:val="nil"/>
                                    <w:bottom w:val="nil"/>
                                    <w:right w:val="nil"/>
                                  </w:tcBorders>
                                  <w:hideMark/>
                                </w:tcPr>
                                <w:p w14:paraId="7537B1D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8.9 </w:t>
                                  </w:r>
                                </w:p>
                              </w:tc>
                              <w:tc>
                                <w:tcPr>
                                  <w:tcW w:w="566" w:type="pct"/>
                                  <w:tcBorders>
                                    <w:top w:val="nil"/>
                                    <w:left w:val="nil"/>
                                    <w:bottom w:val="nil"/>
                                    <w:right w:val="nil"/>
                                  </w:tcBorders>
                                  <w:hideMark/>
                                </w:tcPr>
                                <w:p w14:paraId="74AEF9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9.9 </w:t>
                                  </w:r>
                                </w:p>
                              </w:tc>
                              <w:tc>
                                <w:tcPr>
                                  <w:tcW w:w="566" w:type="pct"/>
                                  <w:tcBorders>
                                    <w:top w:val="nil"/>
                                    <w:left w:val="nil"/>
                                    <w:bottom w:val="nil"/>
                                    <w:right w:val="nil"/>
                                  </w:tcBorders>
                                  <w:hideMark/>
                                </w:tcPr>
                                <w:p w14:paraId="779BD1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9.5 </w:t>
                                  </w:r>
                                </w:p>
                              </w:tc>
                              <w:tc>
                                <w:tcPr>
                                  <w:tcW w:w="566" w:type="pct"/>
                                  <w:tcBorders>
                                    <w:top w:val="nil"/>
                                    <w:left w:val="nil"/>
                                    <w:bottom w:val="nil"/>
                                    <w:right w:val="nil"/>
                                  </w:tcBorders>
                                  <w:hideMark/>
                                </w:tcPr>
                                <w:p w14:paraId="2FBF2F9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9.9 </w:t>
                                  </w:r>
                                </w:p>
                              </w:tc>
                              <w:tc>
                                <w:tcPr>
                                  <w:tcW w:w="566" w:type="pct"/>
                                  <w:tcBorders>
                                    <w:top w:val="nil"/>
                                    <w:left w:val="nil"/>
                                    <w:bottom w:val="nil"/>
                                    <w:right w:val="nil"/>
                                  </w:tcBorders>
                                  <w:hideMark/>
                                </w:tcPr>
                                <w:p w14:paraId="5490EB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10.8 </w:t>
                                  </w:r>
                                </w:p>
                              </w:tc>
                              <w:tc>
                                <w:tcPr>
                                  <w:tcW w:w="566" w:type="pct"/>
                                  <w:tcBorders>
                                    <w:top w:val="nil"/>
                                    <w:left w:val="nil"/>
                                    <w:bottom w:val="nil"/>
                                    <w:right w:val="nil"/>
                                  </w:tcBorders>
                                  <w:hideMark/>
                                </w:tcPr>
                                <w:p w14:paraId="56A94F3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9.4 </w:t>
                                  </w:r>
                                </w:p>
                              </w:tc>
                            </w:tr>
                            <w:tr w:rsidR="00781EC6" w:rsidRPr="00781EC6" w14:paraId="0683F7B4" w14:textId="77777777" w:rsidTr="00781EC6">
                              <w:trPr>
                                <w:trHeight w:val="204"/>
                              </w:trPr>
                              <w:tc>
                                <w:tcPr>
                                  <w:tcW w:w="1605" w:type="pct"/>
                                  <w:tcBorders>
                                    <w:top w:val="nil"/>
                                    <w:left w:val="nil"/>
                                    <w:bottom w:val="nil"/>
                                    <w:right w:val="nil"/>
                                  </w:tcBorders>
                                  <w:noWrap/>
                                  <w:hideMark/>
                                </w:tcPr>
                                <w:p w14:paraId="7458194A"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Common Equity</w:t>
                                  </w:r>
                                </w:p>
                              </w:tc>
                              <w:tc>
                                <w:tcPr>
                                  <w:tcW w:w="566" w:type="pct"/>
                                  <w:tcBorders>
                                    <w:top w:val="single" w:sz="4" w:space="0" w:color="000000"/>
                                    <w:left w:val="nil"/>
                                    <w:bottom w:val="nil"/>
                                    <w:right w:val="nil"/>
                                  </w:tcBorders>
                                  <w:hideMark/>
                                </w:tcPr>
                                <w:p w14:paraId="72CF108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11.2 </w:t>
                                  </w:r>
                                </w:p>
                              </w:tc>
                              <w:tc>
                                <w:tcPr>
                                  <w:tcW w:w="566" w:type="pct"/>
                                  <w:tcBorders>
                                    <w:top w:val="single" w:sz="4" w:space="0" w:color="000000"/>
                                    <w:left w:val="nil"/>
                                    <w:bottom w:val="nil"/>
                                    <w:right w:val="nil"/>
                                  </w:tcBorders>
                                  <w:hideMark/>
                                </w:tcPr>
                                <w:p w14:paraId="0CB9495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12.4 </w:t>
                                  </w:r>
                                </w:p>
                              </w:tc>
                              <w:tc>
                                <w:tcPr>
                                  <w:tcW w:w="566" w:type="pct"/>
                                  <w:tcBorders>
                                    <w:top w:val="single" w:sz="4" w:space="0" w:color="000000"/>
                                    <w:left w:val="nil"/>
                                    <w:bottom w:val="nil"/>
                                    <w:right w:val="nil"/>
                                  </w:tcBorders>
                                  <w:hideMark/>
                                </w:tcPr>
                                <w:p w14:paraId="3B3F105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11.7 </w:t>
                                  </w:r>
                                </w:p>
                              </w:tc>
                              <w:tc>
                                <w:tcPr>
                                  <w:tcW w:w="566" w:type="pct"/>
                                  <w:tcBorders>
                                    <w:top w:val="single" w:sz="4" w:space="0" w:color="000000"/>
                                    <w:left w:val="nil"/>
                                    <w:bottom w:val="nil"/>
                                    <w:right w:val="nil"/>
                                  </w:tcBorders>
                                  <w:hideMark/>
                                </w:tcPr>
                                <w:p w14:paraId="7D62472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11.9 </w:t>
                                  </w:r>
                                </w:p>
                              </w:tc>
                              <w:tc>
                                <w:tcPr>
                                  <w:tcW w:w="566" w:type="pct"/>
                                  <w:tcBorders>
                                    <w:top w:val="single" w:sz="4" w:space="0" w:color="000000"/>
                                    <w:left w:val="nil"/>
                                    <w:bottom w:val="nil"/>
                                    <w:right w:val="nil"/>
                                  </w:tcBorders>
                                  <w:hideMark/>
                                </w:tcPr>
                                <w:p w14:paraId="3E5148F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12.8 </w:t>
                                  </w:r>
                                </w:p>
                              </w:tc>
                              <w:tc>
                                <w:tcPr>
                                  <w:tcW w:w="566" w:type="pct"/>
                                  <w:tcBorders>
                                    <w:top w:val="single" w:sz="4" w:space="0" w:color="000000"/>
                                    <w:left w:val="nil"/>
                                    <w:bottom w:val="nil"/>
                                    <w:right w:val="nil"/>
                                  </w:tcBorders>
                                  <w:hideMark/>
                                </w:tcPr>
                                <w:p w14:paraId="4F68E7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11.2 </w:t>
                                  </w:r>
                                </w:p>
                              </w:tc>
                            </w:tr>
                            <w:tr w:rsidR="00781EC6" w:rsidRPr="00781EC6" w14:paraId="6D53A5D9" w14:textId="77777777" w:rsidTr="00781EC6">
                              <w:trPr>
                                <w:trHeight w:val="204"/>
                              </w:trPr>
                              <w:tc>
                                <w:tcPr>
                                  <w:tcW w:w="1605" w:type="pct"/>
                                  <w:tcBorders>
                                    <w:top w:val="nil"/>
                                    <w:left w:val="nil"/>
                                    <w:bottom w:val="nil"/>
                                    <w:right w:val="nil"/>
                                  </w:tcBorders>
                                  <w:noWrap/>
                                  <w:hideMark/>
                                </w:tcPr>
                                <w:p w14:paraId="0FC26E77"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Minority Interest</w:t>
                                  </w:r>
                                </w:p>
                              </w:tc>
                              <w:tc>
                                <w:tcPr>
                                  <w:tcW w:w="566" w:type="pct"/>
                                  <w:tcBorders>
                                    <w:top w:val="nil"/>
                                    <w:left w:val="nil"/>
                                    <w:bottom w:val="nil"/>
                                    <w:right w:val="nil"/>
                                  </w:tcBorders>
                                  <w:hideMark/>
                                </w:tcPr>
                                <w:p w14:paraId="311475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78FD668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2C5444C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37DF756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12A8254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57AB9A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r>
                            <w:tr w:rsidR="00781EC6" w:rsidRPr="00781EC6" w14:paraId="22ABC343" w14:textId="77777777" w:rsidTr="00781EC6">
                              <w:trPr>
                                <w:trHeight w:val="204"/>
                              </w:trPr>
                              <w:tc>
                                <w:tcPr>
                                  <w:tcW w:w="1605" w:type="pct"/>
                                  <w:tcBorders>
                                    <w:top w:val="nil"/>
                                    <w:left w:val="nil"/>
                                    <w:bottom w:val="nil"/>
                                    <w:right w:val="nil"/>
                                  </w:tcBorders>
                                  <w:noWrap/>
                                  <w:hideMark/>
                                </w:tcPr>
                                <w:p w14:paraId="3D0E6540"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Equity</w:t>
                                  </w:r>
                                </w:p>
                              </w:tc>
                              <w:tc>
                                <w:tcPr>
                                  <w:tcW w:w="566" w:type="pct"/>
                                  <w:tcBorders>
                                    <w:top w:val="nil"/>
                                    <w:left w:val="nil"/>
                                    <w:bottom w:val="nil"/>
                                    <w:right w:val="nil"/>
                                  </w:tcBorders>
                                  <w:hideMark/>
                                </w:tcPr>
                                <w:p w14:paraId="6C4F25FC"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13.1 </w:t>
                                  </w:r>
                                </w:p>
                              </w:tc>
                              <w:tc>
                                <w:tcPr>
                                  <w:tcW w:w="566" w:type="pct"/>
                                  <w:tcBorders>
                                    <w:top w:val="nil"/>
                                    <w:left w:val="nil"/>
                                    <w:bottom w:val="nil"/>
                                    <w:right w:val="nil"/>
                                  </w:tcBorders>
                                  <w:hideMark/>
                                </w:tcPr>
                                <w:p w14:paraId="3371174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14.2 </w:t>
                                  </w:r>
                                </w:p>
                              </w:tc>
                              <w:tc>
                                <w:tcPr>
                                  <w:tcW w:w="566" w:type="pct"/>
                                  <w:tcBorders>
                                    <w:top w:val="nil"/>
                                    <w:left w:val="nil"/>
                                    <w:bottom w:val="nil"/>
                                    <w:right w:val="nil"/>
                                  </w:tcBorders>
                                  <w:hideMark/>
                                </w:tcPr>
                                <w:p w14:paraId="1497CE6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13.5 </w:t>
                                  </w:r>
                                </w:p>
                              </w:tc>
                              <w:tc>
                                <w:tcPr>
                                  <w:tcW w:w="566" w:type="pct"/>
                                  <w:tcBorders>
                                    <w:top w:val="nil"/>
                                    <w:left w:val="nil"/>
                                    <w:bottom w:val="nil"/>
                                    <w:right w:val="nil"/>
                                  </w:tcBorders>
                                  <w:hideMark/>
                                </w:tcPr>
                                <w:p w14:paraId="1ED5E85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14.1 </w:t>
                                  </w:r>
                                </w:p>
                              </w:tc>
                              <w:tc>
                                <w:tcPr>
                                  <w:tcW w:w="566" w:type="pct"/>
                                  <w:tcBorders>
                                    <w:top w:val="nil"/>
                                    <w:left w:val="nil"/>
                                    <w:bottom w:val="nil"/>
                                    <w:right w:val="nil"/>
                                  </w:tcBorders>
                                  <w:hideMark/>
                                </w:tcPr>
                                <w:p w14:paraId="0F3EF7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14.8 </w:t>
                                  </w:r>
                                </w:p>
                              </w:tc>
                              <w:tc>
                                <w:tcPr>
                                  <w:tcW w:w="566" w:type="pct"/>
                                  <w:tcBorders>
                                    <w:top w:val="nil"/>
                                    <w:left w:val="nil"/>
                                    <w:bottom w:val="nil"/>
                                    <w:right w:val="nil"/>
                                  </w:tcBorders>
                                  <w:hideMark/>
                                </w:tcPr>
                                <w:p w14:paraId="7DA79FD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12.9 </w:t>
                                  </w:r>
                                </w:p>
                              </w:tc>
                            </w:tr>
                            <w:tr w:rsidR="00781EC6" w:rsidRPr="00781EC6" w14:paraId="4B6AFEAD" w14:textId="77777777" w:rsidTr="00781EC6">
                              <w:trPr>
                                <w:trHeight w:val="204"/>
                              </w:trPr>
                              <w:tc>
                                <w:tcPr>
                                  <w:tcW w:w="1605" w:type="pct"/>
                                  <w:tcBorders>
                                    <w:top w:val="nil"/>
                                    <w:left w:val="nil"/>
                                    <w:bottom w:val="nil"/>
                                    <w:right w:val="nil"/>
                                  </w:tcBorders>
                                  <w:noWrap/>
                                  <w:hideMark/>
                                </w:tcPr>
                                <w:p w14:paraId="326EB82F"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Total Liabilities </w:t>
                                  </w:r>
                                  <w:r w:rsidRPr="00781EC6">
                                    <w:rPr>
                                      <w:rFonts w:ascii="Cambria" w:eastAsia="Times New Roman" w:hAnsi="Cambria" w:cs="Arial"/>
                                      <w:b/>
                                      <w:bCs/>
                                      <w:color w:val="000000"/>
                                      <w:kern w:val="0"/>
                                      <w:sz w:val="14"/>
                                      <w:szCs w:val="14"/>
                                      <w:lang w:eastAsia="en-IN"/>
                                      <w14:ligatures w14:val="none"/>
                                    </w:rPr>
                                    <w:t>And Equity</w:t>
                                  </w:r>
                                </w:p>
                              </w:tc>
                              <w:tc>
                                <w:tcPr>
                                  <w:tcW w:w="566" w:type="pct"/>
                                  <w:tcBorders>
                                    <w:top w:val="nil"/>
                                    <w:left w:val="nil"/>
                                    <w:bottom w:val="nil"/>
                                    <w:right w:val="nil"/>
                                  </w:tcBorders>
                                  <w:hideMark/>
                                </w:tcPr>
                                <w:p w14:paraId="5C9CAA8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57.8 </w:t>
                                  </w:r>
                                </w:p>
                              </w:tc>
                              <w:tc>
                                <w:tcPr>
                                  <w:tcW w:w="566" w:type="pct"/>
                                  <w:tcBorders>
                                    <w:top w:val="nil"/>
                                    <w:left w:val="nil"/>
                                    <w:bottom w:val="nil"/>
                                    <w:right w:val="nil"/>
                                  </w:tcBorders>
                                  <w:hideMark/>
                                </w:tcPr>
                                <w:p w14:paraId="0147EE5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58.2 </w:t>
                                  </w:r>
                                </w:p>
                              </w:tc>
                              <w:tc>
                                <w:tcPr>
                                  <w:tcW w:w="566" w:type="pct"/>
                                  <w:tcBorders>
                                    <w:top w:val="nil"/>
                                    <w:left w:val="nil"/>
                                    <w:bottom w:val="nil"/>
                                    <w:right w:val="nil"/>
                                  </w:tcBorders>
                                  <w:hideMark/>
                                </w:tcPr>
                                <w:p w14:paraId="3F904B6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54.2 </w:t>
                                  </w:r>
                                </w:p>
                              </w:tc>
                              <w:tc>
                                <w:tcPr>
                                  <w:tcW w:w="566" w:type="pct"/>
                                  <w:tcBorders>
                                    <w:top w:val="nil"/>
                                    <w:left w:val="nil"/>
                                    <w:bottom w:val="nil"/>
                                    <w:right w:val="nil"/>
                                  </w:tcBorders>
                                  <w:hideMark/>
                                </w:tcPr>
                                <w:p w14:paraId="1DA8FA7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60.4 </w:t>
                                  </w:r>
                                </w:p>
                              </w:tc>
                              <w:tc>
                                <w:tcPr>
                                  <w:tcW w:w="566" w:type="pct"/>
                                  <w:tcBorders>
                                    <w:top w:val="nil"/>
                                    <w:left w:val="nil"/>
                                    <w:bottom w:val="nil"/>
                                    <w:right w:val="nil"/>
                                  </w:tcBorders>
                                  <w:hideMark/>
                                </w:tcPr>
                                <w:p w14:paraId="769E9DC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62.1 </w:t>
                                  </w:r>
                                </w:p>
                              </w:tc>
                              <w:tc>
                                <w:tcPr>
                                  <w:tcW w:w="566" w:type="pct"/>
                                  <w:tcBorders>
                                    <w:top w:val="nil"/>
                                    <w:left w:val="nil"/>
                                    <w:bottom w:val="nil"/>
                                    <w:right w:val="nil"/>
                                  </w:tcBorders>
                                  <w:hideMark/>
                                </w:tcPr>
                                <w:p w14:paraId="3E1875C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59.4 </w:t>
                                  </w:r>
                                </w:p>
                              </w:tc>
                            </w:tr>
                          </w:tbl>
                          <w:p w14:paraId="50184C24" w14:textId="6DC9B887" w:rsidR="00781EC6" w:rsidRDefault="00781E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7C7F7" id="_x0000_s1064" type="#_x0000_t202" style="position:absolute;left:0;text-align:left;margin-left:434.8pt;margin-top:0;width:486pt;height:110.6pt;z-index:251732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FAIAAP8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" stroked="f">
                <v:textbox style="mso-fit-shape-to-text:t">
                  <w:txbxContent>
                    <w:tbl>
                      <w:tblPr>
                        <w:tblW w:w="5000" w:type="pct"/>
                        <w:tblLook w:val="04A0" w:firstRow="1" w:lastRow="0" w:firstColumn="1" w:lastColumn="0" w:noHBand="0" w:noVBand="1"/>
                      </w:tblPr>
                      <w:tblGrid>
                        <w:gridCol w:w="3027"/>
                        <w:gridCol w:w="1068"/>
                        <w:gridCol w:w="1068"/>
                        <w:gridCol w:w="1068"/>
                        <w:gridCol w:w="1068"/>
                        <w:gridCol w:w="1068"/>
                        <w:gridCol w:w="1066"/>
                      </w:tblGrid>
                      <w:tr w:rsidR="00781EC6" w:rsidRPr="00781EC6" w14:paraId="0E7399DC" w14:textId="77777777" w:rsidTr="00781EC6">
                        <w:trPr>
                          <w:trHeight w:val="324"/>
                        </w:trPr>
                        <w:tc>
                          <w:tcPr>
                            <w:tcW w:w="5000" w:type="pct"/>
                            <w:gridSpan w:val="7"/>
                            <w:tcBorders>
                              <w:top w:val="nil"/>
                              <w:left w:val="nil"/>
                              <w:bottom w:val="nil"/>
                              <w:right w:val="nil"/>
                            </w:tcBorders>
                            <w:noWrap/>
                            <w:vAlign w:val="bottom"/>
                            <w:hideMark/>
                          </w:tcPr>
                          <w:p w14:paraId="5A3716D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Carrefour SA (ENXTPA:CA) &gt; Financials &gt; Balance Sheet</w:t>
                            </w:r>
                          </w:p>
                        </w:tc>
                      </w:tr>
                      <w:tr w:rsidR="00781EC6" w:rsidRPr="00781EC6" w14:paraId="414B0456" w14:textId="77777777" w:rsidTr="00781EC6">
                        <w:trPr>
                          <w:trHeight w:val="204"/>
                        </w:trPr>
                        <w:tc>
                          <w:tcPr>
                            <w:tcW w:w="1605" w:type="pct"/>
                            <w:tcBorders>
                              <w:top w:val="nil"/>
                              <w:left w:val="nil"/>
                              <w:bottom w:val="nil"/>
                              <w:right w:val="nil"/>
                            </w:tcBorders>
                            <w:shd w:val="clear" w:color="000000" w:fill="003366"/>
                            <w:noWrap/>
                            <w:vAlign w:val="bottom"/>
                            <w:hideMark/>
                          </w:tcPr>
                          <w:p w14:paraId="03E25468"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Balance Sheet</w:t>
                            </w:r>
                          </w:p>
                        </w:tc>
                        <w:tc>
                          <w:tcPr>
                            <w:tcW w:w="566" w:type="pct"/>
                            <w:tcBorders>
                              <w:top w:val="nil"/>
                              <w:left w:val="nil"/>
                              <w:bottom w:val="nil"/>
                              <w:right w:val="nil"/>
                            </w:tcBorders>
                            <w:shd w:val="clear" w:color="000000" w:fill="003366"/>
                            <w:noWrap/>
                            <w:vAlign w:val="bottom"/>
                            <w:hideMark/>
                          </w:tcPr>
                          <w:p w14:paraId="1CCCD833"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798EDBC3"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7891D3BA"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0D748B92"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4B1B2366"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c>
                          <w:tcPr>
                            <w:tcW w:w="566" w:type="pct"/>
                            <w:tcBorders>
                              <w:top w:val="nil"/>
                              <w:left w:val="nil"/>
                              <w:bottom w:val="nil"/>
                              <w:right w:val="nil"/>
                            </w:tcBorders>
                            <w:shd w:val="clear" w:color="000000" w:fill="003366"/>
                            <w:noWrap/>
                            <w:vAlign w:val="bottom"/>
                            <w:hideMark/>
                          </w:tcPr>
                          <w:p w14:paraId="6B29E535" w14:textId="77777777" w:rsidR="00781EC6" w:rsidRPr="00781EC6" w:rsidRDefault="00781EC6" w:rsidP="00781EC6">
                            <w:pPr>
                              <w:spacing w:after="0" w:line="240" w:lineRule="auto"/>
                              <w:rPr>
                                <w:rFonts w:ascii="Cambria" w:eastAsia="Times New Roman" w:hAnsi="Cambria" w:cs="Arial"/>
                                <w:b/>
                                <w:bCs/>
                                <w:color w:val="FFFFFF"/>
                                <w:kern w:val="0"/>
                                <w:sz w:val="14"/>
                                <w:szCs w:val="14"/>
                                <w:lang w:eastAsia="en-IN"/>
                                <w14:ligatures w14:val="none"/>
                              </w:rPr>
                            </w:pPr>
                            <w:r w:rsidRPr="00781EC6">
                              <w:rPr>
                                <w:rFonts w:ascii="Cambria" w:eastAsia="Times New Roman" w:hAnsi="Cambria" w:cs="Arial"/>
                                <w:b/>
                                <w:bCs/>
                                <w:color w:val="FFFFFF"/>
                                <w:kern w:val="0"/>
                                <w:sz w:val="14"/>
                                <w:szCs w:val="14"/>
                                <w:lang w:eastAsia="en-IN"/>
                                <w14:ligatures w14:val="none"/>
                              </w:rPr>
                              <w:t> </w:t>
                            </w:r>
                          </w:p>
                        </w:tc>
                      </w:tr>
                      <w:tr w:rsidR="00781EC6" w:rsidRPr="00781EC6" w14:paraId="18D85A5A" w14:textId="77777777" w:rsidTr="00781EC6">
                        <w:trPr>
                          <w:trHeight w:val="408"/>
                        </w:trPr>
                        <w:tc>
                          <w:tcPr>
                            <w:tcW w:w="1605" w:type="pct"/>
                            <w:tcBorders>
                              <w:top w:val="nil"/>
                              <w:left w:val="nil"/>
                              <w:bottom w:val="nil"/>
                              <w:right w:val="nil"/>
                            </w:tcBorders>
                            <w:shd w:val="clear" w:color="000000" w:fill="F0F0DC"/>
                            <w:vAlign w:val="bottom"/>
                            <w:hideMark/>
                          </w:tcPr>
                          <w:p w14:paraId="75F2283D"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Balance Sheet as of:</w:t>
                            </w:r>
                          </w:p>
                        </w:tc>
                        <w:tc>
                          <w:tcPr>
                            <w:tcW w:w="566" w:type="pct"/>
                            <w:tcBorders>
                              <w:top w:val="nil"/>
                              <w:left w:val="nil"/>
                              <w:bottom w:val="nil"/>
                              <w:right w:val="nil"/>
                            </w:tcBorders>
                            <w:shd w:val="clear" w:color="000000" w:fill="F0F0DC"/>
                            <w:vAlign w:val="bottom"/>
                            <w:hideMark/>
                          </w:tcPr>
                          <w:p w14:paraId="65FE938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Restated</w:t>
                            </w:r>
                            <w:r w:rsidRPr="00781EC6">
                              <w:rPr>
                                <w:rFonts w:ascii="Cambria" w:eastAsia="Times New Roman" w:hAnsi="Cambria" w:cs="Arial"/>
                                <w:b/>
                                <w:bCs/>
                                <w:color w:val="000000"/>
                                <w:kern w:val="0"/>
                                <w:sz w:val="14"/>
                                <w:szCs w:val="14"/>
                                <w:lang w:eastAsia="en-IN"/>
                                <w14:ligatures w14:val="none"/>
                              </w:rPr>
                              <w:br/>
                              <w:t>Dec-31-2019</w:t>
                            </w:r>
                          </w:p>
                        </w:tc>
                        <w:tc>
                          <w:tcPr>
                            <w:tcW w:w="566" w:type="pct"/>
                            <w:tcBorders>
                              <w:top w:val="nil"/>
                              <w:left w:val="nil"/>
                              <w:bottom w:val="nil"/>
                              <w:right w:val="nil"/>
                            </w:tcBorders>
                            <w:shd w:val="clear" w:color="000000" w:fill="F0F0DC"/>
                            <w:vAlign w:val="bottom"/>
                            <w:hideMark/>
                          </w:tcPr>
                          <w:p w14:paraId="726FC84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Dec-31-2020</w:t>
                            </w:r>
                          </w:p>
                        </w:tc>
                        <w:tc>
                          <w:tcPr>
                            <w:tcW w:w="566" w:type="pct"/>
                            <w:tcBorders>
                              <w:top w:val="nil"/>
                              <w:left w:val="nil"/>
                              <w:bottom w:val="nil"/>
                              <w:right w:val="nil"/>
                            </w:tcBorders>
                            <w:shd w:val="clear" w:color="000000" w:fill="F0F0DC"/>
                            <w:vAlign w:val="bottom"/>
                            <w:hideMark/>
                          </w:tcPr>
                          <w:p w14:paraId="4562A11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Dec-31-2021</w:t>
                            </w:r>
                          </w:p>
                        </w:tc>
                        <w:tc>
                          <w:tcPr>
                            <w:tcW w:w="566" w:type="pct"/>
                            <w:tcBorders>
                              <w:top w:val="nil"/>
                              <w:left w:val="nil"/>
                              <w:bottom w:val="nil"/>
                              <w:right w:val="nil"/>
                            </w:tcBorders>
                            <w:shd w:val="clear" w:color="000000" w:fill="F0F0DC"/>
                            <w:vAlign w:val="bottom"/>
                            <w:hideMark/>
                          </w:tcPr>
                          <w:p w14:paraId="73CA8E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Restated</w:t>
                            </w:r>
                            <w:r w:rsidRPr="00781EC6">
                              <w:rPr>
                                <w:rFonts w:ascii="Cambria" w:eastAsia="Times New Roman" w:hAnsi="Cambria" w:cs="Arial"/>
                                <w:b/>
                                <w:bCs/>
                                <w:color w:val="000000"/>
                                <w:kern w:val="0"/>
                                <w:sz w:val="14"/>
                                <w:szCs w:val="14"/>
                                <w:lang w:eastAsia="en-IN"/>
                                <w14:ligatures w14:val="none"/>
                              </w:rPr>
                              <w:br/>
                              <w:t>Dec-31-2022</w:t>
                            </w:r>
                          </w:p>
                        </w:tc>
                        <w:tc>
                          <w:tcPr>
                            <w:tcW w:w="566" w:type="pct"/>
                            <w:tcBorders>
                              <w:top w:val="nil"/>
                              <w:left w:val="nil"/>
                              <w:bottom w:val="nil"/>
                              <w:right w:val="nil"/>
                            </w:tcBorders>
                            <w:shd w:val="clear" w:color="000000" w:fill="F0F0DC"/>
                            <w:vAlign w:val="bottom"/>
                            <w:hideMark/>
                          </w:tcPr>
                          <w:p w14:paraId="3CC7BA3A"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Dec-31-2023</w:t>
                            </w:r>
                          </w:p>
                        </w:tc>
                        <w:tc>
                          <w:tcPr>
                            <w:tcW w:w="566" w:type="pct"/>
                            <w:tcBorders>
                              <w:top w:val="nil"/>
                              <w:left w:val="nil"/>
                              <w:bottom w:val="nil"/>
                              <w:right w:val="nil"/>
                            </w:tcBorders>
                            <w:shd w:val="clear" w:color="000000" w:fill="F0F0DC"/>
                            <w:vAlign w:val="bottom"/>
                            <w:hideMark/>
                          </w:tcPr>
                          <w:p w14:paraId="5540250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Dec-31-2024</w:t>
                            </w:r>
                          </w:p>
                        </w:tc>
                      </w:tr>
                      <w:tr w:rsidR="00781EC6" w:rsidRPr="00781EC6" w14:paraId="4E140DCA" w14:textId="77777777" w:rsidTr="00781EC6">
                        <w:trPr>
                          <w:trHeight w:val="204"/>
                        </w:trPr>
                        <w:tc>
                          <w:tcPr>
                            <w:tcW w:w="1605" w:type="pct"/>
                            <w:tcBorders>
                              <w:top w:val="nil"/>
                              <w:left w:val="nil"/>
                              <w:bottom w:val="nil"/>
                              <w:right w:val="nil"/>
                            </w:tcBorders>
                            <w:shd w:val="clear" w:color="000000" w:fill="F0F0DC"/>
                            <w:vAlign w:val="bottom"/>
                            <w:hideMark/>
                          </w:tcPr>
                          <w:p w14:paraId="3F0EF102" w14:textId="77777777" w:rsidR="00781EC6" w:rsidRPr="00781EC6" w:rsidRDefault="00781EC6" w:rsidP="00781EC6">
                            <w:pPr>
                              <w:spacing w:after="0" w:line="240" w:lineRule="auto"/>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Currency</w:t>
                            </w:r>
                          </w:p>
                        </w:tc>
                        <w:tc>
                          <w:tcPr>
                            <w:tcW w:w="566" w:type="pct"/>
                            <w:tcBorders>
                              <w:top w:val="nil"/>
                              <w:left w:val="nil"/>
                              <w:bottom w:val="nil"/>
                              <w:right w:val="nil"/>
                            </w:tcBorders>
                            <w:shd w:val="clear" w:color="000000" w:fill="F0F0DC"/>
                            <w:vAlign w:val="bottom"/>
                            <w:hideMark/>
                          </w:tcPr>
                          <w:p w14:paraId="3B40AA0D"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AC883C6"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9740E9C"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34613BAF"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113B6738"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c>
                          <w:tcPr>
                            <w:tcW w:w="566" w:type="pct"/>
                            <w:tcBorders>
                              <w:top w:val="nil"/>
                              <w:left w:val="nil"/>
                              <w:bottom w:val="nil"/>
                              <w:right w:val="nil"/>
                            </w:tcBorders>
                            <w:shd w:val="clear" w:color="000000" w:fill="F0F0DC"/>
                            <w:vAlign w:val="bottom"/>
                            <w:hideMark/>
                          </w:tcPr>
                          <w:p w14:paraId="2EF37D20" w14:textId="77777777" w:rsidR="00781EC6" w:rsidRPr="00781EC6" w:rsidRDefault="00781EC6" w:rsidP="00781EC6">
                            <w:pPr>
                              <w:spacing w:after="0" w:line="240" w:lineRule="auto"/>
                              <w:jc w:val="right"/>
                              <w:rPr>
                                <w:rFonts w:ascii="Cambria" w:eastAsia="Times New Roman" w:hAnsi="Cambria" w:cs="Arial"/>
                                <w:b/>
                                <w:bCs/>
                                <w:i/>
                                <w:iCs/>
                                <w:color w:val="000000"/>
                                <w:kern w:val="0"/>
                                <w:sz w:val="14"/>
                                <w:szCs w:val="14"/>
                                <w:lang w:eastAsia="en-IN"/>
                                <w14:ligatures w14:val="none"/>
                              </w:rPr>
                            </w:pPr>
                            <w:r w:rsidRPr="00781EC6">
                              <w:rPr>
                                <w:rFonts w:ascii="Cambria" w:eastAsia="Times New Roman" w:hAnsi="Cambria" w:cs="Arial"/>
                                <w:b/>
                                <w:bCs/>
                                <w:i/>
                                <w:iCs/>
                                <w:color w:val="000000"/>
                                <w:kern w:val="0"/>
                                <w:sz w:val="14"/>
                                <w:szCs w:val="14"/>
                                <w:lang w:eastAsia="en-IN"/>
                                <w14:ligatures w14:val="none"/>
                              </w:rPr>
                              <w:t>USD</w:t>
                            </w:r>
                          </w:p>
                        </w:tc>
                      </w:tr>
                      <w:tr w:rsidR="00781EC6" w:rsidRPr="00781EC6" w14:paraId="09F73116" w14:textId="77777777" w:rsidTr="00781EC6">
                        <w:trPr>
                          <w:trHeight w:val="204"/>
                        </w:trPr>
                        <w:tc>
                          <w:tcPr>
                            <w:tcW w:w="1605" w:type="pct"/>
                            <w:tcBorders>
                              <w:top w:val="nil"/>
                              <w:left w:val="nil"/>
                              <w:bottom w:val="nil"/>
                              <w:right w:val="nil"/>
                            </w:tcBorders>
                            <w:noWrap/>
                            <w:hideMark/>
                          </w:tcPr>
                          <w:p w14:paraId="7261DE10"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ASSETS</w:t>
                            </w:r>
                          </w:p>
                        </w:tc>
                        <w:tc>
                          <w:tcPr>
                            <w:tcW w:w="566" w:type="pct"/>
                            <w:tcBorders>
                              <w:top w:val="nil"/>
                              <w:left w:val="nil"/>
                              <w:bottom w:val="nil"/>
                              <w:right w:val="nil"/>
                            </w:tcBorders>
                            <w:noWrap/>
                            <w:hideMark/>
                          </w:tcPr>
                          <w:p w14:paraId="2F910A4B"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p>
                        </w:tc>
                        <w:tc>
                          <w:tcPr>
                            <w:tcW w:w="566" w:type="pct"/>
                            <w:tcBorders>
                              <w:top w:val="nil"/>
                              <w:left w:val="nil"/>
                              <w:bottom w:val="nil"/>
                              <w:right w:val="nil"/>
                            </w:tcBorders>
                            <w:noWrap/>
                            <w:hideMark/>
                          </w:tcPr>
                          <w:p w14:paraId="6A44AA19"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673E6C87"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60D66303"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BA1607B"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8FF01DD"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r>
                      <w:tr w:rsidR="00781EC6" w:rsidRPr="00781EC6" w14:paraId="13FE88CC" w14:textId="77777777" w:rsidTr="00781EC6">
                        <w:trPr>
                          <w:trHeight w:val="204"/>
                        </w:trPr>
                        <w:tc>
                          <w:tcPr>
                            <w:tcW w:w="1605" w:type="pct"/>
                            <w:tcBorders>
                              <w:top w:val="nil"/>
                              <w:left w:val="nil"/>
                              <w:bottom w:val="nil"/>
                              <w:right w:val="nil"/>
                            </w:tcBorders>
                            <w:noWrap/>
                            <w:hideMark/>
                          </w:tcPr>
                          <w:p w14:paraId="6B22DC8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Cash And Equivalents</w:t>
                            </w:r>
                          </w:p>
                        </w:tc>
                        <w:tc>
                          <w:tcPr>
                            <w:tcW w:w="566" w:type="pct"/>
                            <w:tcBorders>
                              <w:top w:val="nil"/>
                              <w:left w:val="nil"/>
                              <w:bottom w:val="nil"/>
                              <w:right w:val="nil"/>
                            </w:tcBorders>
                            <w:hideMark/>
                          </w:tcPr>
                          <w:p w14:paraId="33720D9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5.0 </w:t>
                            </w:r>
                          </w:p>
                        </w:tc>
                        <w:tc>
                          <w:tcPr>
                            <w:tcW w:w="566" w:type="pct"/>
                            <w:tcBorders>
                              <w:top w:val="nil"/>
                              <w:left w:val="nil"/>
                              <w:bottom w:val="nil"/>
                              <w:right w:val="nil"/>
                            </w:tcBorders>
                            <w:hideMark/>
                          </w:tcPr>
                          <w:p w14:paraId="398033B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5.4 </w:t>
                            </w:r>
                          </w:p>
                        </w:tc>
                        <w:tc>
                          <w:tcPr>
                            <w:tcW w:w="566" w:type="pct"/>
                            <w:tcBorders>
                              <w:top w:val="nil"/>
                              <w:left w:val="nil"/>
                              <w:bottom w:val="nil"/>
                              <w:right w:val="nil"/>
                            </w:tcBorders>
                            <w:hideMark/>
                          </w:tcPr>
                          <w:p w14:paraId="064C05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 </w:t>
                            </w:r>
                          </w:p>
                        </w:tc>
                        <w:tc>
                          <w:tcPr>
                            <w:tcW w:w="566" w:type="pct"/>
                            <w:tcBorders>
                              <w:top w:val="nil"/>
                              <w:left w:val="nil"/>
                              <w:bottom w:val="nil"/>
                              <w:right w:val="nil"/>
                            </w:tcBorders>
                            <w:hideMark/>
                          </w:tcPr>
                          <w:p w14:paraId="2D758DA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5.6 </w:t>
                            </w:r>
                          </w:p>
                        </w:tc>
                        <w:tc>
                          <w:tcPr>
                            <w:tcW w:w="566" w:type="pct"/>
                            <w:tcBorders>
                              <w:top w:val="nil"/>
                              <w:left w:val="nil"/>
                              <w:bottom w:val="nil"/>
                              <w:right w:val="nil"/>
                            </w:tcBorders>
                            <w:hideMark/>
                          </w:tcPr>
                          <w:p w14:paraId="11C74E1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7.0 </w:t>
                            </w:r>
                          </w:p>
                        </w:tc>
                        <w:tc>
                          <w:tcPr>
                            <w:tcW w:w="566" w:type="pct"/>
                            <w:tcBorders>
                              <w:top w:val="nil"/>
                              <w:left w:val="nil"/>
                              <w:bottom w:val="nil"/>
                              <w:right w:val="nil"/>
                            </w:tcBorders>
                            <w:hideMark/>
                          </w:tcPr>
                          <w:p w14:paraId="260B210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6.8 </w:t>
                            </w:r>
                          </w:p>
                        </w:tc>
                      </w:tr>
                      <w:tr w:rsidR="00781EC6" w:rsidRPr="00781EC6" w14:paraId="75E546FF" w14:textId="77777777" w:rsidTr="00781EC6">
                        <w:trPr>
                          <w:trHeight w:val="204"/>
                        </w:trPr>
                        <w:tc>
                          <w:tcPr>
                            <w:tcW w:w="1605" w:type="pct"/>
                            <w:tcBorders>
                              <w:top w:val="nil"/>
                              <w:left w:val="nil"/>
                              <w:bottom w:val="nil"/>
                              <w:right w:val="nil"/>
                            </w:tcBorders>
                            <w:noWrap/>
                            <w:hideMark/>
                          </w:tcPr>
                          <w:p w14:paraId="26D2B4A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Short Term Investments</w:t>
                            </w:r>
                          </w:p>
                        </w:tc>
                        <w:tc>
                          <w:tcPr>
                            <w:tcW w:w="566" w:type="pct"/>
                            <w:tcBorders>
                              <w:top w:val="nil"/>
                              <w:left w:val="nil"/>
                              <w:bottom w:val="nil"/>
                              <w:right w:val="nil"/>
                            </w:tcBorders>
                            <w:hideMark/>
                          </w:tcPr>
                          <w:p w14:paraId="7C68590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4A2B775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008F42A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12FD54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1BA7CB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0F48C61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r>
                      <w:tr w:rsidR="00781EC6" w:rsidRPr="00781EC6" w14:paraId="5CD68090" w14:textId="77777777" w:rsidTr="00781EC6">
                        <w:trPr>
                          <w:trHeight w:val="204"/>
                        </w:trPr>
                        <w:tc>
                          <w:tcPr>
                            <w:tcW w:w="1605" w:type="pct"/>
                            <w:tcBorders>
                              <w:top w:val="nil"/>
                              <w:left w:val="nil"/>
                              <w:bottom w:val="nil"/>
                              <w:right w:val="nil"/>
                            </w:tcBorders>
                            <w:noWrap/>
                            <w:hideMark/>
                          </w:tcPr>
                          <w:p w14:paraId="77E1A1E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Trading Asset Securities</w:t>
                            </w:r>
                          </w:p>
                        </w:tc>
                        <w:tc>
                          <w:tcPr>
                            <w:tcW w:w="566" w:type="pct"/>
                            <w:tcBorders>
                              <w:top w:val="nil"/>
                              <w:left w:val="nil"/>
                              <w:bottom w:val="nil"/>
                              <w:right w:val="nil"/>
                            </w:tcBorders>
                            <w:hideMark/>
                          </w:tcPr>
                          <w:p w14:paraId="260C12E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c>
                          <w:tcPr>
                            <w:tcW w:w="566" w:type="pct"/>
                            <w:tcBorders>
                              <w:top w:val="nil"/>
                              <w:left w:val="nil"/>
                              <w:bottom w:val="nil"/>
                              <w:right w:val="nil"/>
                            </w:tcBorders>
                            <w:hideMark/>
                          </w:tcPr>
                          <w:p w14:paraId="383ECE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5C72209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2159BA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c>
                          <w:tcPr>
                            <w:tcW w:w="566" w:type="pct"/>
                            <w:tcBorders>
                              <w:top w:val="nil"/>
                              <w:left w:val="nil"/>
                              <w:bottom w:val="nil"/>
                              <w:right w:val="nil"/>
                            </w:tcBorders>
                            <w:hideMark/>
                          </w:tcPr>
                          <w:p w14:paraId="0A46DD2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5B9E23F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0.0 </w:t>
                            </w:r>
                          </w:p>
                        </w:tc>
                      </w:tr>
                      <w:tr w:rsidR="00781EC6" w:rsidRPr="00781EC6" w14:paraId="4A3D77F7" w14:textId="77777777" w:rsidTr="00781EC6">
                        <w:trPr>
                          <w:trHeight w:val="204"/>
                        </w:trPr>
                        <w:tc>
                          <w:tcPr>
                            <w:tcW w:w="1605" w:type="pct"/>
                            <w:tcBorders>
                              <w:top w:val="nil"/>
                              <w:left w:val="nil"/>
                              <w:bottom w:val="nil"/>
                              <w:right w:val="nil"/>
                            </w:tcBorders>
                            <w:noWrap/>
                            <w:hideMark/>
                          </w:tcPr>
                          <w:p w14:paraId="2C0EF93E"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Cash &amp; ST Investments</w:t>
                            </w:r>
                          </w:p>
                        </w:tc>
                        <w:tc>
                          <w:tcPr>
                            <w:tcW w:w="566" w:type="pct"/>
                            <w:tcBorders>
                              <w:top w:val="single" w:sz="4" w:space="0" w:color="000000"/>
                              <w:left w:val="nil"/>
                              <w:bottom w:val="nil"/>
                              <w:right w:val="nil"/>
                            </w:tcBorders>
                            <w:hideMark/>
                          </w:tcPr>
                          <w:p w14:paraId="557C8CB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5.1 </w:t>
                            </w:r>
                          </w:p>
                        </w:tc>
                        <w:tc>
                          <w:tcPr>
                            <w:tcW w:w="566" w:type="pct"/>
                            <w:tcBorders>
                              <w:top w:val="single" w:sz="4" w:space="0" w:color="000000"/>
                              <w:left w:val="nil"/>
                              <w:bottom w:val="nil"/>
                              <w:right w:val="nil"/>
                            </w:tcBorders>
                            <w:hideMark/>
                          </w:tcPr>
                          <w:p w14:paraId="262E8C5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5.5 </w:t>
                            </w:r>
                          </w:p>
                        </w:tc>
                        <w:tc>
                          <w:tcPr>
                            <w:tcW w:w="566" w:type="pct"/>
                            <w:tcBorders>
                              <w:top w:val="single" w:sz="4" w:space="0" w:color="000000"/>
                              <w:left w:val="nil"/>
                              <w:bottom w:val="nil"/>
                              <w:right w:val="nil"/>
                            </w:tcBorders>
                            <w:hideMark/>
                          </w:tcPr>
                          <w:p w14:paraId="62C9B85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4.3 </w:t>
                            </w:r>
                          </w:p>
                        </w:tc>
                        <w:tc>
                          <w:tcPr>
                            <w:tcW w:w="566" w:type="pct"/>
                            <w:tcBorders>
                              <w:top w:val="single" w:sz="4" w:space="0" w:color="000000"/>
                              <w:left w:val="nil"/>
                              <w:bottom w:val="nil"/>
                              <w:right w:val="nil"/>
                            </w:tcBorders>
                            <w:hideMark/>
                          </w:tcPr>
                          <w:p w14:paraId="6FB2F02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5.8 </w:t>
                            </w:r>
                          </w:p>
                        </w:tc>
                        <w:tc>
                          <w:tcPr>
                            <w:tcW w:w="566" w:type="pct"/>
                            <w:tcBorders>
                              <w:top w:val="single" w:sz="4" w:space="0" w:color="000000"/>
                              <w:left w:val="nil"/>
                              <w:bottom w:val="nil"/>
                              <w:right w:val="nil"/>
                            </w:tcBorders>
                            <w:hideMark/>
                          </w:tcPr>
                          <w:p w14:paraId="3EB3C14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7.4 </w:t>
                            </w:r>
                          </w:p>
                        </w:tc>
                        <w:tc>
                          <w:tcPr>
                            <w:tcW w:w="566" w:type="pct"/>
                            <w:tcBorders>
                              <w:top w:val="single" w:sz="4" w:space="0" w:color="000000"/>
                              <w:left w:val="nil"/>
                              <w:bottom w:val="nil"/>
                              <w:right w:val="nil"/>
                            </w:tcBorders>
                            <w:hideMark/>
                          </w:tcPr>
                          <w:p w14:paraId="110A111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7.0 </w:t>
                            </w:r>
                          </w:p>
                        </w:tc>
                      </w:tr>
                      <w:tr w:rsidR="00781EC6" w:rsidRPr="00781EC6" w14:paraId="3E79F6D1" w14:textId="77777777" w:rsidTr="00781EC6">
                        <w:trPr>
                          <w:trHeight w:val="204"/>
                        </w:trPr>
                        <w:tc>
                          <w:tcPr>
                            <w:tcW w:w="1605" w:type="pct"/>
                            <w:tcBorders>
                              <w:top w:val="nil"/>
                              <w:left w:val="nil"/>
                              <w:bottom w:val="nil"/>
                              <w:right w:val="nil"/>
                            </w:tcBorders>
                            <w:noWrap/>
                            <w:hideMark/>
                          </w:tcPr>
                          <w:p w14:paraId="333020D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Receivable</w:t>
                            </w:r>
                          </w:p>
                        </w:tc>
                        <w:tc>
                          <w:tcPr>
                            <w:tcW w:w="566" w:type="pct"/>
                            <w:tcBorders>
                              <w:top w:val="nil"/>
                              <w:left w:val="nil"/>
                              <w:bottom w:val="nil"/>
                              <w:right w:val="nil"/>
                            </w:tcBorders>
                            <w:hideMark/>
                          </w:tcPr>
                          <w:p w14:paraId="58679C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7.5 </w:t>
                            </w:r>
                          </w:p>
                        </w:tc>
                        <w:tc>
                          <w:tcPr>
                            <w:tcW w:w="566" w:type="pct"/>
                            <w:tcBorders>
                              <w:top w:val="nil"/>
                              <w:left w:val="nil"/>
                              <w:bottom w:val="nil"/>
                              <w:right w:val="nil"/>
                            </w:tcBorders>
                            <w:hideMark/>
                          </w:tcPr>
                          <w:p w14:paraId="19EB217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7.2 </w:t>
                            </w:r>
                          </w:p>
                        </w:tc>
                        <w:tc>
                          <w:tcPr>
                            <w:tcW w:w="566" w:type="pct"/>
                            <w:tcBorders>
                              <w:top w:val="nil"/>
                              <w:left w:val="nil"/>
                              <w:bottom w:val="nil"/>
                              <w:right w:val="nil"/>
                            </w:tcBorders>
                            <w:hideMark/>
                          </w:tcPr>
                          <w:p w14:paraId="6C703CC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6.9 </w:t>
                            </w:r>
                          </w:p>
                        </w:tc>
                        <w:tc>
                          <w:tcPr>
                            <w:tcW w:w="566" w:type="pct"/>
                            <w:tcBorders>
                              <w:top w:val="nil"/>
                              <w:left w:val="nil"/>
                              <w:bottom w:val="nil"/>
                              <w:right w:val="nil"/>
                            </w:tcBorders>
                            <w:hideMark/>
                          </w:tcPr>
                          <w:p w14:paraId="28D7A6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8.0 </w:t>
                            </w:r>
                          </w:p>
                        </w:tc>
                        <w:tc>
                          <w:tcPr>
                            <w:tcW w:w="566" w:type="pct"/>
                            <w:tcBorders>
                              <w:top w:val="nil"/>
                              <w:left w:val="nil"/>
                              <w:bottom w:val="nil"/>
                              <w:right w:val="nil"/>
                            </w:tcBorders>
                            <w:hideMark/>
                          </w:tcPr>
                          <w:p w14:paraId="741AABF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8.8 </w:t>
                            </w:r>
                          </w:p>
                        </w:tc>
                        <w:tc>
                          <w:tcPr>
                            <w:tcW w:w="566" w:type="pct"/>
                            <w:tcBorders>
                              <w:top w:val="nil"/>
                              <w:left w:val="nil"/>
                              <w:bottom w:val="nil"/>
                              <w:right w:val="nil"/>
                            </w:tcBorders>
                            <w:hideMark/>
                          </w:tcPr>
                          <w:p w14:paraId="3E437F5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8.2 </w:t>
                            </w:r>
                          </w:p>
                        </w:tc>
                      </w:tr>
                      <w:tr w:rsidR="00781EC6" w:rsidRPr="00781EC6" w14:paraId="2D59A98E" w14:textId="77777777" w:rsidTr="00781EC6">
                        <w:trPr>
                          <w:trHeight w:val="204"/>
                        </w:trPr>
                        <w:tc>
                          <w:tcPr>
                            <w:tcW w:w="1605" w:type="pct"/>
                            <w:tcBorders>
                              <w:top w:val="nil"/>
                              <w:left w:val="nil"/>
                              <w:bottom w:val="nil"/>
                              <w:right w:val="nil"/>
                            </w:tcBorders>
                            <w:noWrap/>
                            <w:hideMark/>
                          </w:tcPr>
                          <w:p w14:paraId="67FE763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Receivables</w:t>
                            </w:r>
                          </w:p>
                        </w:tc>
                        <w:tc>
                          <w:tcPr>
                            <w:tcW w:w="566" w:type="pct"/>
                            <w:tcBorders>
                              <w:top w:val="nil"/>
                              <w:left w:val="nil"/>
                              <w:bottom w:val="nil"/>
                              <w:right w:val="nil"/>
                            </w:tcBorders>
                            <w:hideMark/>
                          </w:tcPr>
                          <w:p w14:paraId="2809B7A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1.4 </w:t>
                            </w:r>
                          </w:p>
                        </w:tc>
                        <w:tc>
                          <w:tcPr>
                            <w:tcW w:w="566" w:type="pct"/>
                            <w:tcBorders>
                              <w:top w:val="nil"/>
                              <w:left w:val="nil"/>
                              <w:bottom w:val="nil"/>
                              <w:right w:val="nil"/>
                            </w:tcBorders>
                            <w:hideMark/>
                          </w:tcPr>
                          <w:p w14:paraId="17D6764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1985478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291510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282338E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A49D41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r>
                      <w:tr w:rsidR="00781EC6" w:rsidRPr="00781EC6" w14:paraId="6FD7057F" w14:textId="77777777" w:rsidTr="00781EC6">
                        <w:trPr>
                          <w:trHeight w:val="204"/>
                        </w:trPr>
                        <w:tc>
                          <w:tcPr>
                            <w:tcW w:w="1605" w:type="pct"/>
                            <w:tcBorders>
                              <w:top w:val="nil"/>
                              <w:left w:val="nil"/>
                              <w:bottom w:val="nil"/>
                              <w:right w:val="nil"/>
                            </w:tcBorders>
                            <w:noWrap/>
                            <w:hideMark/>
                          </w:tcPr>
                          <w:p w14:paraId="63CA7F7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Receivables</w:t>
                            </w:r>
                          </w:p>
                        </w:tc>
                        <w:tc>
                          <w:tcPr>
                            <w:tcW w:w="566" w:type="pct"/>
                            <w:tcBorders>
                              <w:top w:val="single" w:sz="4" w:space="0" w:color="000000"/>
                              <w:left w:val="nil"/>
                              <w:bottom w:val="nil"/>
                              <w:right w:val="nil"/>
                            </w:tcBorders>
                            <w:hideMark/>
                          </w:tcPr>
                          <w:p w14:paraId="6A88814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8.9 </w:t>
                            </w:r>
                          </w:p>
                        </w:tc>
                        <w:tc>
                          <w:tcPr>
                            <w:tcW w:w="566" w:type="pct"/>
                            <w:tcBorders>
                              <w:top w:val="single" w:sz="4" w:space="0" w:color="000000"/>
                              <w:left w:val="nil"/>
                              <w:bottom w:val="nil"/>
                              <w:right w:val="nil"/>
                            </w:tcBorders>
                            <w:hideMark/>
                          </w:tcPr>
                          <w:p w14:paraId="11D519A1"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8.6 </w:t>
                            </w:r>
                          </w:p>
                        </w:tc>
                        <w:tc>
                          <w:tcPr>
                            <w:tcW w:w="566" w:type="pct"/>
                            <w:tcBorders>
                              <w:top w:val="single" w:sz="4" w:space="0" w:color="000000"/>
                              <w:left w:val="nil"/>
                              <w:bottom w:val="nil"/>
                              <w:right w:val="nil"/>
                            </w:tcBorders>
                            <w:hideMark/>
                          </w:tcPr>
                          <w:p w14:paraId="3744E0D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8.4 </w:t>
                            </w:r>
                          </w:p>
                        </w:tc>
                        <w:tc>
                          <w:tcPr>
                            <w:tcW w:w="566" w:type="pct"/>
                            <w:tcBorders>
                              <w:top w:val="single" w:sz="4" w:space="0" w:color="000000"/>
                              <w:left w:val="nil"/>
                              <w:bottom w:val="nil"/>
                              <w:right w:val="nil"/>
                            </w:tcBorders>
                            <w:hideMark/>
                          </w:tcPr>
                          <w:p w14:paraId="6873AB5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9.8 </w:t>
                            </w:r>
                          </w:p>
                        </w:tc>
                        <w:tc>
                          <w:tcPr>
                            <w:tcW w:w="566" w:type="pct"/>
                            <w:tcBorders>
                              <w:top w:val="single" w:sz="4" w:space="0" w:color="000000"/>
                              <w:left w:val="nil"/>
                              <w:bottom w:val="nil"/>
                              <w:right w:val="nil"/>
                            </w:tcBorders>
                            <w:hideMark/>
                          </w:tcPr>
                          <w:p w14:paraId="3882259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10.5 </w:t>
                            </w:r>
                          </w:p>
                        </w:tc>
                        <w:tc>
                          <w:tcPr>
                            <w:tcW w:w="566" w:type="pct"/>
                            <w:tcBorders>
                              <w:top w:val="single" w:sz="4" w:space="0" w:color="000000"/>
                              <w:left w:val="nil"/>
                              <w:bottom w:val="nil"/>
                              <w:right w:val="nil"/>
                            </w:tcBorders>
                            <w:hideMark/>
                          </w:tcPr>
                          <w:p w14:paraId="73E9EA8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10.0 </w:t>
                            </w:r>
                          </w:p>
                        </w:tc>
                      </w:tr>
                      <w:tr w:rsidR="00781EC6" w:rsidRPr="00781EC6" w14:paraId="54B3038E" w14:textId="77777777" w:rsidTr="00781EC6">
                        <w:trPr>
                          <w:trHeight w:val="204"/>
                        </w:trPr>
                        <w:tc>
                          <w:tcPr>
                            <w:tcW w:w="1605" w:type="pct"/>
                            <w:tcBorders>
                              <w:top w:val="nil"/>
                              <w:left w:val="nil"/>
                              <w:bottom w:val="nil"/>
                              <w:right w:val="nil"/>
                            </w:tcBorders>
                            <w:noWrap/>
                            <w:hideMark/>
                          </w:tcPr>
                          <w:p w14:paraId="26FACBD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Inventory</w:t>
                            </w:r>
                          </w:p>
                        </w:tc>
                        <w:tc>
                          <w:tcPr>
                            <w:tcW w:w="566" w:type="pct"/>
                            <w:tcBorders>
                              <w:top w:val="nil"/>
                              <w:left w:val="nil"/>
                              <w:bottom w:val="nil"/>
                              <w:right w:val="nil"/>
                            </w:tcBorders>
                            <w:hideMark/>
                          </w:tcPr>
                          <w:p w14:paraId="7E6B47A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6.6 </w:t>
                            </w:r>
                          </w:p>
                        </w:tc>
                        <w:tc>
                          <w:tcPr>
                            <w:tcW w:w="566" w:type="pct"/>
                            <w:tcBorders>
                              <w:top w:val="nil"/>
                              <w:left w:val="nil"/>
                              <w:bottom w:val="nil"/>
                              <w:right w:val="nil"/>
                            </w:tcBorders>
                            <w:hideMark/>
                          </w:tcPr>
                          <w:p w14:paraId="74A7D8B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6.5 </w:t>
                            </w:r>
                          </w:p>
                        </w:tc>
                        <w:tc>
                          <w:tcPr>
                            <w:tcW w:w="566" w:type="pct"/>
                            <w:tcBorders>
                              <w:top w:val="nil"/>
                              <w:left w:val="nil"/>
                              <w:bottom w:val="nil"/>
                              <w:right w:val="nil"/>
                            </w:tcBorders>
                            <w:hideMark/>
                          </w:tcPr>
                          <w:p w14:paraId="663277D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6.7 </w:t>
                            </w:r>
                          </w:p>
                        </w:tc>
                        <w:tc>
                          <w:tcPr>
                            <w:tcW w:w="566" w:type="pct"/>
                            <w:tcBorders>
                              <w:top w:val="nil"/>
                              <w:left w:val="nil"/>
                              <w:bottom w:val="nil"/>
                              <w:right w:val="nil"/>
                            </w:tcBorders>
                            <w:hideMark/>
                          </w:tcPr>
                          <w:p w14:paraId="392C615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7.4 </w:t>
                            </w:r>
                          </w:p>
                        </w:tc>
                        <w:tc>
                          <w:tcPr>
                            <w:tcW w:w="566" w:type="pct"/>
                            <w:tcBorders>
                              <w:top w:val="nil"/>
                              <w:left w:val="nil"/>
                              <w:bottom w:val="nil"/>
                              <w:right w:val="nil"/>
                            </w:tcBorders>
                            <w:hideMark/>
                          </w:tcPr>
                          <w:p w14:paraId="769E8E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7.2 </w:t>
                            </w:r>
                          </w:p>
                        </w:tc>
                        <w:tc>
                          <w:tcPr>
                            <w:tcW w:w="566" w:type="pct"/>
                            <w:tcBorders>
                              <w:top w:val="nil"/>
                              <w:left w:val="nil"/>
                              <w:bottom w:val="nil"/>
                              <w:right w:val="nil"/>
                            </w:tcBorders>
                            <w:hideMark/>
                          </w:tcPr>
                          <w:p w14:paraId="3BCA23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6.9 </w:t>
                            </w:r>
                          </w:p>
                        </w:tc>
                      </w:tr>
                      <w:tr w:rsidR="00781EC6" w:rsidRPr="00781EC6" w14:paraId="46DE0E91" w14:textId="77777777" w:rsidTr="00781EC6">
                        <w:trPr>
                          <w:trHeight w:val="204"/>
                        </w:trPr>
                        <w:tc>
                          <w:tcPr>
                            <w:tcW w:w="1605" w:type="pct"/>
                            <w:tcBorders>
                              <w:top w:val="nil"/>
                              <w:left w:val="nil"/>
                              <w:bottom w:val="nil"/>
                              <w:right w:val="nil"/>
                            </w:tcBorders>
                            <w:noWrap/>
                            <w:hideMark/>
                          </w:tcPr>
                          <w:p w14:paraId="729C328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Prepaid Exp.</w:t>
                            </w:r>
                          </w:p>
                        </w:tc>
                        <w:tc>
                          <w:tcPr>
                            <w:tcW w:w="566" w:type="pct"/>
                            <w:tcBorders>
                              <w:top w:val="nil"/>
                              <w:left w:val="nil"/>
                              <w:bottom w:val="nil"/>
                              <w:right w:val="nil"/>
                            </w:tcBorders>
                            <w:hideMark/>
                          </w:tcPr>
                          <w:p w14:paraId="6D4A69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5ABDA62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389C9D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6B590E4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5286526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0613F6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r>
                      <w:tr w:rsidR="00781EC6" w:rsidRPr="00781EC6" w14:paraId="77469C64" w14:textId="77777777" w:rsidTr="00781EC6">
                        <w:trPr>
                          <w:trHeight w:val="204"/>
                        </w:trPr>
                        <w:tc>
                          <w:tcPr>
                            <w:tcW w:w="1605" w:type="pct"/>
                            <w:tcBorders>
                              <w:top w:val="nil"/>
                              <w:left w:val="nil"/>
                              <w:bottom w:val="nil"/>
                              <w:right w:val="nil"/>
                            </w:tcBorders>
                            <w:noWrap/>
                            <w:hideMark/>
                          </w:tcPr>
                          <w:p w14:paraId="4FE1BBE6"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Current Assets</w:t>
                            </w:r>
                          </w:p>
                        </w:tc>
                        <w:tc>
                          <w:tcPr>
                            <w:tcW w:w="566" w:type="pct"/>
                            <w:tcBorders>
                              <w:top w:val="nil"/>
                              <w:left w:val="nil"/>
                              <w:bottom w:val="nil"/>
                              <w:right w:val="nil"/>
                            </w:tcBorders>
                            <w:hideMark/>
                          </w:tcPr>
                          <w:p w14:paraId="21F23D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6532D9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AC15F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176ECE1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10E4638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24CA12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r>
                      <w:tr w:rsidR="00781EC6" w:rsidRPr="00781EC6" w14:paraId="58A5FC12" w14:textId="77777777" w:rsidTr="00781EC6">
                        <w:trPr>
                          <w:trHeight w:val="204"/>
                        </w:trPr>
                        <w:tc>
                          <w:tcPr>
                            <w:tcW w:w="1605" w:type="pct"/>
                            <w:tcBorders>
                              <w:top w:val="nil"/>
                              <w:left w:val="nil"/>
                              <w:bottom w:val="nil"/>
                              <w:right w:val="nil"/>
                            </w:tcBorders>
                            <w:noWrap/>
                            <w:hideMark/>
                          </w:tcPr>
                          <w:p w14:paraId="6AEAA289"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Current Assets</w:t>
                            </w:r>
                          </w:p>
                        </w:tc>
                        <w:tc>
                          <w:tcPr>
                            <w:tcW w:w="566" w:type="pct"/>
                            <w:tcBorders>
                              <w:top w:val="single" w:sz="4" w:space="0" w:color="000000"/>
                              <w:left w:val="nil"/>
                              <w:bottom w:val="nil"/>
                              <w:right w:val="nil"/>
                            </w:tcBorders>
                            <w:hideMark/>
                          </w:tcPr>
                          <w:p w14:paraId="466A458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21.2 </w:t>
                            </w:r>
                          </w:p>
                        </w:tc>
                        <w:tc>
                          <w:tcPr>
                            <w:tcW w:w="566" w:type="pct"/>
                            <w:tcBorders>
                              <w:top w:val="single" w:sz="4" w:space="0" w:color="000000"/>
                              <w:left w:val="nil"/>
                              <w:bottom w:val="nil"/>
                              <w:right w:val="nil"/>
                            </w:tcBorders>
                            <w:hideMark/>
                          </w:tcPr>
                          <w:p w14:paraId="75F9105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21.4 </w:t>
                            </w:r>
                          </w:p>
                        </w:tc>
                        <w:tc>
                          <w:tcPr>
                            <w:tcW w:w="566" w:type="pct"/>
                            <w:tcBorders>
                              <w:top w:val="single" w:sz="4" w:space="0" w:color="000000"/>
                              <w:left w:val="nil"/>
                              <w:bottom w:val="nil"/>
                              <w:right w:val="nil"/>
                            </w:tcBorders>
                            <w:hideMark/>
                          </w:tcPr>
                          <w:p w14:paraId="6EF4FFC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20.2 </w:t>
                            </w:r>
                          </w:p>
                        </w:tc>
                        <w:tc>
                          <w:tcPr>
                            <w:tcW w:w="566" w:type="pct"/>
                            <w:tcBorders>
                              <w:top w:val="single" w:sz="4" w:space="0" w:color="000000"/>
                              <w:left w:val="nil"/>
                              <w:bottom w:val="nil"/>
                              <w:right w:val="nil"/>
                            </w:tcBorders>
                            <w:hideMark/>
                          </w:tcPr>
                          <w:p w14:paraId="48060A7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25.6 </w:t>
                            </w:r>
                          </w:p>
                        </w:tc>
                        <w:tc>
                          <w:tcPr>
                            <w:tcW w:w="566" w:type="pct"/>
                            <w:tcBorders>
                              <w:top w:val="single" w:sz="4" w:space="0" w:color="000000"/>
                              <w:left w:val="nil"/>
                              <w:bottom w:val="nil"/>
                              <w:right w:val="nil"/>
                            </w:tcBorders>
                            <w:hideMark/>
                          </w:tcPr>
                          <w:p w14:paraId="2ACBD9C9"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25.9 </w:t>
                            </w:r>
                          </w:p>
                        </w:tc>
                        <w:tc>
                          <w:tcPr>
                            <w:tcW w:w="566" w:type="pct"/>
                            <w:tcBorders>
                              <w:top w:val="single" w:sz="4" w:space="0" w:color="000000"/>
                              <w:left w:val="nil"/>
                              <w:bottom w:val="nil"/>
                              <w:right w:val="nil"/>
                            </w:tcBorders>
                            <w:hideMark/>
                          </w:tcPr>
                          <w:p w14:paraId="696EBF1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24.6 </w:t>
                            </w:r>
                          </w:p>
                        </w:tc>
                      </w:tr>
                      <w:tr w:rsidR="00781EC6" w:rsidRPr="00781EC6" w14:paraId="63C7C27E" w14:textId="77777777" w:rsidTr="00781EC6">
                        <w:trPr>
                          <w:trHeight w:val="204"/>
                        </w:trPr>
                        <w:tc>
                          <w:tcPr>
                            <w:tcW w:w="1605" w:type="pct"/>
                            <w:tcBorders>
                              <w:top w:val="nil"/>
                              <w:left w:val="nil"/>
                              <w:bottom w:val="nil"/>
                              <w:right w:val="nil"/>
                            </w:tcBorders>
                            <w:noWrap/>
                            <w:hideMark/>
                          </w:tcPr>
                          <w:p w14:paraId="72C41E2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Gross Property, Plant &amp; Equipment</w:t>
                            </w:r>
                          </w:p>
                        </w:tc>
                        <w:tc>
                          <w:tcPr>
                            <w:tcW w:w="566" w:type="pct"/>
                            <w:tcBorders>
                              <w:top w:val="nil"/>
                              <w:left w:val="nil"/>
                              <w:bottom w:val="nil"/>
                              <w:right w:val="nil"/>
                            </w:tcBorders>
                            <w:hideMark/>
                          </w:tcPr>
                          <w:p w14:paraId="68C568F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39.5 </w:t>
                            </w:r>
                          </w:p>
                        </w:tc>
                        <w:tc>
                          <w:tcPr>
                            <w:tcW w:w="566" w:type="pct"/>
                            <w:tcBorders>
                              <w:top w:val="nil"/>
                              <w:left w:val="nil"/>
                              <w:bottom w:val="nil"/>
                              <w:right w:val="nil"/>
                            </w:tcBorders>
                            <w:hideMark/>
                          </w:tcPr>
                          <w:p w14:paraId="785827B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42.4 </w:t>
                            </w:r>
                          </w:p>
                        </w:tc>
                        <w:tc>
                          <w:tcPr>
                            <w:tcW w:w="566" w:type="pct"/>
                            <w:tcBorders>
                              <w:top w:val="nil"/>
                              <w:left w:val="nil"/>
                              <w:bottom w:val="nil"/>
                              <w:right w:val="nil"/>
                            </w:tcBorders>
                            <w:hideMark/>
                          </w:tcPr>
                          <w:p w14:paraId="68F77CF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41.1 </w:t>
                            </w:r>
                          </w:p>
                        </w:tc>
                        <w:tc>
                          <w:tcPr>
                            <w:tcW w:w="566" w:type="pct"/>
                            <w:tcBorders>
                              <w:top w:val="nil"/>
                              <w:left w:val="nil"/>
                              <w:bottom w:val="nil"/>
                              <w:right w:val="nil"/>
                            </w:tcBorders>
                            <w:hideMark/>
                          </w:tcPr>
                          <w:p w14:paraId="79826E5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40.6 </w:t>
                            </w:r>
                          </w:p>
                        </w:tc>
                        <w:tc>
                          <w:tcPr>
                            <w:tcW w:w="566" w:type="pct"/>
                            <w:tcBorders>
                              <w:top w:val="nil"/>
                              <w:left w:val="nil"/>
                              <w:bottom w:val="nil"/>
                              <w:right w:val="nil"/>
                            </w:tcBorders>
                            <w:hideMark/>
                          </w:tcPr>
                          <w:p w14:paraId="1BCFF2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42.7 </w:t>
                            </w:r>
                          </w:p>
                        </w:tc>
                        <w:tc>
                          <w:tcPr>
                            <w:tcW w:w="566" w:type="pct"/>
                            <w:tcBorders>
                              <w:top w:val="nil"/>
                              <w:left w:val="nil"/>
                              <w:bottom w:val="nil"/>
                              <w:right w:val="nil"/>
                            </w:tcBorders>
                            <w:hideMark/>
                          </w:tcPr>
                          <w:p w14:paraId="1398B0E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41.9 </w:t>
                            </w:r>
                          </w:p>
                        </w:tc>
                      </w:tr>
                      <w:tr w:rsidR="00781EC6" w:rsidRPr="00781EC6" w14:paraId="340759EE" w14:textId="77777777" w:rsidTr="00781EC6">
                        <w:trPr>
                          <w:trHeight w:val="204"/>
                        </w:trPr>
                        <w:tc>
                          <w:tcPr>
                            <w:tcW w:w="1605" w:type="pct"/>
                            <w:tcBorders>
                              <w:top w:val="nil"/>
                              <w:left w:val="nil"/>
                              <w:bottom w:val="nil"/>
                              <w:right w:val="nil"/>
                            </w:tcBorders>
                            <w:noWrap/>
                            <w:hideMark/>
                          </w:tcPr>
                          <w:p w14:paraId="017D528A"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Accumulated Depreciation</w:t>
                            </w:r>
                          </w:p>
                        </w:tc>
                        <w:tc>
                          <w:tcPr>
                            <w:tcW w:w="566" w:type="pct"/>
                            <w:tcBorders>
                              <w:top w:val="nil"/>
                              <w:left w:val="nil"/>
                              <w:bottom w:val="nil"/>
                              <w:right w:val="nil"/>
                            </w:tcBorders>
                            <w:hideMark/>
                          </w:tcPr>
                          <w:p w14:paraId="3FD427C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(21.1)  </w:t>
                            </w:r>
                          </w:p>
                        </w:tc>
                        <w:tc>
                          <w:tcPr>
                            <w:tcW w:w="566" w:type="pct"/>
                            <w:tcBorders>
                              <w:top w:val="nil"/>
                              <w:left w:val="nil"/>
                              <w:bottom w:val="nil"/>
                              <w:right w:val="nil"/>
                            </w:tcBorders>
                            <w:hideMark/>
                          </w:tcPr>
                          <w:p w14:paraId="490737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(24.1)  </w:t>
                            </w:r>
                          </w:p>
                        </w:tc>
                        <w:tc>
                          <w:tcPr>
                            <w:tcW w:w="566" w:type="pct"/>
                            <w:tcBorders>
                              <w:top w:val="nil"/>
                              <w:left w:val="nil"/>
                              <w:bottom w:val="nil"/>
                              <w:right w:val="nil"/>
                            </w:tcBorders>
                            <w:hideMark/>
                          </w:tcPr>
                          <w:p w14:paraId="34F9E96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(24.0)  </w:t>
                            </w:r>
                          </w:p>
                        </w:tc>
                        <w:tc>
                          <w:tcPr>
                            <w:tcW w:w="566" w:type="pct"/>
                            <w:tcBorders>
                              <w:top w:val="nil"/>
                              <w:left w:val="nil"/>
                              <w:bottom w:val="nil"/>
                              <w:right w:val="nil"/>
                            </w:tcBorders>
                            <w:hideMark/>
                          </w:tcPr>
                          <w:p w14:paraId="727BC7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(22.6)  </w:t>
                            </w:r>
                          </w:p>
                        </w:tc>
                        <w:tc>
                          <w:tcPr>
                            <w:tcW w:w="566" w:type="pct"/>
                            <w:tcBorders>
                              <w:top w:val="nil"/>
                              <w:left w:val="nil"/>
                              <w:bottom w:val="nil"/>
                              <w:right w:val="nil"/>
                            </w:tcBorders>
                            <w:hideMark/>
                          </w:tcPr>
                          <w:p w14:paraId="11A20E8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(24.1)  </w:t>
                            </w:r>
                          </w:p>
                        </w:tc>
                        <w:tc>
                          <w:tcPr>
                            <w:tcW w:w="566" w:type="pct"/>
                            <w:tcBorders>
                              <w:top w:val="nil"/>
                              <w:left w:val="nil"/>
                              <w:bottom w:val="nil"/>
                              <w:right w:val="nil"/>
                            </w:tcBorders>
                            <w:hideMark/>
                          </w:tcPr>
                          <w:p w14:paraId="11137F4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(23.7)  </w:t>
                            </w:r>
                          </w:p>
                        </w:tc>
                      </w:tr>
                      <w:tr w:rsidR="00781EC6" w:rsidRPr="00781EC6" w14:paraId="0D785C57" w14:textId="77777777" w:rsidTr="00781EC6">
                        <w:trPr>
                          <w:trHeight w:val="204"/>
                        </w:trPr>
                        <w:tc>
                          <w:tcPr>
                            <w:tcW w:w="1605" w:type="pct"/>
                            <w:tcBorders>
                              <w:top w:val="nil"/>
                              <w:left w:val="nil"/>
                              <w:bottom w:val="nil"/>
                              <w:right w:val="nil"/>
                            </w:tcBorders>
                            <w:noWrap/>
                            <w:hideMark/>
                          </w:tcPr>
                          <w:p w14:paraId="1911D8B4"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Net Property, Plant &amp; Equipment</w:t>
                            </w:r>
                          </w:p>
                        </w:tc>
                        <w:tc>
                          <w:tcPr>
                            <w:tcW w:w="566" w:type="pct"/>
                            <w:tcBorders>
                              <w:top w:val="single" w:sz="4" w:space="0" w:color="000000"/>
                              <w:left w:val="nil"/>
                              <w:bottom w:val="nil"/>
                              <w:right w:val="nil"/>
                            </w:tcBorders>
                            <w:hideMark/>
                          </w:tcPr>
                          <w:p w14:paraId="5CB331A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18.4 </w:t>
                            </w:r>
                          </w:p>
                        </w:tc>
                        <w:tc>
                          <w:tcPr>
                            <w:tcW w:w="566" w:type="pct"/>
                            <w:tcBorders>
                              <w:top w:val="single" w:sz="4" w:space="0" w:color="000000"/>
                              <w:left w:val="nil"/>
                              <w:bottom w:val="nil"/>
                              <w:right w:val="nil"/>
                            </w:tcBorders>
                            <w:hideMark/>
                          </w:tcPr>
                          <w:p w14:paraId="6185B43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18.4 </w:t>
                            </w:r>
                          </w:p>
                        </w:tc>
                        <w:tc>
                          <w:tcPr>
                            <w:tcW w:w="566" w:type="pct"/>
                            <w:tcBorders>
                              <w:top w:val="single" w:sz="4" w:space="0" w:color="000000"/>
                              <w:left w:val="nil"/>
                              <w:bottom w:val="nil"/>
                              <w:right w:val="nil"/>
                            </w:tcBorders>
                            <w:hideMark/>
                          </w:tcPr>
                          <w:p w14:paraId="615F207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17.2 </w:t>
                            </w:r>
                          </w:p>
                        </w:tc>
                        <w:tc>
                          <w:tcPr>
                            <w:tcW w:w="566" w:type="pct"/>
                            <w:tcBorders>
                              <w:top w:val="single" w:sz="4" w:space="0" w:color="000000"/>
                              <w:left w:val="nil"/>
                              <w:bottom w:val="nil"/>
                              <w:right w:val="nil"/>
                            </w:tcBorders>
                            <w:hideMark/>
                          </w:tcPr>
                          <w:p w14:paraId="196DF69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18.0 </w:t>
                            </w:r>
                          </w:p>
                        </w:tc>
                        <w:tc>
                          <w:tcPr>
                            <w:tcW w:w="566" w:type="pct"/>
                            <w:tcBorders>
                              <w:top w:val="single" w:sz="4" w:space="0" w:color="000000"/>
                              <w:left w:val="nil"/>
                              <w:bottom w:val="nil"/>
                              <w:right w:val="nil"/>
                            </w:tcBorders>
                            <w:hideMark/>
                          </w:tcPr>
                          <w:p w14:paraId="2A9A960A"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18.6 </w:t>
                            </w:r>
                          </w:p>
                        </w:tc>
                        <w:tc>
                          <w:tcPr>
                            <w:tcW w:w="566" w:type="pct"/>
                            <w:tcBorders>
                              <w:top w:val="single" w:sz="4" w:space="0" w:color="000000"/>
                              <w:left w:val="nil"/>
                              <w:bottom w:val="nil"/>
                              <w:right w:val="nil"/>
                            </w:tcBorders>
                            <w:hideMark/>
                          </w:tcPr>
                          <w:p w14:paraId="077ACF89"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18.2 </w:t>
                            </w:r>
                          </w:p>
                        </w:tc>
                      </w:tr>
                      <w:tr w:rsidR="00781EC6" w:rsidRPr="00781EC6" w14:paraId="39F9B85D" w14:textId="77777777" w:rsidTr="00781EC6">
                        <w:trPr>
                          <w:trHeight w:val="204"/>
                        </w:trPr>
                        <w:tc>
                          <w:tcPr>
                            <w:tcW w:w="1605" w:type="pct"/>
                            <w:tcBorders>
                              <w:top w:val="nil"/>
                              <w:left w:val="nil"/>
                              <w:bottom w:val="nil"/>
                              <w:right w:val="nil"/>
                            </w:tcBorders>
                            <w:noWrap/>
                            <w:hideMark/>
                          </w:tcPr>
                          <w:p w14:paraId="5D7B3777"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Investments</w:t>
                            </w:r>
                          </w:p>
                        </w:tc>
                        <w:tc>
                          <w:tcPr>
                            <w:tcW w:w="566" w:type="pct"/>
                            <w:tcBorders>
                              <w:top w:val="nil"/>
                              <w:left w:val="nil"/>
                              <w:bottom w:val="nil"/>
                              <w:right w:val="nil"/>
                            </w:tcBorders>
                            <w:hideMark/>
                          </w:tcPr>
                          <w:p w14:paraId="5B0BC37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6D56BA5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333897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1D29D2B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884977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41B438F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r>
                      <w:tr w:rsidR="00781EC6" w:rsidRPr="00781EC6" w14:paraId="48FBAD13" w14:textId="77777777" w:rsidTr="00781EC6">
                        <w:trPr>
                          <w:trHeight w:val="204"/>
                        </w:trPr>
                        <w:tc>
                          <w:tcPr>
                            <w:tcW w:w="1605" w:type="pct"/>
                            <w:tcBorders>
                              <w:top w:val="nil"/>
                              <w:left w:val="nil"/>
                              <w:bottom w:val="nil"/>
                              <w:right w:val="nil"/>
                            </w:tcBorders>
                            <w:noWrap/>
                            <w:hideMark/>
                          </w:tcPr>
                          <w:p w14:paraId="3C22ABD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Goodwill</w:t>
                            </w:r>
                          </w:p>
                        </w:tc>
                        <w:tc>
                          <w:tcPr>
                            <w:tcW w:w="566" w:type="pct"/>
                            <w:tcBorders>
                              <w:top w:val="nil"/>
                              <w:left w:val="nil"/>
                              <w:bottom w:val="nil"/>
                              <w:right w:val="nil"/>
                            </w:tcBorders>
                            <w:hideMark/>
                          </w:tcPr>
                          <w:p w14:paraId="1926373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9.0 </w:t>
                            </w:r>
                          </w:p>
                        </w:tc>
                        <w:tc>
                          <w:tcPr>
                            <w:tcW w:w="566" w:type="pct"/>
                            <w:tcBorders>
                              <w:top w:val="nil"/>
                              <w:left w:val="nil"/>
                              <w:bottom w:val="nil"/>
                              <w:right w:val="nil"/>
                            </w:tcBorders>
                            <w:hideMark/>
                          </w:tcPr>
                          <w:p w14:paraId="6A20D4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9.8 </w:t>
                            </w:r>
                          </w:p>
                        </w:tc>
                        <w:tc>
                          <w:tcPr>
                            <w:tcW w:w="566" w:type="pct"/>
                            <w:tcBorders>
                              <w:top w:val="nil"/>
                              <w:left w:val="nil"/>
                              <w:bottom w:val="nil"/>
                              <w:right w:val="nil"/>
                            </w:tcBorders>
                            <w:hideMark/>
                          </w:tcPr>
                          <w:p w14:paraId="0889FF4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9.1 </w:t>
                            </w:r>
                          </w:p>
                        </w:tc>
                        <w:tc>
                          <w:tcPr>
                            <w:tcW w:w="566" w:type="pct"/>
                            <w:tcBorders>
                              <w:top w:val="nil"/>
                              <w:left w:val="nil"/>
                              <w:bottom w:val="nil"/>
                              <w:right w:val="nil"/>
                            </w:tcBorders>
                            <w:hideMark/>
                          </w:tcPr>
                          <w:p w14:paraId="31140C8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9.2 </w:t>
                            </w:r>
                          </w:p>
                        </w:tc>
                        <w:tc>
                          <w:tcPr>
                            <w:tcW w:w="566" w:type="pct"/>
                            <w:tcBorders>
                              <w:top w:val="nil"/>
                              <w:left w:val="nil"/>
                              <w:bottom w:val="nil"/>
                              <w:right w:val="nil"/>
                            </w:tcBorders>
                            <w:hideMark/>
                          </w:tcPr>
                          <w:p w14:paraId="6930A16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9.6 </w:t>
                            </w:r>
                          </w:p>
                        </w:tc>
                        <w:tc>
                          <w:tcPr>
                            <w:tcW w:w="566" w:type="pct"/>
                            <w:tcBorders>
                              <w:top w:val="nil"/>
                              <w:left w:val="nil"/>
                              <w:bottom w:val="nil"/>
                              <w:right w:val="nil"/>
                            </w:tcBorders>
                            <w:hideMark/>
                          </w:tcPr>
                          <w:p w14:paraId="09ACE5E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9.3 </w:t>
                            </w:r>
                          </w:p>
                        </w:tc>
                      </w:tr>
                      <w:tr w:rsidR="00781EC6" w:rsidRPr="00781EC6" w14:paraId="1948C0B6" w14:textId="77777777" w:rsidTr="00781EC6">
                        <w:trPr>
                          <w:trHeight w:val="204"/>
                        </w:trPr>
                        <w:tc>
                          <w:tcPr>
                            <w:tcW w:w="1605" w:type="pct"/>
                            <w:tcBorders>
                              <w:top w:val="nil"/>
                              <w:left w:val="nil"/>
                              <w:bottom w:val="nil"/>
                              <w:right w:val="nil"/>
                            </w:tcBorders>
                            <w:noWrap/>
                            <w:hideMark/>
                          </w:tcPr>
                          <w:p w14:paraId="7A2B7E8D"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Intangibles</w:t>
                            </w:r>
                          </w:p>
                        </w:tc>
                        <w:tc>
                          <w:tcPr>
                            <w:tcW w:w="566" w:type="pct"/>
                            <w:tcBorders>
                              <w:top w:val="nil"/>
                              <w:left w:val="nil"/>
                              <w:bottom w:val="nil"/>
                              <w:right w:val="nil"/>
                            </w:tcBorders>
                            <w:hideMark/>
                          </w:tcPr>
                          <w:p w14:paraId="71A2E07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1089BE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0F5C027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c>
                          <w:tcPr>
                            <w:tcW w:w="566" w:type="pct"/>
                            <w:tcBorders>
                              <w:top w:val="nil"/>
                              <w:left w:val="nil"/>
                              <w:bottom w:val="nil"/>
                              <w:right w:val="nil"/>
                            </w:tcBorders>
                            <w:hideMark/>
                          </w:tcPr>
                          <w:p w14:paraId="57D6798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5A00E6A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c>
                          <w:tcPr>
                            <w:tcW w:w="566" w:type="pct"/>
                            <w:tcBorders>
                              <w:top w:val="nil"/>
                              <w:left w:val="nil"/>
                              <w:bottom w:val="nil"/>
                              <w:right w:val="nil"/>
                            </w:tcBorders>
                            <w:hideMark/>
                          </w:tcPr>
                          <w:p w14:paraId="6F9DF18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r>
                      <w:tr w:rsidR="00781EC6" w:rsidRPr="00781EC6" w14:paraId="026C2293" w14:textId="77777777" w:rsidTr="00781EC6">
                        <w:trPr>
                          <w:trHeight w:val="204"/>
                        </w:trPr>
                        <w:tc>
                          <w:tcPr>
                            <w:tcW w:w="1605" w:type="pct"/>
                            <w:tcBorders>
                              <w:top w:val="nil"/>
                              <w:left w:val="nil"/>
                              <w:bottom w:val="nil"/>
                              <w:right w:val="nil"/>
                            </w:tcBorders>
                            <w:noWrap/>
                            <w:hideMark/>
                          </w:tcPr>
                          <w:p w14:paraId="1715BDC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Receivable Long-Term</w:t>
                            </w:r>
                          </w:p>
                        </w:tc>
                        <w:tc>
                          <w:tcPr>
                            <w:tcW w:w="566" w:type="pct"/>
                            <w:tcBorders>
                              <w:top w:val="nil"/>
                              <w:left w:val="nil"/>
                              <w:bottom w:val="nil"/>
                              <w:right w:val="nil"/>
                            </w:tcBorders>
                            <w:hideMark/>
                          </w:tcPr>
                          <w:p w14:paraId="381EC6A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0FB7A71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2.5 </w:t>
                            </w:r>
                          </w:p>
                        </w:tc>
                        <w:tc>
                          <w:tcPr>
                            <w:tcW w:w="566" w:type="pct"/>
                            <w:tcBorders>
                              <w:top w:val="nil"/>
                              <w:left w:val="nil"/>
                              <w:bottom w:val="nil"/>
                              <w:right w:val="nil"/>
                            </w:tcBorders>
                            <w:hideMark/>
                          </w:tcPr>
                          <w:p w14:paraId="139226E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68EC187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4473097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0C3FB0B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r>
                      <w:tr w:rsidR="00781EC6" w:rsidRPr="00781EC6" w14:paraId="511569A5" w14:textId="77777777" w:rsidTr="00781EC6">
                        <w:trPr>
                          <w:trHeight w:val="204"/>
                        </w:trPr>
                        <w:tc>
                          <w:tcPr>
                            <w:tcW w:w="1605" w:type="pct"/>
                            <w:tcBorders>
                              <w:top w:val="nil"/>
                              <w:left w:val="nil"/>
                              <w:bottom w:val="nil"/>
                              <w:right w:val="nil"/>
                            </w:tcBorders>
                            <w:noWrap/>
                            <w:hideMark/>
                          </w:tcPr>
                          <w:p w14:paraId="097701B3"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Deferred Tax Assets, LT</w:t>
                            </w:r>
                          </w:p>
                        </w:tc>
                        <w:tc>
                          <w:tcPr>
                            <w:tcW w:w="566" w:type="pct"/>
                            <w:tcBorders>
                              <w:top w:val="nil"/>
                              <w:left w:val="nil"/>
                              <w:bottom w:val="nil"/>
                              <w:right w:val="nil"/>
                            </w:tcBorders>
                            <w:hideMark/>
                          </w:tcPr>
                          <w:p w14:paraId="3588EE8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0.9 </w:t>
                            </w:r>
                          </w:p>
                        </w:tc>
                        <w:tc>
                          <w:tcPr>
                            <w:tcW w:w="566" w:type="pct"/>
                            <w:tcBorders>
                              <w:top w:val="nil"/>
                              <w:left w:val="nil"/>
                              <w:bottom w:val="nil"/>
                              <w:right w:val="nil"/>
                            </w:tcBorders>
                            <w:hideMark/>
                          </w:tcPr>
                          <w:p w14:paraId="613341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0.8 </w:t>
                            </w:r>
                          </w:p>
                        </w:tc>
                        <w:tc>
                          <w:tcPr>
                            <w:tcW w:w="566" w:type="pct"/>
                            <w:tcBorders>
                              <w:top w:val="nil"/>
                              <w:left w:val="nil"/>
                              <w:bottom w:val="nil"/>
                              <w:right w:val="nil"/>
                            </w:tcBorders>
                            <w:hideMark/>
                          </w:tcPr>
                          <w:p w14:paraId="0665546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0.7 </w:t>
                            </w:r>
                          </w:p>
                        </w:tc>
                        <w:tc>
                          <w:tcPr>
                            <w:tcW w:w="566" w:type="pct"/>
                            <w:tcBorders>
                              <w:top w:val="nil"/>
                              <w:left w:val="nil"/>
                              <w:bottom w:val="nil"/>
                              <w:right w:val="nil"/>
                            </w:tcBorders>
                            <w:hideMark/>
                          </w:tcPr>
                          <w:p w14:paraId="78629E2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7A5AD9C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0A61480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r>
                      <w:tr w:rsidR="00781EC6" w:rsidRPr="00781EC6" w14:paraId="30076B99" w14:textId="77777777" w:rsidTr="00781EC6">
                        <w:trPr>
                          <w:trHeight w:val="204"/>
                        </w:trPr>
                        <w:tc>
                          <w:tcPr>
                            <w:tcW w:w="1605" w:type="pct"/>
                            <w:tcBorders>
                              <w:top w:val="nil"/>
                              <w:left w:val="nil"/>
                              <w:bottom w:val="nil"/>
                              <w:right w:val="nil"/>
                            </w:tcBorders>
                            <w:noWrap/>
                            <w:hideMark/>
                          </w:tcPr>
                          <w:p w14:paraId="3D82B9C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Long-Term Assets</w:t>
                            </w:r>
                          </w:p>
                        </w:tc>
                        <w:tc>
                          <w:tcPr>
                            <w:tcW w:w="566" w:type="pct"/>
                            <w:tcBorders>
                              <w:top w:val="nil"/>
                              <w:left w:val="nil"/>
                              <w:bottom w:val="nil"/>
                              <w:right w:val="nil"/>
                            </w:tcBorders>
                            <w:hideMark/>
                          </w:tcPr>
                          <w:p w14:paraId="5B1D00A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02AEAA7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1.6 </w:t>
                            </w:r>
                          </w:p>
                        </w:tc>
                        <w:tc>
                          <w:tcPr>
                            <w:tcW w:w="566" w:type="pct"/>
                            <w:tcBorders>
                              <w:top w:val="nil"/>
                              <w:left w:val="nil"/>
                              <w:bottom w:val="nil"/>
                              <w:right w:val="nil"/>
                            </w:tcBorders>
                            <w:hideMark/>
                          </w:tcPr>
                          <w:p w14:paraId="01CF2A2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1.4 </w:t>
                            </w:r>
                          </w:p>
                        </w:tc>
                        <w:tc>
                          <w:tcPr>
                            <w:tcW w:w="566" w:type="pct"/>
                            <w:tcBorders>
                              <w:top w:val="nil"/>
                              <w:left w:val="nil"/>
                              <w:bottom w:val="nil"/>
                              <w:right w:val="nil"/>
                            </w:tcBorders>
                            <w:hideMark/>
                          </w:tcPr>
                          <w:p w14:paraId="039091C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5C3562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0721A01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1.5 </w:t>
                            </w:r>
                          </w:p>
                        </w:tc>
                      </w:tr>
                      <w:tr w:rsidR="00781EC6" w:rsidRPr="00781EC6" w14:paraId="400D8B95" w14:textId="77777777" w:rsidTr="00781EC6">
                        <w:trPr>
                          <w:trHeight w:val="204"/>
                        </w:trPr>
                        <w:tc>
                          <w:tcPr>
                            <w:tcW w:w="1605" w:type="pct"/>
                            <w:tcBorders>
                              <w:top w:val="nil"/>
                              <w:left w:val="nil"/>
                              <w:bottom w:val="nil"/>
                              <w:right w:val="nil"/>
                            </w:tcBorders>
                            <w:noWrap/>
                            <w:hideMark/>
                          </w:tcPr>
                          <w:p w14:paraId="27B78CDF"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Assets</w:t>
                            </w:r>
                          </w:p>
                        </w:tc>
                        <w:tc>
                          <w:tcPr>
                            <w:tcW w:w="566" w:type="pct"/>
                            <w:tcBorders>
                              <w:top w:val="single" w:sz="4" w:space="0" w:color="000000"/>
                              <w:left w:val="nil"/>
                              <w:bottom w:val="nil"/>
                              <w:right w:val="nil"/>
                            </w:tcBorders>
                            <w:hideMark/>
                          </w:tcPr>
                          <w:p w14:paraId="47A41B0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57.8 </w:t>
                            </w:r>
                          </w:p>
                        </w:tc>
                        <w:tc>
                          <w:tcPr>
                            <w:tcW w:w="566" w:type="pct"/>
                            <w:tcBorders>
                              <w:top w:val="single" w:sz="4" w:space="0" w:color="000000"/>
                              <w:left w:val="nil"/>
                              <w:bottom w:val="nil"/>
                              <w:right w:val="nil"/>
                            </w:tcBorders>
                            <w:hideMark/>
                          </w:tcPr>
                          <w:p w14:paraId="7DACE6F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58.2 </w:t>
                            </w:r>
                          </w:p>
                        </w:tc>
                        <w:tc>
                          <w:tcPr>
                            <w:tcW w:w="566" w:type="pct"/>
                            <w:tcBorders>
                              <w:top w:val="single" w:sz="4" w:space="0" w:color="000000"/>
                              <w:left w:val="nil"/>
                              <w:bottom w:val="nil"/>
                              <w:right w:val="nil"/>
                            </w:tcBorders>
                            <w:hideMark/>
                          </w:tcPr>
                          <w:p w14:paraId="6D25069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54.2 </w:t>
                            </w:r>
                          </w:p>
                        </w:tc>
                        <w:tc>
                          <w:tcPr>
                            <w:tcW w:w="566" w:type="pct"/>
                            <w:tcBorders>
                              <w:top w:val="single" w:sz="4" w:space="0" w:color="000000"/>
                              <w:left w:val="nil"/>
                              <w:bottom w:val="nil"/>
                              <w:right w:val="nil"/>
                            </w:tcBorders>
                            <w:hideMark/>
                          </w:tcPr>
                          <w:p w14:paraId="4079C01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60.4 </w:t>
                            </w:r>
                          </w:p>
                        </w:tc>
                        <w:tc>
                          <w:tcPr>
                            <w:tcW w:w="566" w:type="pct"/>
                            <w:tcBorders>
                              <w:top w:val="single" w:sz="4" w:space="0" w:color="000000"/>
                              <w:left w:val="nil"/>
                              <w:bottom w:val="nil"/>
                              <w:right w:val="nil"/>
                            </w:tcBorders>
                            <w:hideMark/>
                          </w:tcPr>
                          <w:p w14:paraId="19CC17D7"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62.1 </w:t>
                            </w:r>
                          </w:p>
                        </w:tc>
                        <w:tc>
                          <w:tcPr>
                            <w:tcW w:w="566" w:type="pct"/>
                            <w:tcBorders>
                              <w:top w:val="single" w:sz="4" w:space="0" w:color="000000"/>
                              <w:left w:val="nil"/>
                              <w:bottom w:val="nil"/>
                              <w:right w:val="nil"/>
                            </w:tcBorders>
                            <w:hideMark/>
                          </w:tcPr>
                          <w:p w14:paraId="45BB5DE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59.4 </w:t>
                            </w:r>
                          </w:p>
                        </w:tc>
                      </w:tr>
                      <w:tr w:rsidR="00781EC6" w:rsidRPr="00781EC6" w14:paraId="21A4AB49" w14:textId="77777777" w:rsidTr="00781EC6">
                        <w:trPr>
                          <w:trHeight w:val="204"/>
                        </w:trPr>
                        <w:tc>
                          <w:tcPr>
                            <w:tcW w:w="1605" w:type="pct"/>
                            <w:tcBorders>
                              <w:top w:val="nil"/>
                              <w:left w:val="nil"/>
                              <w:bottom w:val="nil"/>
                              <w:right w:val="nil"/>
                            </w:tcBorders>
                            <w:noWrap/>
                            <w:hideMark/>
                          </w:tcPr>
                          <w:p w14:paraId="62B09CDB"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LIABILITIES</w:t>
                            </w:r>
                          </w:p>
                        </w:tc>
                        <w:tc>
                          <w:tcPr>
                            <w:tcW w:w="566" w:type="pct"/>
                            <w:tcBorders>
                              <w:top w:val="nil"/>
                              <w:left w:val="nil"/>
                              <w:bottom w:val="nil"/>
                              <w:right w:val="nil"/>
                            </w:tcBorders>
                            <w:noWrap/>
                            <w:hideMark/>
                          </w:tcPr>
                          <w:p w14:paraId="2C7E7392"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p>
                        </w:tc>
                        <w:tc>
                          <w:tcPr>
                            <w:tcW w:w="566" w:type="pct"/>
                            <w:tcBorders>
                              <w:top w:val="nil"/>
                              <w:left w:val="nil"/>
                              <w:bottom w:val="nil"/>
                              <w:right w:val="nil"/>
                            </w:tcBorders>
                            <w:noWrap/>
                            <w:hideMark/>
                          </w:tcPr>
                          <w:p w14:paraId="0A24851B"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361300DA"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12146CD6"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34A005B7"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c>
                          <w:tcPr>
                            <w:tcW w:w="566" w:type="pct"/>
                            <w:tcBorders>
                              <w:top w:val="nil"/>
                              <w:left w:val="nil"/>
                              <w:bottom w:val="nil"/>
                              <w:right w:val="nil"/>
                            </w:tcBorders>
                            <w:noWrap/>
                            <w:hideMark/>
                          </w:tcPr>
                          <w:p w14:paraId="7A080B41" w14:textId="77777777" w:rsidR="00781EC6" w:rsidRPr="00781EC6" w:rsidRDefault="00781EC6" w:rsidP="00781EC6">
                            <w:pPr>
                              <w:spacing w:after="0" w:line="240" w:lineRule="auto"/>
                              <w:rPr>
                                <w:rFonts w:ascii="Cambria" w:eastAsia="Times New Roman" w:hAnsi="Cambria" w:cs="Times New Roman"/>
                                <w:kern w:val="0"/>
                                <w:sz w:val="14"/>
                                <w:szCs w:val="14"/>
                                <w:lang w:eastAsia="en-IN"/>
                                <w14:ligatures w14:val="none"/>
                              </w:rPr>
                            </w:pPr>
                          </w:p>
                        </w:tc>
                      </w:tr>
                      <w:tr w:rsidR="00781EC6" w:rsidRPr="00781EC6" w14:paraId="7E0AE5FC" w14:textId="77777777" w:rsidTr="00781EC6">
                        <w:trPr>
                          <w:trHeight w:val="204"/>
                        </w:trPr>
                        <w:tc>
                          <w:tcPr>
                            <w:tcW w:w="1605" w:type="pct"/>
                            <w:tcBorders>
                              <w:top w:val="nil"/>
                              <w:left w:val="nil"/>
                              <w:bottom w:val="nil"/>
                              <w:right w:val="nil"/>
                            </w:tcBorders>
                            <w:noWrap/>
                            <w:hideMark/>
                          </w:tcPr>
                          <w:p w14:paraId="454BCDEF"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Accounts Payable</w:t>
                            </w:r>
                          </w:p>
                        </w:tc>
                        <w:tc>
                          <w:tcPr>
                            <w:tcW w:w="566" w:type="pct"/>
                            <w:tcBorders>
                              <w:top w:val="nil"/>
                              <w:left w:val="nil"/>
                              <w:bottom w:val="nil"/>
                              <w:right w:val="nil"/>
                            </w:tcBorders>
                            <w:hideMark/>
                          </w:tcPr>
                          <w:p w14:paraId="08282F6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13.0 </w:t>
                            </w:r>
                          </w:p>
                        </w:tc>
                        <w:tc>
                          <w:tcPr>
                            <w:tcW w:w="566" w:type="pct"/>
                            <w:tcBorders>
                              <w:top w:val="nil"/>
                              <w:left w:val="nil"/>
                              <w:bottom w:val="nil"/>
                              <w:right w:val="nil"/>
                            </w:tcBorders>
                            <w:hideMark/>
                          </w:tcPr>
                          <w:p w14:paraId="08B04E2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12.9 </w:t>
                            </w:r>
                          </w:p>
                        </w:tc>
                        <w:tc>
                          <w:tcPr>
                            <w:tcW w:w="566" w:type="pct"/>
                            <w:tcBorders>
                              <w:top w:val="nil"/>
                              <w:left w:val="nil"/>
                              <w:bottom w:val="nil"/>
                              <w:right w:val="nil"/>
                            </w:tcBorders>
                            <w:hideMark/>
                          </w:tcPr>
                          <w:p w14:paraId="6EB2002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12.4 </w:t>
                            </w:r>
                          </w:p>
                        </w:tc>
                        <w:tc>
                          <w:tcPr>
                            <w:tcW w:w="566" w:type="pct"/>
                            <w:tcBorders>
                              <w:top w:val="nil"/>
                              <w:left w:val="nil"/>
                              <w:bottom w:val="nil"/>
                              <w:right w:val="nil"/>
                            </w:tcBorders>
                            <w:hideMark/>
                          </w:tcPr>
                          <w:p w14:paraId="3DBDEDC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12.9 </w:t>
                            </w:r>
                          </w:p>
                        </w:tc>
                        <w:tc>
                          <w:tcPr>
                            <w:tcW w:w="566" w:type="pct"/>
                            <w:tcBorders>
                              <w:top w:val="nil"/>
                              <w:left w:val="nil"/>
                              <w:bottom w:val="nil"/>
                              <w:right w:val="nil"/>
                            </w:tcBorders>
                            <w:hideMark/>
                          </w:tcPr>
                          <w:p w14:paraId="3A56E77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13.5 </w:t>
                            </w:r>
                          </w:p>
                        </w:tc>
                        <w:tc>
                          <w:tcPr>
                            <w:tcW w:w="566" w:type="pct"/>
                            <w:tcBorders>
                              <w:top w:val="nil"/>
                              <w:left w:val="nil"/>
                              <w:bottom w:val="nil"/>
                              <w:right w:val="nil"/>
                            </w:tcBorders>
                            <w:hideMark/>
                          </w:tcPr>
                          <w:p w14:paraId="32FBB99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13.6 </w:t>
                            </w:r>
                          </w:p>
                        </w:tc>
                      </w:tr>
                      <w:tr w:rsidR="00781EC6" w:rsidRPr="00781EC6" w14:paraId="6AB581F2" w14:textId="77777777" w:rsidTr="00781EC6">
                        <w:trPr>
                          <w:trHeight w:val="204"/>
                        </w:trPr>
                        <w:tc>
                          <w:tcPr>
                            <w:tcW w:w="1605" w:type="pct"/>
                            <w:tcBorders>
                              <w:top w:val="nil"/>
                              <w:left w:val="nil"/>
                              <w:bottom w:val="nil"/>
                              <w:right w:val="nil"/>
                            </w:tcBorders>
                            <w:noWrap/>
                            <w:hideMark/>
                          </w:tcPr>
                          <w:p w14:paraId="0325ED7C"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Accrued Exp.</w:t>
                            </w:r>
                          </w:p>
                        </w:tc>
                        <w:tc>
                          <w:tcPr>
                            <w:tcW w:w="566" w:type="pct"/>
                            <w:tcBorders>
                              <w:top w:val="nil"/>
                              <w:left w:val="nil"/>
                              <w:bottom w:val="nil"/>
                              <w:right w:val="nil"/>
                            </w:tcBorders>
                            <w:hideMark/>
                          </w:tcPr>
                          <w:p w14:paraId="6114681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66EB17F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2.9 </w:t>
                            </w:r>
                          </w:p>
                        </w:tc>
                        <w:tc>
                          <w:tcPr>
                            <w:tcW w:w="566" w:type="pct"/>
                            <w:tcBorders>
                              <w:top w:val="nil"/>
                              <w:left w:val="nil"/>
                              <w:bottom w:val="nil"/>
                              <w:right w:val="nil"/>
                            </w:tcBorders>
                            <w:hideMark/>
                          </w:tcPr>
                          <w:p w14:paraId="64038A7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76E3DD5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2.7 </w:t>
                            </w:r>
                          </w:p>
                        </w:tc>
                        <w:tc>
                          <w:tcPr>
                            <w:tcW w:w="566" w:type="pct"/>
                            <w:tcBorders>
                              <w:top w:val="nil"/>
                              <w:left w:val="nil"/>
                              <w:bottom w:val="nil"/>
                              <w:right w:val="nil"/>
                            </w:tcBorders>
                            <w:hideMark/>
                          </w:tcPr>
                          <w:p w14:paraId="1EAFDC0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2.8 </w:t>
                            </w:r>
                          </w:p>
                        </w:tc>
                        <w:tc>
                          <w:tcPr>
                            <w:tcW w:w="566" w:type="pct"/>
                            <w:tcBorders>
                              <w:top w:val="nil"/>
                              <w:left w:val="nil"/>
                              <w:bottom w:val="nil"/>
                              <w:right w:val="nil"/>
                            </w:tcBorders>
                            <w:hideMark/>
                          </w:tcPr>
                          <w:p w14:paraId="5B97D43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2.9 </w:t>
                            </w:r>
                          </w:p>
                        </w:tc>
                      </w:tr>
                      <w:tr w:rsidR="00781EC6" w:rsidRPr="00781EC6" w14:paraId="184E5BD4" w14:textId="77777777" w:rsidTr="00781EC6">
                        <w:trPr>
                          <w:trHeight w:val="204"/>
                        </w:trPr>
                        <w:tc>
                          <w:tcPr>
                            <w:tcW w:w="1605" w:type="pct"/>
                            <w:tcBorders>
                              <w:top w:val="nil"/>
                              <w:left w:val="nil"/>
                              <w:bottom w:val="nil"/>
                              <w:right w:val="nil"/>
                            </w:tcBorders>
                            <w:noWrap/>
                            <w:hideMark/>
                          </w:tcPr>
                          <w:p w14:paraId="504708B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Short-term Borrowings</w:t>
                            </w:r>
                          </w:p>
                        </w:tc>
                        <w:tc>
                          <w:tcPr>
                            <w:tcW w:w="566" w:type="pct"/>
                            <w:tcBorders>
                              <w:top w:val="nil"/>
                              <w:left w:val="nil"/>
                              <w:bottom w:val="nil"/>
                              <w:right w:val="nil"/>
                            </w:tcBorders>
                            <w:hideMark/>
                          </w:tcPr>
                          <w:p w14:paraId="502537B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3ED7DB1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79FC2F1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w:t>
                            </w:r>
                          </w:p>
                        </w:tc>
                        <w:tc>
                          <w:tcPr>
                            <w:tcW w:w="566" w:type="pct"/>
                            <w:tcBorders>
                              <w:top w:val="nil"/>
                              <w:left w:val="nil"/>
                              <w:bottom w:val="nil"/>
                              <w:right w:val="nil"/>
                            </w:tcBorders>
                            <w:hideMark/>
                          </w:tcPr>
                          <w:p w14:paraId="5AA727E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c>
                          <w:tcPr>
                            <w:tcW w:w="566" w:type="pct"/>
                            <w:tcBorders>
                              <w:top w:val="nil"/>
                              <w:left w:val="nil"/>
                              <w:bottom w:val="nil"/>
                              <w:right w:val="nil"/>
                            </w:tcBorders>
                            <w:hideMark/>
                          </w:tcPr>
                          <w:p w14:paraId="59B2725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2DD9D1B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r>
                      <w:tr w:rsidR="00781EC6" w:rsidRPr="00781EC6" w14:paraId="1D039871" w14:textId="77777777" w:rsidTr="00781EC6">
                        <w:trPr>
                          <w:trHeight w:val="204"/>
                        </w:trPr>
                        <w:tc>
                          <w:tcPr>
                            <w:tcW w:w="1605" w:type="pct"/>
                            <w:tcBorders>
                              <w:top w:val="nil"/>
                              <w:left w:val="nil"/>
                              <w:bottom w:val="nil"/>
                              <w:right w:val="nil"/>
                            </w:tcBorders>
                            <w:noWrap/>
                            <w:hideMark/>
                          </w:tcPr>
                          <w:p w14:paraId="1125966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Port. of LT Debt</w:t>
                            </w:r>
                          </w:p>
                        </w:tc>
                        <w:tc>
                          <w:tcPr>
                            <w:tcW w:w="566" w:type="pct"/>
                            <w:tcBorders>
                              <w:top w:val="nil"/>
                              <w:left w:val="nil"/>
                              <w:bottom w:val="nil"/>
                              <w:right w:val="nil"/>
                            </w:tcBorders>
                            <w:hideMark/>
                          </w:tcPr>
                          <w:p w14:paraId="6A07C4B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5.3 </w:t>
                            </w:r>
                          </w:p>
                        </w:tc>
                        <w:tc>
                          <w:tcPr>
                            <w:tcW w:w="566" w:type="pct"/>
                            <w:tcBorders>
                              <w:top w:val="nil"/>
                              <w:left w:val="nil"/>
                              <w:bottom w:val="nil"/>
                              <w:right w:val="nil"/>
                            </w:tcBorders>
                            <w:hideMark/>
                          </w:tcPr>
                          <w:p w14:paraId="4712450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5.1 </w:t>
                            </w:r>
                          </w:p>
                        </w:tc>
                        <w:tc>
                          <w:tcPr>
                            <w:tcW w:w="566" w:type="pct"/>
                            <w:tcBorders>
                              <w:top w:val="nil"/>
                              <w:left w:val="nil"/>
                              <w:bottom w:val="nil"/>
                              <w:right w:val="nil"/>
                            </w:tcBorders>
                            <w:hideMark/>
                          </w:tcPr>
                          <w:p w14:paraId="22EFA96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4.8 </w:t>
                            </w:r>
                          </w:p>
                        </w:tc>
                        <w:tc>
                          <w:tcPr>
                            <w:tcW w:w="566" w:type="pct"/>
                            <w:tcBorders>
                              <w:top w:val="nil"/>
                              <w:left w:val="nil"/>
                              <w:bottom w:val="nil"/>
                              <w:right w:val="nil"/>
                            </w:tcBorders>
                            <w:hideMark/>
                          </w:tcPr>
                          <w:p w14:paraId="5F4308F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6.1 </w:t>
                            </w:r>
                          </w:p>
                        </w:tc>
                        <w:tc>
                          <w:tcPr>
                            <w:tcW w:w="566" w:type="pct"/>
                            <w:tcBorders>
                              <w:top w:val="nil"/>
                              <w:left w:val="nil"/>
                              <w:bottom w:val="nil"/>
                              <w:right w:val="nil"/>
                            </w:tcBorders>
                            <w:hideMark/>
                          </w:tcPr>
                          <w:p w14:paraId="29BCEF0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6.5 </w:t>
                            </w:r>
                          </w:p>
                        </w:tc>
                        <w:tc>
                          <w:tcPr>
                            <w:tcW w:w="566" w:type="pct"/>
                            <w:tcBorders>
                              <w:top w:val="nil"/>
                              <w:left w:val="nil"/>
                              <w:bottom w:val="nil"/>
                              <w:right w:val="nil"/>
                            </w:tcBorders>
                            <w:hideMark/>
                          </w:tcPr>
                          <w:p w14:paraId="502B0249"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6.0 </w:t>
                            </w:r>
                          </w:p>
                        </w:tc>
                      </w:tr>
                      <w:tr w:rsidR="00781EC6" w:rsidRPr="00781EC6" w14:paraId="7ED80F16" w14:textId="77777777" w:rsidTr="00781EC6">
                        <w:trPr>
                          <w:trHeight w:val="204"/>
                        </w:trPr>
                        <w:tc>
                          <w:tcPr>
                            <w:tcW w:w="1605" w:type="pct"/>
                            <w:tcBorders>
                              <w:top w:val="nil"/>
                              <w:left w:val="nil"/>
                              <w:bottom w:val="nil"/>
                              <w:right w:val="nil"/>
                            </w:tcBorders>
                            <w:noWrap/>
                            <w:hideMark/>
                          </w:tcPr>
                          <w:p w14:paraId="2DFBEC7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Port. of Leases</w:t>
                            </w:r>
                          </w:p>
                        </w:tc>
                        <w:tc>
                          <w:tcPr>
                            <w:tcW w:w="566" w:type="pct"/>
                            <w:tcBorders>
                              <w:top w:val="nil"/>
                              <w:left w:val="nil"/>
                              <w:bottom w:val="nil"/>
                              <w:right w:val="nil"/>
                            </w:tcBorders>
                            <w:hideMark/>
                          </w:tcPr>
                          <w:p w14:paraId="34AA3FC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025EA7B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0455D8B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6C67191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c>
                          <w:tcPr>
                            <w:tcW w:w="566" w:type="pct"/>
                            <w:tcBorders>
                              <w:top w:val="nil"/>
                              <w:left w:val="nil"/>
                              <w:bottom w:val="nil"/>
                              <w:right w:val="nil"/>
                            </w:tcBorders>
                            <w:hideMark/>
                          </w:tcPr>
                          <w:p w14:paraId="4A3AF5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c>
                          <w:tcPr>
                            <w:tcW w:w="566" w:type="pct"/>
                            <w:tcBorders>
                              <w:top w:val="nil"/>
                              <w:left w:val="nil"/>
                              <w:bottom w:val="nil"/>
                              <w:right w:val="nil"/>
                            </w:tcBorders>
                            <w:hideMark/>
                          </w:tcPr>
                          <w:p w14:paraId="52ED90C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1.1 </w:t>
                            </w:r>
                          </w:p>
                        </w:tc>
                      </w:tr>
                      <w:tr w:rsidR="00781EC6" w:rsidRPr="00781EC6" w14:paraId="4555C0AF" w14:textId="77777777" w:rsidTr="00781EC6">
                        <w:trPr>
                          <w:trHeight w:val="204"/>
                        </w:trPr>
                        <w:tc>
                          <w:tcPr>
                            <w:tcW w:w="1605" w:type="pct"/>
                            <w:tcBorders>
                              <w:top w:val="nil"/>
                              <w:left w:val="nil"/>
                              <w:bottom w:val="nil"/>
                              <w:right w:val="nil"/>
                            </w:tcBorders>
                            <w:noWrap/>
                            <w:hideMark/>
                          </w:tcPr>
                          <w:p w14:paraId="41C7B54E"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Curr. Income Taxes Payable</w:t>
                            </w:r>
                          </w:p>
                        </w:tc>
                        <w:tc>
                          <w:tcPr>
                            <w:tcW w:w="566" w:type="pct"/>
                            <w:tcBorders>
                              <w:top w:val="nil"/>
                              <w:left w:val="nil"/>
                              <w:bottom w:val="nil"/>
                              <w:right w:val="nil"/>
                            </w:tcBorders>
                            <w:hideMark/>
                          </w:tcPr>
                          <w:p w14:paraId="258343F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37D3DB7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559616B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79F1C8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4B93060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25A82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r>
                      <w:tr w:rsidR="00781EC6" w:rsidRPr="00781EC6" w14:paraId="774EBC54" w14:textId="77777777" w:rsidTr="00781EC6">
                        <w:trPr>
                          <w:trHeight w:val="204"/>
                        </w:trPr>
                        <w:tc>
                          <w:tcPr>
                            <w:tcW w:w="1605" w:type="pct"/>
                            <w:tcBorders>
                              <w:top w:val="nil"/>
                              <w:left w:val="nil"/>
                              <w:bottom w:val="nil"/>
                              <w:right w:val="nil"/>
                            </w:tcBorders>
                            <w:noWrap/>
                            <w:hideMark/>
                          </w:tcPr>
                          <w:p w14:paraId="05CDCC60"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Unearned Revenue, Current</w:t>
                            </w:r>
                          </w:p>
                        </w:tc>
                        <w:tc>
                          <w:tcPr>
                            <w:tcW w:w="566" w:type="pct"/>
                            <w:tcBorders>
                              <w:top w:val="nil"/>
                              <w:left w:val="nil"/>
                              <w:bottom w:val="nil"/>
                              <w:right w:val="nil"/>
                            </w:tcBorders>
                            <w:hideMark/>
                          </w:tcPr>
                          <w:p w14:paraId="43262756"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29BFEB6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42B5B99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509E798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c>
                          <w:tcPr>
                            <w:tcW w:w="566" w:type="pct"/>
                            <w:tcBorders>
                              <w:top w:val="nil"/>
                              <w:left w:val="nil"/>
                              <w:bottom w:val="nil"/>
                              <w:right w:val="nil"/>
                            </w:tcBorders>
                            <w:hideMark/>
                          </w:tcPr>
                          <w:p w14:paraId="6AA9F4E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0.2 </w:t>
                            </w:r>
                          </w:p>
                        </w:tc>
                        <w:tc>
                          <w:tcPr>
                            <w:tcW w:w="566" w:type="pct"/>
                            <w:tcBorders>
                              <w:top w:val="nil"/>
                              <w:left w:val="nil"/>
                              <w:bottom w:val="nil"/>
                              <w:right w:val="nil"/>
                            </w:tcBorders>
                            <w:hideMark/>
                          </w:tcPr>
                          <w:p w14:paraId="15263F1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0.1 </w:t>
                            </w:r>
                          </w:p>
                        </w:tc>
                      </w:tr>
                      <w:tr w:rsidR="00781EC6" w:rsidRPr="00781EC6" w14:paraId="53D44AF4" w14:textId="77777777" w:rsidTr="00781EC6">
                        <w:trPr>
                          <w:trHeight w:val="204"/>
                        </w:trPr>
                        <w:tc>
                          <w:tcPr>
                            <w:tcW w:w="1605" w:type="pct"/>
                            <w:tcBorders>
                              <w:top w:val="nil"/>
                              <w:left w:val="nil"/>
                              <w:bottom w:val="nil"/>
                              <w:right w:val="nil"/>
                            </w:tcBorders>
                            <w:noWrap/>
                            <w:hideMark/>
                          </w:tcPr>
                          <w:p w14:paraId="229BC91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Current Liabilities</w:t>
                            </w:r>
                          </w:p>
                        </w:tc>
                        <w:tc>
                          <w:tcPr>
                            <w:tcW w:w="566" w:type="pct"/>
                            <w:tcBorders>
                              <w:top w:val="nil"/>
                              <w:left w:val="nil"/>
                              <w:bottom w:val="nil"/>
                              <w:right w:val="nil"/>
                            </w:tcBorders>
                            <w:hideMark/>
                          </w:tcPr>
                          <w:p w14:paraId="4D7E6AD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3.6 </w:t>
                            </w:r>
                          </w:p>
                        </w:tc>
                        <w:tc>
                          <w:tcPr>
                            <w:tcW w:w="566" w:type="pct"/>
                            <w:tcBorders>
                              <w:top w:val="nil"/>
                              <w:left w:val="nil"/>
                              <w:bottom w:val="nil"/>
                              <w:right w:val="nil"/>
                            </w:tcBorders>
                            <w:hideMark/>
                          </w:tcPr>
                          <w:p w14:paraId="05D4D09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3.7 </w:t>
                            </w:r>
                          </w:p>
                        </w:tc>
                        <w:tc>
                          <w:tcPr>
                            <w:tcW w:w="566" w:type="pct"/>
                            <w:tcBorders>
                              <w:top w:val="nil"/>
                              <w:left w:val="nil"/>
                              <w:bottom w:val="nil"/>
                              <w:right w:val="nil"/>
                            </w:tcBorders>
                            <w:hideMark/>
                          </w:tcPr>
                          <w:p w14:paraId="5053ADB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353D06E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5.1 </w:t>
                            </w:r>
                          </w:p>
                        </w:tc>
                        <w:tc>
                          <w:tcPr>
                            <w:tcW w:w="566" w:type="pct"/>
                            <w:tcBorders>
                              <w:top w:val="nil"/>
                              <w:left w:val="nil"/>
                              <w:bottom w:val="nil"/>
                              <w:right w:val="nil"/>
                            </w:tcBorders>
                            <w:hideMark/>
                          </w:tcPr>
                          <w:p w14:paraId="013F6EB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3.5 </w:t>
                            </w:r>
                          </w:p>
                        </w:tc>
                        <w:tc>
                          <w:tcPr>
                            <w:tcW w:w="566" w:type="pct"/>
                            <w:tcBorders>
                              <w:top w:val="nil"/>
                              <w:left w:val="nil"/>
                              <w:bottom w:val="nil"/>
                              <w:right w:val="nil"/>
                            </w:tcBorders>
                            <w:hideMark/>
                          </w:tcPr>
                          <w:p w14:paraId="79873A4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3.1 </w:t>
                            </w:r>
                          </w:p>
                        </w:tc>
                      </w:tr>
                      <w:tr w:rsidR="00781EC6" w:rsidRPr="00781EC6" w14:paraId="124C9AF7" w14:textId="77777777" w:rsidTr="00781EC6">
                        <w:trPr>
                          <w:trHeight w:val="204"/>
                        </w:trPr>
                        <w:tc>
                          <w:tcPr>
                            <w:tcW w:w="1605" w:type="pct"/>
                            <w:tcBorders>
                              <w:top w:val="nil"/>
                              <w:left w:val="nil"/>
                              <w:bottom w:val="nil"/>
                              <w:right w:val="nil"/>
                            </w:tcBorders>
                            <w:noWrap/>
                            <w:hideMark/>
                          </w:tcPr>
                          <w:p w14:paraId="124C53D3"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Current Liabilities</w:t>
                            </w:r>
                          </w:p>
                        </w:tc>
                        <w:tc>
                          <w:tcPr>
                            <w:tcW w:w="566" w:type="pct"/>
                            <w:tcBorders>
                              <w:top w:val="single" w:sz="4" w:space="0" w:color="000000"/>
                              <w:left w:val="nil"/>
                              <w:bottom w:val="nil"/>
                              <w:right w:val="nil"/>
                            </w:tcBorders>
                            <w:hideMark/>
                          </w:tcPr>
                          <w:p w14:paraId="15388FA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25.9 </w:t>
                            </w:r>
                          </w:p>
                        </w:tc>
                        <w:tc>
                          <w:tcPr>
                            <w:tcW w:w="566" w:type="pct"/>
                            <w:tcBorders>
                              <w:top w:val="single" w:sz="4" w:space="0" w:color="000000"/>
                              <w:left w:val="nil"/>
                              <w:bottom w:val="nil"/>
                              <w:right w:val="nil"/>
                            </w:tcBorders>
                            <w:hideMark/>
                          </w:tcPr>
                          <w:p w14:paraId="35ECF1BC"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26.1 </w:t>
                            </w:r>
                          </w:p>
                        </w:tc>
                        <w:tc>
                          <w:tcPr>
                            <w:tcW w:w="566" w:type="pct"/>
                            <w:tcBorders>
                              <w:top w:val="single" w:sz="4" w:space="0" w:color="000000"/>
                              <w:left w:val="nil"/>
                              <w:bottom w:val="nil"/>
                              <w:right w:val="nil"/>
                            </w:tcBorders>
                            <w:hideMark/>
                          </w:tcPr>
                          <w:p w14:paraId="5E0285D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25.2 </w:t>
                            </w:r>
                          </w:p>
                        </w:tc>
                        <w:tc>
                          <w:tcPr>
                            <w:tcW w:w="566" w:type="pct"/>
                            <w:tcBorders>
                              <w:top w:val="single" w:sz="4" w:space="0" w:color="000000"/>
                              <w:left w:val="nil"/>
                              <w:bottom w:val="nil"/>
                              <w:right w:val="nil"/>
                            </w:tcBorders>
                            <w:hideMark/>
                          </w:tcPr>
                          <w:p w14:paraId="21D6AE4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28.8 </w:t>
                            </w:r>
                          </w:p>
                        </w:tc>
                        <w:tc>
                          <w:tcPr>
                            <w:tcW w:w="566" w:type="pct"/>
                            <w:tcBorders>
                              <w:top w:val="single" w:sz="4" w:space="0" w:color="000000"/>
                              <w:left w:val="nil"/>
                              <w:bottom w:val="nil"/>
                              <w:right w:val="nil"/>
                            </w:tcBorders>
                            <w:hideMark/>
                          </w:tcPr>
                          <w:p w14:paraId="43E8B3B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28.0 </w:t>
                            </w:r>
                          </w:p>
                        </w:tc>
                        <w:tc>
                          <w:tcPr>
                            <w:tcW w:w="566" w:type="pct"/>
                            <w:tcBorders>
                              <w:top w:val="single" w:sz="4" w:space="0" w:color="000000"/>
                              <w:left w:val="nil"/>
                              <w:bottom w:val="nil"/>
                              <w:right w:val="nil"/>
                            </w:tcBorders>
                            <w:hideMark/>
                          </w:tcPr>
                          <w:p w14:paraId="5142FF65"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28.1 </w:t>
                            </w:r>
                          </w:p>
                        </w:tc>
                      </w:tr>
                      <w:tr w:rsidR="00781EC6" w:rsidRPr="00781EC6" w14:paraId="36FB174A" w14:textId="77777777" w:rsidTr="00781EC6">
                        <w:trPr>
                          <w:trHeight w:val="204"/>
                        </w:trPr>
                        <w:tc>
                          <w:tcPr>
                            <w:tcW w:w="1605" w:type="pct"/>
                            <w:tcBorders>
                              <w:top w:val="nil"/>
                              <w:left w:val="nil"/>
                              <w:bottom w:val="nil"/>
                              <w:right w:val="nil"/>
                            </w:tcBorders>
                            <w:noWrap/>
                            <w:hideMark/>
                          </w:tcPr>
                          <w:p w14:paraId="1FE19DF8"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Debt</w:t>
                            </w:r>
                          </w:p>
                        </w:tc>
                        <w:tc>
                          <w:tcPr>
                            <w:tcW w:w="566" w:type="pct"/>
                            <w:tcBorders>
                              <w:top w:val="nil"/>
                              <w:left w:val="nil"/>
                              <w:bottom w:val="nil"/>
                              <w:right w:val="nil"/>
                            </w:tcBorders>
                            <w:hideMark/>
                          </w:tcPr>
                          <w:p w14:paraId="2D75FB5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9.1 </w:t>
                            </w:r>
                          </w:p>
                        </w:tc>
                        <w:tc>
                          <w:tcPr>
                            <w:tcW w:w="566" w:type="pct"/>
                            <w:tcBorders>
                              <w:top w:val="nil"/>
                              <w:left w:val="nil"/>
                              <w:bottom w:val="nil"/>
                              <w:right w:val="nil"/>
                            </w:tcBorders>
                            <w:hideMark/>
                          </w:tcPr>
                          <w:p w14:paraId="22377CE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9.6 </w:t>
                            </w:r>
                          </w:p>
                        </w:tc>
                        <w:tc>
                          <w:tcPr>
                            <w:tcW w:w="566" w:type="pct"/>
                            <w:tcBorders>
                              <w:top w:val="nil"/>
                              <w:left w:val="nil"/>
                              <w:bottom w:val="nil"/>
                              <w:right w:val="nil"/>
                            </w:tcBorders>
                            <w:hideMark/>
                          </w:tcPr>
                          <w:p w14:paraId="45BEF3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8.0 </w:t>
                            </w:r>
                          </w:p>
                        </w:tc>
                        <w:tc>
                          <w:tcPr>
                            <w:tcW w:w="566" w:type="pct"/>
                            <w:tcBorders>
                              <w:top w:val="nil"/>
                              <w:left w:val="nil"/>
                              <w:bottom w:val="nil"/>
                              <w:right w:val="nil"/>
                            </w:tcBorders>
                            <w:hideMark/>
                          </w:tcPr>
                          <w:p w14:paraId="498594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9.0 </w:t>
                            </w:r>
                          </w:p>
                        </w:tc>
                        <w:tc>
                          <w:tcPr>
                            <w:tcW w:w="566" w:type="pct"/>
                            <w:tcBorders>
                              <w:top w:val="nil"/>
                              <w:left w:val="nil"/>
                              <w:bottom w:val="nil"/>
                              <w:right w:val="nil"/>
                            </w:tcBorders>
                            <w:hideMark/>
                          </w:tcPr>
                          <w:p w14:paraId="24A3531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10.2 </w:t>
                            </w:r>
                          </w:p>
                        </w:tc>
                        <w:tc>
                          <w:tcPr>
                            <w:tcW w:w="566" w:type="pct"/>
                            <w:tcBorders>
                              <w:top w:val="nil"/>
                              <w:left w:val="nil"/>
                              <w:bottom w:val="nil"/>
                              <w:right w:val="nil"/>
                            </w:tcBorders>
                            <w:hideMark/>
                          </w:tcPr>
                          <w:p w14:paraId="28B8074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10.0 </w:t>
                            </w:r>
                          </w:p>
                        </w:tc>
                      </w:tr>
                      <w:tr w:rsidR="00781EC6" w:rsidRPr="00781EC6" w14:paraId="3F4F8F80" w14:textId="77777777" w:rsidTr="00781EC6">
                        <w:trPr>
                          <w:trHeight w:val="204"/>
                        </w:trPr>
                        <w:tc>
                          <w:tcPr>
                            <w:tcW w:w="1605" w:type="pct"/>
                            <w:tcBorders>
                              <w:top w:val="nil"/>
                              <w:left w:val="nil"/>
                              <w:bottom w:val="nil"/>
                              <w:right w:val="nil"/>
                            </w:tcBorders>
                            <w:noWrap/>
                            <w:hideMark/>
                          </w:tcPr>
                          <w:p w14:paraId="59B94115"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Long-Term Leases</w:t>
                            </w:r>
                          </w:p>
                        </w:tc>
                        <w:tc>
                          <w:tcPr>
                            <w:tcW w:w="566" w:type="pct"/>
                            <w:tcBorders>
                              <w:top w:val="nil"/>
                              <w:left w:val="nil"/>
                              <w:bottom w:val="nil"/>
                              <w:right w:val="nil"/>
                            </w:tcBorders>
                            <w:hideMark/>
                          </w:tcPr>
                          <w:p w14:paraId="33029C3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4.8 </w:t>
                            </w:r>
                          </w:p>
                        </w:tc>
                        <w:tc>
                          <w:tcPr>
                            <w:tcW w:w="566" w:type="pct"/>
                            <w:tcBorders>
                              <w:top w:val="nil"/>
                              <w:left w:val="nil"/>
                              <w:bottom w:val="nil"/>
                              <w:right w:val="nil"/>
                            </w:tcBorders>
                            <w:hideMark/>
                          </w:tcPr>
                          <w:p w14:paraId="0630D9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4.6 </w:t>
                            </w:r>
                          </w:p>
                        </w:tc>
                        <w:tc>
                          <w:tcPr>
                            <w:tcW w:w="566" w:type="pct"/>
                            <w:tcBorders>
                              <w:top w:val="nil"/>
                              <w:left w:val="nil"/>
                              <w:bottom w:val="nil"/>
                              <w:right w:val="nil"/>
                            </w:tcBorders>
                            <w:hideMark/>
                          </w:tcPr>
                          <w:p w14:paraId="1B1AC16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 </w:t>
                            </w:r>
                          </w:p>
                        </w:tc>
                        <w:tc>
                          <w:tcPr>
                            <w:tcW w:w="566" w:type="pct"/>
                            <w:tcBorders>
                              <w:top w:val="nil"/>
                              <w:left w:val="nil"/>
                              <w:bottom w:val="nil"/>
                              <w:right w:val="nil"/>
                            </w:tcBorders>
                            <w:hideMark/>
                          </w:tcPr>
                          <w:p w14:paraId="6C7B1955"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4987CE8F"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4.3 </w:t>
                            </w:r>
                          </w:p>
                        </w:tc>
                        <w:tc>
                          <w:tcPr>
                            <w:tcW w:w="566" w:type="pct"/>
                            <w:tcBorders>
                              <w:top w:val="nil"/>
                              <w:left w:val="nil"/>
                              <w:bottom w:val="nil"/>
                              <w:right w:val="nil"/>
                            </w:tcBorders>
                            <w:hideMark/>
                          </w:tcPr>
                          <w:p w14:paraId="7A0C276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4.1 </w:t>
                            </w:r>
                          </w:p>
                        </w:tc>
                      </w:tr>
                      <w:tr w:rsidR="00781EC6" w:rsidRPr="00781EC6" w14:paraId="14F226D4" w14:textId="77777777" w:rsidTr="00781EC6">
                        <w:trPr>
                          <w:trHeight w:val="204"/>
                        </w:trPr>
                        <w:tc>
                          <w:tcPr>
                            <w:tcW w:w="1605" w:type="pct"/>
                            <w:tcBorders>
                              <w:top w:val="nil"/>
                              <w:left w:val="nil"/>
                              <w:bottom w:val="nil"/>
                              <w:right w:val="nil"/>
                            </w:tcBorders>
                            <w:noWrap/>
                            <w:hideMark/>
                          </w:tcPr>
                          <w:p w14:paraId="6A4104A1"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Pension &amp; Other Post-Retire. Benefits</w:t>
                            </w:r>
                          </w:p>
                        </w:tc>
                        <w:tc>
                          <w:tcPr>
                            <w:tcW w:w="566" w:type="pct"/>
                            <w:tcBorders>
                              <w:top w:val="nil"/>
                              <w:left w:val="nil"/>
                              <w:bottom w:val="nil"/>
                              <w:right w:val="nil"/>
                            </w:tcBorders>
                            <w:hideMark/>
                          </w:tcPr>
                          <w:p w14:paraId="5B5B7A3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1.3 </w:t>
                            </w:r>
                          </w:p>
                        </w:tc>
                        <w:tc>
                          <w:tcPr>
                            <w:tcW w:w="566" w:type="pct"/>
                            <w:tcBorders>
                              <w:top w:val="nil"/>
                              <w:left w:val="nil"/>
                              <w:bottom w:val="nil"/>
                              <w:right w:val="nil"/>
                            </w:tcBorders>
                            <w:hideMark/>
                          </w:tcPr>
                          <w:p w14:paraId="5F6D69A0"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 </w:t>
                            </w:r>
                          </w:p>
                        </w:tc>
                        <w:tc>
                          <w:tcPr>
                            <w:tcW w:w="566" w:type="pct"/>
                            <w:tcBorders>
                              <w:top w:val="nil"/>
                              <w:left w:val="nil"/>
                              <w:bottom w:val="nil"/>
                              <w:right w:val="nil"/>
                            </w:tcBorders>
                            <w:hideMark/>
                          </w:tcPr>
                          <w:p w14:paraId="0379F57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0.9 </w:t>
                            </w:r>
                          </w:p>
                        </w:tc>
                        <w:tc>
                          <w:tcPr>
                            <w:tcW w:w="566" w:type="pct"/>
                            <w:tcBorders>
                              <w:top w:val="nil"/>
                              <w:left w:val="nil"/>
                              <w:bottom w:val="nil"/>
                              <w:right w:val="nil"/>
                            </w:tcBorders>
                            <w:hideMark/>
                          </w:tcPr>
                          <w:p w14:paraId="78C9D37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71C2F0F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5EA2570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r>
                      <w:tr w:rsidR="00781EC6" w:rsidRPr="00781EC6" w14:paraId="5967D4A9" w14:textId="77777777" w:rsidTr="00781EC6">
                        <w:trPr>
                          <w:trHeight w:val="204"/>
                        </w:trPr>
                        <w:tc>
                          <w:tcPr>
                            <w:tcW w:w="1605" w:type="pct"/>
                            <w:tcBorders>
                              <w:top w:val="nil"/>
                              <w:left w:val="nil"/>
                              <w:bottom w:val="nil"/>
                              <w:right w:val="nil"/>
                            </w:tcBorders>
                            <w:noWrap/>
                            <w:hideMark/>
                          </w:tcPr>
                          <w:p w14:paraId="28C840B9"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Def. Tax Liability, Non-Curr.</w:t>
                            </w:r>
                          </w:p>
                        </w:tc>
                        <w:tc>
                          <w:tcPr>
                            <w:tcW w:w="566" w:type="pct"/>
                            <w:tcBorders>
                              <w:top w:val="nil"/>
                              <w:left w:val="nil"/>
                              <w:bottom w:val="nil"/>
                              <w:right w:val="nil"/>
                            </w:tcBorders>
                            <w:hideMark/>
                          </w:tcPr>
                          <w:p w14:paraId="2567CB6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0.7 </w:t>
                            </w:r>
                          </w:p>
                        </w:tc>
                        <w:tc>
                          <w:tcPr>
                            <w:tcW w:w="566" w:type="pct"/>
                            <w:tcBorders>
                              <w:top w:val="nil"/>
                              <w:left w:val="nil"/>
                              <w:bottom w:val="nil"/>
                              <w:right w:val="nil"/>
                            </w:tcBorders>
                            <w:hideMark/>
                          </w:tcPr>
                          <w:p w14:paraId="19F3123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0.6 </w:t>
                            </w:r>
                          </w:p>
                        </w:tc>
                        <w:tc>
                          <w:tcPr>
                            <w:tcW w:w="566" w:type="pct"/>
                            <w:tcBorders>
                              <w:top w:val="nil"/>
                              <w:left w:val="nil"/>
                              <w:bottom w:val="nil"/>
                              <w:right w:val="nil"/>
                            </w:tcBorders>
                            <w:hideMark/>
                          </w:tcPr>
                          <w:p w14:paraId="1D0EEC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6091C62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0.4 </w:t>
                            </w:r>
                          </w:p>
                        </w:tc>
                        <w:tc>
                          <w:tcPr>
                            <w:tcW w:w="566" w:type="pct"/>
                            <w:tcBorders>
                              <w:top w:val="nil"/>
                              <w:left w:val="nil"/>
                              <w:bottom w:val="nil"/>
                              <w:right w:val="nil"/>
                            </w:tcBorders>
                            <w:hideMark/>
                          </w:tcPr>
                          <w:p w14:paraId="536B9FD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0.3 </w:t>
                            </w:r>
                          </w:p>
                        </w:tc>
                        <w:tc>
                          <w:tcPr>
                            <w:tcW w:w="566" w:type="pct"/>
                            <w:tcBorders>
                              <w:top w:val="nil"/>
                              <w:left w:val="nil"/>
                              <w:bottom w:val="nil"/>
                              <w:right w:val="nil"/>
                            </w:tcBorders>
                            <w:hideMark/>
                          </w:tcPr>
                          <w:p w14:paraId="62E07EA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0.5 </w:t>
                            </w:r>
                          </w:p>
                        </w:tc>
                      </w:tr>
                      <w:tr w:rsidR="00781EC6" w:rsidRPr="00781EC6" w14:paraId="25D9628E" w14:textId="77777777" w:rsidTr="00781EC6">
                        <w:trPr>
                          <w:trHeight w:val="204"/>
                        </w:trPr>
                        <w:tc>
                          <w:tcPr>
                            <w:tcW w:w="1605" w:type="pct"/>
                            <w:tcBorders>
                              <w:top w:val="nil"/>
                              <w:left w:val="nil"/>
                              <w:bottom w:val="nil"/>
                              <w:right w:val="nil"/>
                            </w:tcBorders>
                            <w:noWrap/>
                            <w:hideMark/>
                          </w:tcPr>
                          <w:p w14:paraId="7F564B3B"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Other Non-Current Liabilities</w:t>
                            </w:r>
                          </w:p>
                        </w:tc>
                        <w:tc>
                          <w:tcPr>
                            <w:tcW w:w="566" w:type="pct"/>
                            <w:tcBorders>
                              <w:top w:val="nil"/>
                              <w:left w:val="nil"/>
                              <w:bottom w:val="nil"/>
                              <w:right w:val="nil"/>
                            </w:tcBorders>
                            <w:hideMark/>
                          </w:tcPr>
                          <w:p w14:paraId="2C910F9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2.8 </w:t>
                            </w:r>
                          </w:p>
                        </w:tc>
                        <w:tc>
                          <w:tcPr>
                            <w:tcW w:w="566" w:type="pct"/>
                            <w:tcBorders>
                              <w:top w:val="nil"/>
                              <w:left w:val="nil"/>
                              <w:bottom w:val="nil"/>
                              <w:right w:val="nil"/>
                            </w:tcBorders>
                            <w:hideMark/>
                          </w:tcPr>
                          <w:p w14:paraId="5410091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063AA80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2.1 </w:t>
                            </w:r>
                          </w:p>
                        </w:tc>
                        <w:tc>
                          <w:tcPr>
                            <w:tcW w:w="566" w:type="pct"/>
                            <w:tcBorders>
                              <w:top w:val="nil"/>
                              <w:left w:val="nil"/>
                              <w:bottom w:val="nil"/>
                              <w:right w:val="nil"/>
                            </w:tcBorders>
                            <w:hideMark/>
                          </w:tcPr>
                          <w:p w14:paraId="134BFB9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3.8 </w:t>
                            </w:r>
                          </w:p>
                        </w:tc>
                        <w:tc>
                          <w:tcPr>
                            <w:tcW w:w="566" w:type="pct"/>
                            <w:tcBorders>
                              <w:top w:val="nil"/>
                              <w:left w:val="nil"/>
                              <w:bottom w:val="nil"/>
                              <w:right w:val="nil"/>
                            </w:tcBorders>
                            <w:hideMark/>
                          </w:tcPr>
                          <w:p w14:paraId="65009A4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3.9 </w:t>
                            </w:r>
                          </w:p>
                        </w:tc>
                        <w:tc>
                          <w:tcPr>
                            <w:tcW w:w="566" w:type="pct"/>
                            <w:tcBorders>
                              <w:top w:val="nil"/>
                              <w:left w:val="nil"/>
                              <w:bottom w:val="nil"/>
                              <w:right w:val="nil"/>
                            </w:tcBorders>
                            <w:hideMark/>
                          </w:tcPr>
                          <w:p w14:paraId="632BE41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3.1 </w:t>
                            </w:r>
                          </w:p>
                        </w:tc>
                      </w:tr>
                      <w:tr w:rsidR="00781EC6" w:rsidRPr="00781EC6" w14:paraId="28514191" w14:textId="77777777" w:rsidTr="00781EC6">
                        <w:trPr>
                          <w:trHeight w:val="204"/>
                        </w:trPr>
                        <w:tc>
                          <w:tcPr>
                            <w:tcW w:w="1605" w:type="pct"/>
                            <w:tcBorders>
                              <w:top w:val="nil"/>
                              <w:left w:val="nil"/>
                              <w:bottom w:val="nil"/>
                              <w:right w:val="nil"/>
                            </w:tcBorders>
                            <w:noWrap/>
                            <w:hideMark/>
                          </w:tcPr>
                          <w:p w14:paraId="1FA69729"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Liabilities</w:t>
                            </w:r>
                          </w:p>
                        </w:tc>
                        <w:tc>
                          <w:tcPr>
                            <w:tcW w:w="566" w:type="pct"/>
                            <w:tcBorders>
                              <w:top w:val="single" w:sz="4" w:space="0" w:color="000000"/>
                              <w:left w:val="nil"/>
                              <w:bottom w:val="nil"/>
                              <w:right w:val="nil"/>
                            </w:tcBorders>
                            <w:hideMark/>
                          </w:tcPr>
                          <w:p w14:paraId="5501D4DD"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44.7 </w:t>
                            </w:r>
                          </w:p>
                        </w:tc>
                        <w:tc>
                          <w:tcPr>
                            <w:tcW w:w="566" w:type="pct"/>
                            <w:tcBorders>
                              <w:top w:val="single" w:sz="4" w:space="0" w:color="000000"/>
                              <w:left w:val="nil"/>
                              <w:bottom w:val="nil"/>
                              <w:right w:val="nil"/>
                            </w:tcBorders>
                            <w:hideMark/>
                          </w:tcPr>
                          <w:p w14:paraId="424FFB60"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44.0 </w:t>
                            </w:r>
                          </w:p>
                        </w:tc>
                        <w:tc>
                          <w:tcPr>
                            <w:tcW w:w="566" w:type="pct"/>
                            <w:tcBorders>
                              <w:top w:val="single" w:sz="4" w:space="0" w:color="000000"/>
                              <w:left w:val="nil"/>
                              <w:bottom w:val="nil"/>
                              <w:right w:val="nil"/>
                            </w:tcBorders>
                            <w:hideMark/>
                          </w:tcPr>
                          <w:p w14:paraId="116B6A98"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40.8 </w:t>
                            </w:r>
                          </w:p>
                        </w:tc>
                        <w:tc>
                          <w:tcPr>
                            <w:tcW w:w="566" w:type="pct"/>
                            <w:tcBorders>
                              <w:top w:val="single" w:sz="4" w:space="0" w:color="000000"/>
                              <w:left w:val="nil"/>
                              <w:bottom w:val="nil"/>
                              <w:right w:val="nil"/>
                            </w:tcBorders>
                            <w:hideMark/>
                          </w:tcPr>
                          <w:p w14:paraId="60E4FF17"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46.4 </w:t>
                            </w:r>
                          </w:p>
                        </w:tc>
                        <w:tc>
                          <w:tcPr>
                            <w:tcW w:w="566" w:type="pct"/>
                            <w:tcBorders>
                              <w:top w:val="single" w:sz="4" w:space="0" w:color="000000"/>
                              <w:left w:val="nil"/>
                              <w:bottom w:val="nil"/>
                              <w:right w:val="nil"/>
                            </w:tcBorders>
                            <w:hideMark/>
                          </w:tcPr>
                          <w:p w14:paraId="4C1B063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47.3 </w:t>
                            </w:r>
                          </w:p>
                        </w:tc>
                        <w:tc>
                          <w:tcPr>
                            <w:tcW w:w="566" w:type="pct"/>
                            <w:tcBorders>
                              <w:top w:val="single" w:sz="4" w:space="0" w:color="000000"/>
                              <w:left w:val="nil"/>
                              <w:bottom w:val="nil"/>
                              <w:right w:val="nil"/>
                            </w:tcBorders>
                            <w:hideMark/>
                          </w:tcPr>
                          <w:p w14:paraId="43C99B2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46.5 </w:t>
                            </w:r>
                          </w:p>
                        </w:tc>
                      </w:tr>
                      <w:tr w:rsidR="00781EC6" w:rsidRPr="00781EC6" w14:paraId="6AFF994D" w14:textId="77777777" w:rsidTr="00781EC6">
                        <w:trPr>
                          <w:trHeight w:val="204"/>
                        </w:trPr>
                        <w:tc>
                          <w:tcPr>
                            <w:tcW w:w="1605" w:type="pct"/>
                            <w:tcBorders>
                              <w:top w:val="nil"/>
                              <w:left w:val="nil"/>
                              <w:bottom w:val="nil"/>
                              <w:right w:val="nil"/>
                            </w:tcBorders>
                            <w:noWrap/>
                            <w:hideMark/>
                          </w:tcPr>
                          <w:p w14:paraId="504D25D3"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Common Stock</w:t>
                            </w:r>
                          </w:p>
                        </w:tc>
                        <w:tc>
                          <w:tcPr>
                            <w:tcW w:w="566" w:type="pct"/>
                            <w:tcBorders>
                              <w:top w:val="nil"/>
                              <w:left w:val="nil"/>
                              <w:bottom w:val="nil"/>
                              <w:right w:val="nil"/>
                            </w:tcBorders>
                            <w:hideMark/>
                          </w:tcPr>
                          <w:p w14:paraId="3AB0FAC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2.3 </w:t>
                            </w:r>
                          </w:p>
                        </w:tc>
                        <w:tc>
                          <w:tcPr>
                            <w:tcW w:w="566" w:type="pct"/>
                            <w:tcBorders>
                              <w:top w:val="nil"/>
                              <w:left w:val="nil"/>
                              <w:bottom w:val="nil"/>
                              <w:right w:val="nil"/>
                            </w:tcBorders>
                            <w:hideMark/>
                          </w:tcPr>
                          <w:p w14:paraId="32925A9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2.5 </w:t>
                            </w:r>
                          </w:p>
                        </w:tc>
                        <w:tc>
                          <w:tcPr>
                            <w:tcW w:w="566" w:type="pct"/>
                            <w:tcBorders>
                              <w:top w:val="nil"/>
                              <w:left w:val="nil"/>
                              <w:bottom w:val="nil"/>
                              <w:right w:val="nil"/>
                            </w:tcBorders>
                            <w:hideMark/>
                          </w:tcPr>
                          <w:p w14:paraId="33A973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06C299E7"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7296F6CD"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2487060B"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r>
                      <w:tr w:rsidR="00781EC6" w:rsidRPr="00781EC6" w14:paraId="38501C3D" w14:textId="77777777" w:rsidTr="00781EC6">
                        <w:trPr>
                          <w:trHeight w:val="204"/>
                        </w:trPr>
                        <w:tc>
                          <w:tcPr>
                            <w:tcW w:w="1605" w:type="pct"/>
                            <w:tcBorders>
                              <w:top w:val="nil"/>
                              <w:left w:val="nil"/>
                              <w:bottom w:val="nil"/>
                              <w:right w:val="nil"/>
                            </w:tcBorders>
                            <w:noWrap/>
                            <w:hideMark/>
                          </w:tcPr>
                          <w:p w14:paraId="6AA91FD9"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Comprehensive Inc. and Other</w:t>
                            </w:r>
                          </w:p>
                        </w:tc>
                        <w:tc>
                          <w:tcPr>
                            <w:tcW w:w="566" w:type="pct"/>
                            <w:tcBorders>
                              <w:top w:val="nil"/>
                              <w:left w:val="nil"/>
                              <w:bottom w:val="nil"/>
                              <w:right w:val="nil"/>
                            </w:tcBorders>
                            <w:hideMark/>
                          </w:tcPr>
                          <w:p w14:paraId="7537B1D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8.9 </w:t>
                            </w:r>
                          </w:p>
                        </w:tc>
                        <w:tc>
                          <w:tcPr>
                            <w:tcW w:w="566" w:type="pct"/>
                            <w:tcBorders>
                              <w:top w:val="nil"/>
                              <w:left w:val="nil"/>
                              <w:bottom w:val="nil"/>
                              <w:right w:val="nil"/>
                            </w:tcBorders>
                            <w:hideMark/>
                          </w:tcPr>
                          <w:p w14:paraId="74AEF93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9.9 </w:t>
                            </w:r>
                          </w:p>
                        </w:tc>
                        <w:tc>
                          <w:tcPr>
                            <w:tcW w:w="566" w:type="pct"/>
                            <w:tcBorders>
                              <w:top w:val="nil"/>
                              <w:left w:val="nil"/>
                              <w:bottom w:val="nil"/>
                              <w:right w:val="nil"/>
                            </w:tcBorders>
                            <w:hideMark/>
                          </w:tcPr>
                          <w:p w14:paraId="779BD17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9.5 </w:t>
                            </w:r>
                          </w:p>
                        </w:tc>
                        <w:tc>
                          <w:tcPr>
                            <w:tcW w:w="566" w:type="pct"/>
                            <w:tcBorders>
                              <w:top w:val="nil"/>
                              <w:left w:val="nil"/>
                              <w:bottom w:val="nil"/>
                              <w:right w:val="nil"/>
                            </w:tcBorders>
                            <w:hideMark/>
                          </w:tcPr>
                          <w:p w14:paraId="2FBF2F93"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9.9 </w:t>
                            </w:r>
                          </w:p>
                        </w:tc>
                        <w:tc>
                          <w:tcPr>
                            <w:tcW w:w="566" w:type="pct"/>
                            <w:tcBorders>
                              <w:top w:val="nil"/>
                              <w:left w:val="nil"/>
                              <w:bottom w:val="nil"/>
                              <w:right w:val="nil"/>
                            </w:tcBorders>
                            <w:hideMark/>
                          </w:tcPr>
                          <w:p w14:paraId="5490EB8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10.8 </w:t>
                            </w:r>
                          </w:p>
                        </w:tc>
                        <w:tc>
                          <w:tcPr>
                            <w:tcW w:w="566" w:type="pct"/>
                            <w:tcBorders>
                              <w:top w:val="nil"/>
                              <w:left w:val="nil"/>
                              <w:bottom w:val="nil"/>
                              <w:right w:val="nil"/>
                            </w:tcBorders>
                            <w:hideMark/>
                          </w:tcPr>
                          <w:p w14:paraId="56A94F32"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9.4 </w:t>
                            </w:r>
                          </w:p>
                        </w:tc>
                      </w:tr>
                      <w:tr w:rsidR="00781EC6" w:rsidRPr="00781EC6" w14:paraId="0683F7B4" w14:textId="77777777" w:rsidTr="00781EC6">
                        <w:trPr>
                          <w:trHeight w:val="204"/>
                        </w:trPr>
                        <w:tc>
                          <w:tcPr>
                            <w:tcW w:w="1605" w:type="pct"/>
                            <w:tcBorders>
                              <w:top w:val="nil"/>
                              <w:left w:val="nil"/>
                              <w:bottom w:val="nil"/>
                              <w:right w:val="nil"/>
                            </w:tcBorders>
                            <w:noWrap/>
                            <w:hideMark/>
                          </w:tcPr>
                          <w:p w14:paraId="7458194A"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Total Common Equity</w:t>
                            </w:r>
                          </w:p>
                        </w:tc>
                        <w:tc>
                          <w:tcPr>
                            <w:tcW w:w="566" w:type="pct"/>
                            <w:tcBorders>
                              <w:top w:val="single" w:sz="4" w:space="0" w:color="000000"/>
                              <w:left w:val="nil"/>
                              <w:bottom w:val="nil"/>
                              <w:right w:val="nil"/>
                            </w:tcBorders>
                            <w:hideMark/>
                          </w:tcPr>
                          <w:p w14:paraId="72CF1082"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11.2 </w:t>
                            </w:r>
                          </w:p>
                        </w:tc>
                        <w:tc>
                          <w:tcPr>
                            <w:tcW w:w="566" w:type="pct"/>
                            <w:tcBorders>
                              <w:top w:val="single" w:sz="4" w:space="0" w:color="000000"/>
                              <w:left w:val="nil"/>
                              <w:bottom w:val="nil"/>
                              <w:right w:val="nil"/>
                            </w:tcBorders>
                            <w:hideMark/>
                          </w:tcPr>
                          <w:p w14:paraId="0CB9495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12.4 </w:t>
                            </w:r>
                          </w:p>
                        </w:tc>
                        <w:tc>
                          <w:tcPr>
                            <w:tcW w:w="566" w:type="pct"/>
                            <w:tcBorders>
                              <w:top w:val="single" w:sz="4" w:space="0" w:color="000000"/>
                              <w:left w:val="nil"/>
                              <w:bottom w:val="nil"/>
                              <w:right w:val="nil"/>
                            </w:tcBorders>
                            <w:hideMark/>
                          </w:tcPr>
                          <w:p w14:paraId="3B3F1054"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11.7 </w:t>
                            </w:r>
                          </w:p>
                        </w:tc>
                        <w:tc>
                          <w:tcPr>
                            <w:tcW w:w="566" w:type="pct"/>
                            <w:tcBorders>
                              <w:top w:val="single" w:sz="4" w:space="0" w:color="000000"/>
                              <w:left w:val="nil"/>
                              <w:bottom w:val="nil"/>
                              <w:right w:val="nil"/>
                            </w:tcBorders>
                            <w:hideMark/>
                          </w:tcPr>
                          <w:p w14:paraId="7D62472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11.9 </w:t>
                            </w:r>
                          </w:p>
                        </w:tc>
                        <w:tc>
                          <w:tcPr>
                            <w:tcW w:w="566" w:type="pct"/>
                            <w:tcBorders>
                              <w:top w:val="single" w:sz="4" w:space="0" w:color="000000"/>
                              <w:left w:val="nil"/>
                              <w:bottom w:val="nil"/>
                              <w:right w:val="nil"/>
                            </w:tcBorders>
                            <w:hideMark/>
                          </w:tcPr>
                          <w:p w14:paraId="3E5148F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12.8 </w:t>
                            </w:r>
                          </w:p>
                        </w:tc>
                        <w:tc>
                          <w:tcPr>
                            <w:tcW w:w="566" w:type="pct"/>
                            <w:tcBorders>
                              <w:top w:val="single" w:sz="4" w:space="0" w:color="000000"/>
                              <w:left w:val="nil"/>
                              <w:bottom w:val="nil"/>
                              <w:right w:val="nil"/>
                            </w:tcBorders>
                            <w:hideMark/>
                          </w:tcPr>
                          <w:p w14:paraId="4F68E7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           11.2 </w:t>
                            </w:r>
                          </w:p>
                        </w:tc>
                      </w:tr>
                      <w:tr w:rsidR="00781EC6" w:rsidRPr="00781EC6" w14:paraId="6D53A5D9" w14:textId="77777777" w:rsidTr="00781EC6">
                        <w:trPr>
                          <w:trHeight w:val="204"/>
                        </w:trPr>
                        <w:tc>
                          <w:tcPr>
                            <w:tcW w:w="1605" w:type="pct"/>
                            <w:tcBorders>
                              <w:top w:val="nil"/>
                              <w:left w:val="nil"/>
                              <w:bottom w:val="nil"/>
                              <w:right w:val="nil"/>
                            </w:tcBorders>
                            <w:noWrap/>
                            <w:hideMark/>
                          </w:tcPr>
                          <w:p w14:paraId="0FC26E77" w14:textId="77777777" w:rsidR="00781EC6" w:rsidRPr="00781EC6" w:rsidRDefault="00781EC6" w:rsidP="00781EC6">
                            <w:pPr>
                              <w:spacing w:after="0" w:line="240" w:lineRule="auto"/>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Minority Interest</w:t>
                            </w:r>
                          </w:p>
                        </w:tc>
                        <w:tc>
                          <w:tcPr>
                            <w:tcW w:w="566" w:type="pct"/>
                            <w:tcBorders>
                              <w:top w:val="nil"/>
                              <w:left w:val="nil"/>
                              <w:bottom w:val="nil"/>
                              <w:right w:val="nil"/>
                            </w:tcBorders>
                            <w:hideMark/>
                          </w:tcPr>
                          <w:p w14:paraId="311475F1"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1.9 </w:t>
                            </w:r>
                          </w:p>
                        </w:tc>
                        <w:tc>
                          <w:tcPr>
                            <w:tcW w:w="566" w:type="pct"/>
                            <w:tcBorders>
                              <w:top w:val="nil"/>
                              <w:left w:val="nil"/>
                              <w:bottom w:val="nil"/>
                              <w:right w:val="nil"/>
                            </w:tcBorders>
                            <w:hideMark/>
                          </w:tcPr>
                          <w:p w14:paraId="78FD668E"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2C5444C8"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1.8 </w:t>
                            </w:r>
                          </w:p>
                        </w:tc>
                        <w:tc>
                          <w:tcPr>
                            <w:tcW w:w="566" w:type="pct"/>
                            <w:tcBorders>
                              <w:top w:val="nil"/>
                              <w:left w:val="nil"/>
                              <w:bottom w:val="nil"/>
                              <w:right w:val="nil"/>
                            </w:tcBorders>
                            <w:hideMark/>
                          </w:tcPr>
                          <w:p w14:paraId="37DF756A"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2.2 </w:t>
                            </w:r>
                          </w:p>
                        </w:tc>
                        <w:tc>
                          <w:tcPr>
                            <w:tcW w:w="566" w:type="pct"/>
                            <w:tcBorders>
                              <w:top w:val="nil"/>
                              <w:left w:val="nil"/>
                              <w:bottom w:val="nil"/>
                              <w:right w:val="nil"/>
                            </w:tcBorders>
                            <w:hideMark/>
                          </w:tcPr>
                          <w:p w14:paraId="12A8254C"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2.0 </w:t>
                            </w:r>
                          </w:p>
                        </w:tc>
                        <w:tc>
                          <w:tcPr>
                            <w:tcW w:w="566" w:type="pct"/>
                            <w:tcBorders>
                              <w:top w:val="nil"/>
                              <w:left w:val="nil"/>
                              <w:bottom w:val="nil"/>
                              <w:right w:val="nil"/>
                            </w:tcBorders>
                            <w:hideMark/>
                          </w:tcPr>
                          <w:p w14:paraId="57AB9A84" w14:textId="77777777" w:rsidR="00781EC6" w:rsidRPr="00781EC6" w:rsidRDefault="00781EC6" w:rsidP="00781EC6">
                            <w:pPr>
                              <w:spacing w:after="0" w:line="240" w:lineRule="auto"/>
                              <w:jc w:val="right"/>
                              <w:rPr>
                                <w:rFonts w:ascii="Cambria" w:eastAsia="Times New Roman" w:hAnsi="Cambria" w:cs="Arial"/>
                                <w:color w:val="000000"/>
                                <w:kern w:val="0"/>
                                <w:sz w:val="14"/>
                                <w:szCs w:val="14"/>
                                <w:lang w:eastAsia="en-IN"/>
                                <w14:ligatures w14:val="none"/>
                              </w:rPr>
                            </w:pPr>
                            <w:r w:rsidRPr="00781EC6">
                              <w:rPr>
                                <w:rFonts w:ascii="Cambria" w:eastAsia="Times New Roman" w:hAnsi="Cambria" w:cs="Arial"/>
                                <w:color w:val="000000"/>
                                <w:kern w:val="0"/>
                                <w:sz w:val="14"/>
                                <w:szCs w:val="14"/>
                                <w:lang w:eastAsia="en-IN"/>
                                <w14:ligatures w14:val="none"/>
                              </w:rPr>
                              <w:t xml:space="preserve">             1.7 </w:t>
                            </w:r>
                          </w:p>
                        </w:tc>
                      </w:tr>
                      <w:tr w:rsidR="00781EC6" w:rsidRPr="00781EC6" w14:paraId="22ABC343" w14:textId="77777777" w:rsidTr="00781EC6">
                        <w:trPr>
                          <w:trHeight w:val="204"/>
                        </w:trPr>
                        <w:tc>
                          <w:tcPr>
                            <w:tcW w:w="1605" w:type="pct"/>
                            <w:tcBorders>
                              <w:top w:val="nil"/>
                              <w:left w:val="nil"/>
                              <w:bottom w:val="nil"/>
                              <w:right w:val="nil"/>
                            </w:tcBorders>
                            <w:noWrap/>
                            <w:hideMark/>
                          </w:tcPr>
                          <w:p w14:paraId="3D0E6540"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Total Equity</w:t>
                            </w:r>
                          </w:p>
                        </w:tc>
                        <w:tc>
                          <w:tcPr>
                            <w:tcW w:w="566" w:type="pct"/>
                            <w:tcBorders>
                              <w:top w:val="nil"/>
                              <w:left w:val="nil"/>
                              <w:bottom w:val="nil"/>
                              <w:right w:val="nil"/>
                            </w:tcBorders>
                            <w:hideMark/>
                          </w:tcPr>
                          <w:p w14:paraId="6C4F25FC"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13.1 </w:t>
                            </w:r>
                          </w:p>
                        </w:tc>
                        <w:tc>
                          <w:tcPr>
                            <w:tcW w:w="566" w:type="pct"/>
                            <w:tcBorders>
                              <w:top w:val="nil"/>
                              <w:left w:val="nil"/>
                              <w:bottom w:val="nil"/>
                              <w:right w:val="nil"/>
                            </w:tcBorders>
                            <w:hideMark/>
                          </w:tcPr>
                          <w:p w14:paraId="3371174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14.2 </w:t>
                            </w:r>
                          </w:p>
                        </w:tc>
                        <w:tc>
                          <w:tcPr>
                            <w:tcW w:w="566" w:type="pct"/>
                            <w:tcBorders>
                              <w:top w:val="nil"/>
                              <w:left w:val="nil"/>
                              <w:bottom w:val="nil"/>
                              <w:right w:val="nil"/>
                            </w:tcBorders>
                            <w:hideMark/>
                          </w:tcPr>
                          <w:p w14:paraId="1497CE6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13.5 </w:t>
                            </w:r>
                          </w:p>
                        </w:tc>
                        <w:tc>
                          <w:tcPr>
                            <w:tcW w:w="566" w:type="pct"/>
                            <w:tcBorders>
                              <w:top w:val="nil"/>
                              <w:left w:val="nil"/>
                              <w:bottom w:val="nil"/>
                              <w:right w:val="nil"/>
                            </w:tcBorders>
                            <w:hideMark/>
                          </w:tcPr>
                          <w:p w14:paraId="1ED5E85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14.1 </w:t>
                            </w:r>
                          </w:p>
                        </w:tc>
                        <w:tc>
                          <w:tcPr>
                            <w:tcW w:w="566" w:type="pct"/>
                            <w:tcBorders>
                              <w:top w:val="nil"/>
                              <w:left w:val="nil"/>
                              <w:bottom w:val="nil"/>
                              <w:right w:val="nil"/>
                            </w:tcBorders>
                            <w:hideMark/>
                          </w:tcPr>
                          <w:p w14:paraId="0F3EF77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14.8 </w:t>
                            </w:r>
                          </w:p>
                        </w:tc>
                        <w:tc>
                          <w:tcPr>
                            <w:tcW w:w="566" w:type="pct"/>
                            <w:tcBorders>
                              <w:top w:val="nil"/>
                              <w:left w:val="nil"/>
                              <w:bottom w:val="nil"/>
                              <w:right w:val="nil"/>
                            </w:tcBorders>
                            <w:hideMark/>
                          </w:tcPr>
                          <w:p w14:paraId="7DA79FD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single"/>
                                <w:lang w:eastAsia="en-IN"/>
                                <w14:ligatures w14:val="none"/>
                              </w:rPr>
                            </w:pPr>
                            <w:r w:rsidRPr="00781EC6">
                              <w:rPr>
                                <w:rFonts w:ascii="Cambria" w:eastAsia="Times New Roman" w:hAnsi="Cambria" w:cs="Arial"/>
                                <w:b/>
                                <w:bCs/>
                                <w:color w:val="000000"/>
                                <w:kern w:val="0"/>
                                <w:sz w:val="14"/>
                                <w:szCs w:val="14"/>
                                <w:u w:val="single"/>
                                <w:lang w:eastAsia="en-IN"/>
                                <w14:ligatures w14:val="none"/>
                              </w:rPr>
                              <w:t xml:space="preserve">           12.9 </w:t>
                            </w:r>
                          </w:p>
                        </w:tc>
                      </w:tr>
                      <w:tr w:rsidR="00781EC6" w:rsidRPr="00781EC6" w14:paraId="4B6AFEAD" w14:textId="77777777" w:rsidTr="00781EC6">
                        <w:trPr>
                          <w:trHeight w:val="204"/>
                        </w:trPr>
                        <w:tc>
                          <w:tcPr>
                            <w:tcW w:w="1605" w:type="pct"/>
                            <w:tcBorders>
                              <w:top w:val="nil"/>
                              <w:left w:val="nil"/>
                              <w:bottom w:val="nil"/>
                              <w:right w:val="nil"/>
                            </w:tcBorders>
                            <w:noWrap/>
                            <w:hideMark/>
                          </w:tcPr>
                          <w:p w14:paraId="326EB82F" w14:textId="77777777" w:rsidR="00781EC6" w:rsidRPr="00781EC6" w:rsidRDefault="00781EC6" w:rsidP="00781EC6">
                            <w:pPr>
                              <w:spacing w:after="0" w:line="240" w:lineRule="auto"/>
                              <w:rPr>
                                <w:rFonts w:ascii="Cambria" w:eastAsia="Times New Roman" w:hAnsi="Cambria" w:cs="Arial"/>
                                <w:b/>
                                <w:bCs/>
                                <w:color w:val="000000"/>
                                <w:kern w:val="0"/>
                                <w:sz w:val="14"/>
                                <w:szCs w:val="14"/>
                                <w:lang w:eastAsia="en-IN"/>
                                <w14:ligatures w14:val="none"/>
                              </w:rPr>
                            </w:pPr>
                            <w:r w:rsidRPr="00781EC6">
                              <w:rPr>
                                <w:rFonts w:ascii="Cambria" w:eastAsia="Times New Roman" w:hAnsi="Cambria" w:cs="Arial"/>
                                <w:b/>
                                <w:bCs/>
                                <w:color w:val="000000"/>
                                <w:kern w:val="0"/>
                                <w:sz w:val="14"/>
                                <w:szCs w:val="14"/>
                                <w:lang w:eastAsia="en-IN"/>
                                <w14:ligatures w14:val="none"/>
                              </w:rPr>
                              <w:t xml:space="preserve">Total Liabilities </w:t>
                            </w:r>
                            <w:r w:rsidRPr="00781EC6">
                              <w:rPr>
                                <w:rFonts w:ascii="Cambria" w:eastAsia="Times New Roman" w:hAnsi="Cambria" w:cs="Arial"/>
                                <w:b/>
                                <w:bCs/>
                                <w:color w:val="000000"/>
                                <w:kern w:val="0"/>
                                <w:sz w:val="14"/>
                                <w:szCs w:val="14"/>
                                <w:lang w:eastAsia="en-IN"/>
                                <w14:ligatures w14:val="none"/>
                              </w:rPr>
                              <w:t>And Equity</w:t>
                            </w:r>
                          </w:p>
                        </w:tc>
                        <w:tc>
                          <w:tcPr>
                            <w:tcW w:w="566" w:type="pct"/>
                            <w:tcBorders>
                              <w:top w:val="nil"/>
                              <w:left w:val="nil"/>
                              <w:bottom w:val="nil"/>
                              <w:right w:val="nil"/>
                            </w:tcBorders>
                            <w:hideMark/>
                          </w:tcPr>
                          <w:p w14:paraId="5C9CAA8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57.8 </w:t>
                            </w:r>
                          </w:p>
                        </w:tc>
                        <w:tc>
                          <w:tcPr>
                            <w:tcW w:w="566" w:type="pct"/>
                            <w:tcBorders>
                              <w:top w:val="nil"/>
                              <w:left w:val="nil"/>
                              <w:bottom w:val="nil"/>
                              <w:right w:val="nil"/>
                            </w:tcBorders>
                            <w:hideMark/>
                          </w:tcPr>
                          <w:p w14:paraId="0147EE5E"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58.2 </w:t>
                            </w:r>
                          </w:p>
                        </w:tc>
                        <w:tc>
                          <w:tcPr>
                            <w:tcW w:w="566" w:type="pct"/>
                            <w:tcBorders>
                              <w:top w:val="nil"/>
                              <w:left w:val="nil"/>
                              <w:bottom w:val="nil"/>
                              <w:right w:val="nil"/>
                            </w:tcBorders>
                            <w:hideMark/>
                          </w:tcPr>
                          <w:p w14:paraId="3F904B63"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54.2 </w:t>
                            </w:r>
                          </w:p>
                        </w:tc>
                        <w:tc>
                          <w:tcPr>
                            <w:tcW w:w="566" w:type="pct"/>
                            <w:tcBorders>
                              <w:top w:val="nil"/>
                              <w:left w:val="nil"/>
                              <w:bottom w:val="nil"/>
                              <w:right w:val="nil"/>
                            </w:tcBorders>
                            <w:hideMark/>
                          </w:tcPr>
                          <w:p w14:paraId="1DA8FA7F"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60.4 </w:t>
                            </w:r>
                          </w:p>
                        </w:tc>
                        <w:tc>
                          <w:tcPr>
                            <w:tcW w:w="566" w:type="pct"/>
                            <w:tcBorders>
                              <w:top w:val="nil"/>
                              <w:left w:val="nil"/>
                              <w:bottom w:val="nil"/>
                              <w:right w:val="nil"/>
                            </w:tcBorders>
                            <w:hideMark/>
                          </w:tcPr>
                          <w:p w14:paraId="769E9DCB"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62.1 </w:t>
                            </w:r>
                          </w:p>
                        </w:tc>
                        <w:tc>
                          <w:tcPr>
                            <w:tcW w:w="566" w:type="pct"/>
                            <w:tcBorders>
                              <w:top w:val="nil"/>
                              <w:left w:val="nil"/>
                              <w:bottom w:val="nil"/>
                              <w:right w:val="nil"/>
                            </w:tcBorders>
                            <w:hideMark/>
                          </w:tcPr>
                          <w:p w14:paraId="3E1875C6" w14:textId="77777777" w:rsidR="00781EC6" w:rsidRPr="00781EC6" w:rsidRDefault="00781EC6" w:rsidP="00781EC6">
                            <w:pPr>
                              <w:spacing w:after="0" w:line="240" w:lineRule="auto"/>
                              <w:jc w:val="right"/>
                              <w:rPr>
                                <w:rFonts w:ascii="Cambria" w:eastAsia="Times New Roman" w:hAnsi="Cambria" w:cs="Arial"/>
                                <w:b/>
                                <w:bCs/>
                                <w:color w:val="000000"/>
                                <w:kern w:val="0"/>
                                <w:sz w:val="14"/>
                                <w:szCs w:val="14"/>
                                <w:u w:val="double"/>
                                <w:lang w:eastAsia="en-IN"/>
                                <w14:ligatures w14:val="none"/>
                              </w:rPr>
                            </w:pPr>
                            <w:r w:rsidRPr="00781EC6">
                              <w:rPr>
                                <w:rFonts w:ascii="Cambria" w:eastAsia="Times New Roman" w:hAnsi="Cambria" w:cs="Arial"/>
                                <w:b/>
                                <w:bCs/>
                                <w:color w:val="000000"/>
                                <w:kern w:val="0"/>
                                <w:sz w:val="14"/>
                                <w:szCs w:val="14"/>
                                <w:u w:val="double"/>
                                <w:lang w:eastAsia="en-IN"/>
                                <w14:ligatures w14:val="none"/>
                              </w:rPr>
                              <w:t xml:space="preserve">           59.4 </w:t>
                            </w:r>
                          </w:p>
                        </w:tc>
                      </w:tr>
                    </w:tbl>
                    <w:p w14:paraId="50184C24" w14:textId="6DC9B887" w:rsidR="00781EC6" w:rsidRDefault="00781EC6"/>
                  </w:txbxContent>
                </v:textbox>
                <w10:wrap type="square" anchorx="margin"/>
              </v:shape>
            </w:pict>
          </mc:Fallback>
        </mc:AlternateContent>
      </w:r>
      <w:r w:rsidR="00466D79"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BA0542"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noProof/>
          <w:sz w:val="24"/>
          <w:szCs w:val="24"/>
        </w:rPr>
        <w:lastRenderedPageBreak/>
        <mc:AlternateContent>
          <mc:Choice Requires="wps">
            <w:drawing>
              <wp:anchor distT="45720" distB="45720" distL="114300" distR="114300" simplePos="0" relativeHeight="251735040" behindDoc="0" locked="0" layoutInCell="1" allowOverlap="1" wp14:anchorId="4B51F067" wp14:editId="1150F1A9">
                <wp:simplePos x="0" y="0"/>
                <wp:positionH relativeFrom="margin">
                  <wp:align>left</wp:align>
                </wp:positionH>
                <wp:positionV relativeFrom="paragraph">
                  <wp:posOffset>0</wp:posOffset>
                </wp:positionV>
                <wp:extent cx="6164580" cy="5364480"/>
                <wp:effectExtent l="0" t="0" r="7620" b="7620"/>
                <wp:wrapSquare wrapText="bothSides"/>
                <wp:docPr id="1676033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5364480"/>
                        </a:xfrm>
                        <a:prstGeom prst="rect">
                          <a:avLst/>
                        </a:prstGeom>
                        <a:solidFill>
                          <a:srgbClr val="FFFFFF"/>
                        </a:solidFill>
                        <a:ln w="9525">
                          <a:noFill/>
                          <a:miter lim="800000"/>
                          <a:headEnd/>
                          <a:tailEnd/>
                        </a:ln>
                      </wps:spPr>
                      <wps:txbx>
                        <w:txbxContent>
                          <w:tbl>
                            <w:tblPr>
                              <w:tblW w:w="4992" w:type="pct"/>
                              <w:tblLook w:val="04A0" w:firstRow="1" w:lastRow="0" w:firstColumn="1" w:lastColumn="0" w:noHBand="0" w:noVBand="1"/>
                            </w:tblPr>
                            <w:tblGrid>
                              <w:gridCol w:w="3359"/>
                              <w:gridCol w:w="1004"/>
                              <w:gridCol w:w="1005"/>
                              <w:gridCol w:w="1025"/>
                              <w:gridCol w:w="1005"/>
                              <w:gridCol w:w="1005"/>
                              <w:gridCol w:w="1003"/>
                            </w:tblGrid>
                            <w:tr w:rsidR="00BA0542" w:rsidRPr="00BA0542" w14:paraId="1A0405DD" w14:textId="77777777" w:rsidTr="00BA0542">
                              <w:trPr>
                                <w:trHeight w:val="324"/>
                              </w:trPr>
                              <w:tc>
                                <w:tcPr>
                                  <w:tcW w:w="4467" w:type="pct"/>
                                  <w:gridSpan w:val="6"/>
                                  <w:tcBorders>
                                    <w:top w:val="nil"/>
                                    <w:left w:val="nil"/>
                                    <w:bottom w:val="nil"/>
                                    <w:right w:val="nil"/>
                                  </w:tcBorders>
                                  <w:noWrap/>
                                  <w:vAlign w:val="bottom"/>
                                  <w:hideMark/>
                                </w:tcPr>
                                <w:p w14:paraId="08E51DF5"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Carrefour SA (ENXTPA:CA) &gt; Financials &gt; Cash Flow</w:t>
                                  </w:r>
                                </w:p>
                              </w:tc>
                              <w:tc>
                                <w:tcPr>
                                  <w:tcW w:w="533" w:type="pct"/>
                                  <w:tcBorders>
                                    <w:top w:val="nil"/>
                                    <w:left w:val="nil"/>
                                    <w:bottom w:val="nil"/>
                                    <w:right w:val="nil"/>
                                  </w:tcBorders>
                                  <w:noWrap/>
                                  <w:vAlign w:val="bottom"/>
                                  <w:hideMark/>
                                </w:tcPr>
                                <w:p w14:paraId="58BB06E3"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p>
                              </w:tc>
                            </w:tr>
                            <w:tr w:rsidR="00BA0542" w:rsidRPr="00BA0542" w14:paraId="3EE11EDE" w14:textId="77777777" w:rsidTr="00BA0542">
                              <w:trPr>
                                <w:trHeight w:val="204"/>
                              </w:trPr>
                              <w:tc>
                                <w:tcPr>
                                  <w:tcW w:w="1786" w:type="pct"/>
                                  <w:tcBorders>
                                    <w:top w:val="nil"/>
                                    <w:left w:val="nil"/>
                                    <w:bottom w:val="nil"/>
                                    <w:right w:val="nil"/>
                                  </w:tcBorders>
                                  <w:shd w:val="clear" w:color="000000" w:fill="003366"/>
                                  <w:noWrap/>
                                  <w:vAlign w:val="bottom"/>
                                  <w:hideMark/>
                                </w:tcPr>
                                <w:p w14:paraId="2761A922"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Cash Flow</w:t>
                                  </w:r>
                                </w:p>
                              </w:tc>
                              <w:tc>
                                <w:tcPr>
                                  <w:tcW w:w="534" w:type="pct"/>
                                  <w:tcBorders>
                                    <w:top w:val="nil"/>
                                    <w:left w:val="nil"/>
                                    <w:bottom w:val="nil"/>
                                    <w:right w:val="nil"/>
                                  </w:tcBorders>
                                  <w:shd w:val="clear" w:color="000000" w:fill="003366"/>
                                  <w:noWrap/>
                                  <w:vAlign w:val="bottom"/>
                                  <w:hideMark/>
                                </w:tcPr>
                                <w:p w14:paraId="68A23984"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328577B0"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45" w:type="pct"/>
                                  <w:tcBorders>
                                    <w:top w:val="nil"/>
                                    <w:left w:val="nil"/>
                                    <w:bottom w:val="nil"/>
                                    <w:right w:val="nil"/>
                                  </w:tcBorders>
                                  <w:shd w:val="clear" w:color="000000" w:fill="003366"/>
                                  <w:noWrap/>
                                  <w:vAlign w:val="bottom"/>
                                  <w:hideMark/>
                                </w:tcPr>
                                <w:p w14:paraId="454D62A5"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44CE2743"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33C50E95"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3" w:type="pct"/>
                                  <w:tcBorders>
                                    <w:top w:val="nil"/>
                                    <w:left w:val="nil"/>
                                    <w:bottom w:val="nil"/>
                                    <w:right w:val="nil"/>
                                  </w:tcBorders>
                                  <w:shd w:val="clear" w:color="000000" w:fill="003366"/>
                                  <w:noWrap/>
                                  <w:vAlign w:val="bottom"/>
                                  <w:hideMark/>
                                </w:tcPr>
                                <w:p w14:paraId="29CD2A6B"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r>
                            <w:tr w:rsidR="00BA0542" w:rsidRPr="00BA0542" w14:paraId="519466A7" w14:textId="77777777" w:rsidTr="00BA0542">
                              <w:trPr>
                                <w:trHeight w:val="612"/>
                              </w:trPr>
                              <w:tc>
                                <w:tcPr>
                                  <w:tcW w:w="1786" w:type="pct"/>
                                  <w:tcBorders>
                                    <w:top w:val="nil"/>
                                    <w:left w:val="nil"/>
                                    <w:bottom w:val="nil"/>
                                    <w:right w:val="nil"/>
                                  </w:tcBorders>
                                  <w:shd w:val="clear" w:color="000000" w:fill="F0F0DC"/>
                                  <w:vAlign w:val="bottom"/>
                                  <w:hideMark/>
                                </w:tcPr>
                                <w:p w14:paraId="5D69F5E0"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For the Fiscal Period Ending</w:t>
                                  </w:r>
                                </w:p>
                              </w:tc>
                              <w:tc>
                                <w:tcPr>
                                  <w:tcW w:w="534" w:type="pct"/>
                                  <w:tcBorders>
                                    <w:top w:val="nil"/>
                                    <w:left w:val="nil"/>
                                    <w:bottom w:val="nil"/>
                                    <w:right w:val="nil"/>
                                  </w:tcBorders>
                                  <w:shd w:val="clear" w:color="000000" w:fill="F0F0DC"/>
                                  <w:vAlign w:val="bottom"/>
                                  <w:hideMark/>
                                </w:tcPr>
                                <w:p w14:paraId="450A7A4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Restated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Dec-31-2019</w:t>
                                  </w:r>
                                </w:p>
                              </w:tc>
                              <w:tc>
                                <w:tcPr>
                                  <w:tcW w:w="534" w:type="pct"/>
                                  <w:tcBorders>
                                    <w:top w:val="nil"/>
                                    <w:left w:val="nil"/>
                                    <w:bottom w:val="nil"/>
                                    <w:right w:val="nil"/>
                                  </w:tcBorders>
                                  <w:shd w:val="clear" w:color="000000" w:fill="F0F0DC"/>
                                  <w:vAlign w:val="bottom"/>
                                  <w:hideMark/>
                                </w:tcPr>
                                <w:p w14:paraId="3E02B35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Dec-31-2020</w:t>
                                  </w:r>
                                </w:p>
                              </w:tc>
                              <w:tc>
                                <w:tcPr>
                                  <w:tcW w:w="545" w:type="pct"/>
                                  <w:tcBorders>
                                    <w:top w:val="nil"/>
                                    <w:left w:val="nil"/>
                                    <w:bottom w:val="nil"/>
                                    <w:right w:val="nil"/>
                                  </w:tcBorders>
                                  <w:shd w:val="clear" w:color="000000" w:fill="F0F0DC"/>
                                  <w:vAlign w:val="bottom"/>
                                  <w:hideMark/>
                                </w:tcPr>
                                <w:p w14:paraId="08A6E281"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Reclassified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Dec-31-2021</w:t>
                                  </w:r>
                                </w:p>
                              </w:tc>
                              <w:tc>
                                <w:tcPr>
                                  <w:tcW w:w="534" w:type="pct"/>
                                  <w:tcBorders>
                                    <w:top w:val="nil"/>
                                    <w:left w:val="nil"/>
                                    <w:bottom w:val="nil"/>
                                    <w:right w:val="nil"/>
                                  </w:tcBorders>
                                  <w:shd w:val="clear" w:color="000000" w:fill="F0F0DC"/>
                                  <w:vAlign w:val="bottom"/>
                                  <w:hideMark/>
                                </w:tcPr>
                                <w:p w14:paraId="054C36C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Dec-31-2022</w:t>
                                  </w:r>
                                </w:p>
                              </w:tc>
                              <w:tc>
                                <w:tcPr>
                                  <w:tcW w:w="534" w:type="pct"/>
                                  <w:tcBorders>
                                    <w:top w:val="nil"/>
                                    <w:left w:val="nil"/>
                                    <w:bottom w:val="nil"/>
                                    <w:right w:val="nil"/>
                                  </w:tcBorders>
                                  <w:shd w:val="clear" w:color="000000" w:fill="F0F0DC"/>
                                  <w:vAlign w:val="bottom"/>
                                  <w:hideMark/>
                                </w:tcPr>
                                <w:p w14:paraId="57DEF1F8"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Restated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Dec-31-2023</w:t>
                                  </w:r>
                                </w:p>
                              </w:tc>
                              <w:tc>
                                <w:tcPr>
                                  <w:tcW w:w="533" w:type="pct"/>
                                  <w:tcBorders>
                                    <w:top w:val="nil"/>
                                    <w:left w:val="nil"/>
                                    <w:bottom w:val="nil"/>
                                    <w:right w:val="nil"/>
                                  </w:tcBorders>
                                  <w:shd w:val="clear" w:color="000000" w:fill="F0F0DC"/>
                                  <w:vAlign w:val="bottom"/>
                                  <w:hideMark/>
                                </w:tcPr>
                                <w:p w14:paraId="1EF5AA5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Dec-31-2024</w:t>
                                  </w:r>
                                </w:p>
                              </w:tc>
                            </w:tr>
                            <w:tr w:rsidR="00BA0542" w:rsidRPr="00BA0542" w14:paraId="2C3E6081" w14:textId="77777777" w:rsidTr="00BA0542">
                              <w:trPr>
                                <w:trHeight w:val="204"/>
                              </w:trPr>
                              <w:tc>
                                <w:tcPr>
                                  <w:tcW w:w="1786" w:type="pct"/>
                                  <w:tcBorders>
                                    <w:top w:val="nil"/>
                                    <w:left w:val="nil"/>
                                    <w:bottom w:val="nil"/>
                                    <w:right w:val="nil"/>
                                  </w:tcBorders>
                                  <w:shd w:val="clear" w:color="000000" w:fill="F0F0DC"/>
                                  <w:vAlign w:val="bottom"/>
                                  <w:hideMark/>
                                </w:tcPr>
                                <w:p w14:paraId="45330476" w14:textId="77777777" w:rsidR="00BA0542" w:rsidRPr="00BA0542" w:rsidRDefault="00BA0542" w:rsidP="00BA0542">
                                  <w:pPr>
                                    <w:spacing w:after="0" w:line="240" w:lineRule="auto"/>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Currency</w:t>
                                  </w:r>
                                </w:p>
                              </w:tc>
                              <w:tc>
                                <w:tcPr>
                                  <w:tcW w:w="534" w:type="pct"/>
                                  <w:tcBorders>
                                    <w:top w:val="nil"/>
                                    <w:left w:val="nil"/>
                                    <w:bottom w:val="nil"/>
                                    <w:right w:val="nil"/>
                                  </w:tcBorders>
                                  <w:shd w:val="clear" w:color="000000" w:fill="F0F0DC"/>
                                  <w:vAlign w:val="bottom"/>
                                  <w:hideMark/>
                                </w:tcPr>
                                <w:p w14:paraId="513EFD01"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787CFCE8"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45" w:type="pct"/>
                                  <w:tcBorders>
                                    <w:top w:val="nil"/>
                                    <w:left w:val="nil"/>
                                    <w:bottom w:val="nil"/>
                                    <w:right w:val="nil"/>
                                  </w:tcBorders>
                                  <w:shd w:val="clear" w:color="000000" w:fill="F0F0DC"/>
                                  <w:vAlign w:val="bottom"/>
                                  <w:hideMark/>
                                </w:tcPr>
                                <w:p w14:paraId="6DFF3F8C"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7435D405"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5013AEE3"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3" w:type="pct"/>
                                  <w:tcBorders>
                                    <w:top w:val="nil"/>
                                    <w:left w:val="nil"/>
                                    <w:bottom w:val="nil"/>
                                    <w:right w:val="nil"/>
                                  </w:tcBorders>
                                  <w:shd w:val="clear" w:color="000000" w:fill="F0F0DC"/>
                                  <w:vAlign w:val="bottom"/>
                                  <w:hideMark/>
                                </w:tcPr>
                                <w:p w14:paraId="1E292A09"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r>
                            <w:tr w:rsidR="00BA0542" w:rsidRPr="00BA0542" w14:paraId="73DFB671" w14:textId="77777777" w:rsidTr="00BA0542">
                              <w:trPr>
                                <w:trHeight w:val="204"/>
                              </w:trPr>
                              <w:tc>
                                <w:tcPr>
                                  <w:tcW w:w="1786" w:type="pct"/>
                                  <w:tcBorders>
                                    <w:top w:val="nil"/>
                                    <w:left w:val="nil"/>
                                    <w:bottom w:val="nil"/>
                                    <w:right w:val="nil"/>
                                  </w:tcBorders>
                                  <w:noWrap/>
                                  <w:hideMark/>
                                </w:tcPr>
                                <w:p w14:paraId="70090868"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Net Income</w:t>
                                  </w:r>
                                </w:p>
                              </w:tc>
                              <w:tc>
                                <w:tcPr>
                                  <w:tcW w:w="534" w:type="pct"/>
                                  <w:tcBorders>
                                    <w:top w:val="nil"/>
                                    <w:left w:val="nil"/>
                                    <w:bottom w:val="nil"/>
                                    <w:right w:val="nil"/>
                                  </w:tcBorders>
                                  <w:hideMark/>
                                </w:tcPr>
                                <w:p w14:paraId="25946BE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1.3 </w:t>
                                  </w:r>
                                </w:p>
                              </w:tc>
                              <w:tc>
                                <w:tcPr>
                                  <w:tcW w:w="534" w:type="pct"/>
                                  <w:tcBorders>
                                    <w:top w:val="nil"/>
                                    <w:left w:val="nil"/>
                                    <w:bottom w:val="nil"/>
                                    <w:right w:val="nil"/>
                                  </w:tcBorders>
                                  <w:hideMark/>
                                </w:tcPr>
                                <w:p w14:paraId="49FD3D8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0.8 </w:t>
                                  </w:r>
                                </w:p>
                              </w:tc>
                              <w:tc>
                                <w:tcPr>
                                  <w:tcW w:w="545" w:type="pct"/>
                                  <w:tcBorders>
                                    <w:top w:val="nil"/>
                                    <w:left w:val="nil"/>
                                    <w:bottom w:val="nil"/>
                                    <w:right w:val="nil"/>
                                  </w:tcBorders>
                                  <w:hideMark/>
                                </w:tcPr>
                                <w:p w14:paraId="132E93D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1.2 </w:t>
                                  </w:r>
                                </w:p>
                              </w:tc>
                              <w:tc>
                                <w:tcPr>
                                  <w:tcW w:w="534" w:type="pct"/>
                                  <w:tcBorders>
                                    <w:top w:val="nil"/>
                                    <w:left w:val="nil"/>
                                    <w:bottom w:val="nil"/>
                                    <w:right w:val="nil"/>
                                  </w:tcBorders>
                                  <w:hideMark/>
                                </w:tcPr>
                                <w:p w14:paraId="7CE9E46F"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1.4 </w:t>
                                  </w:r>
                                </w:p>
                              </w:tc>
                              <w:tc>
                                <w:tcPr>
                                  <w:tcW w:w="534" w:type="pct"/>
                                  <w:tcBorders>
                                    <w:top w:val="nil"/>
                                    <w:left w:val="nil"/>
                                    <w:bottom w:val="nil"/>
                                    <w:right w:val="nil"/>
                                  </w:tcBorders>
                                  <w:hideMark/>
                                </w:tcPr>
                                <w:p w14:paraId="33ED6DE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1.8 </w:t>
                                  </w:r>
                                </w:p>
                              </w:tc>
                              <w:tc>
                                <w:tcPr>
                                  <w:tcW w:w="533" w:type="pct"/>
                                  <w:tcBorders>
                                    <w:top w:val="nil"/>
                                    <w:left w:val="nil"/>
                                    <w:bottom w:val="nil"/>
                                    <w:right w:val="nil"/>
                                  </w:tcBorders>
                                  <w:hideMark/>
                                </w:tcPr>
                                <w:p w14:paraId="369E599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0.7 </w:t>
                                  </w:r>
                                </w:p>
                              </w:tc>
                            </w:tr>
                            <w:tr w:rsidR="00BA0542" w:rsidRPr="00BA0542" w14:paraId="2D43A570" w14:textId="77777777" w:rsidTr="00BA0542">
                              <w:trPr>
                                <w:trHeight w:val="204"/>
                              </w:trPr>
                              <w:tc>
                                <w:tcPr>
                                  <w:tcW w:w="1786" w:type="pct"/>
                                  <w:tcBorders>
                                    <w:top w:val="nil"/>
                                    <w:left w:val="nil"/>
                                    <w:bottom w:val="nil"/>
                                    <w:right w:val="nil"/>
                                  </w:tcBorders>
                                  <w:noWrap/>
                                  <w:hideMark/>
                                </w:tcPr>
                                <w:p w14:paraId="6866FCE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Depreciation &amp; Amort.</w:t>
                                  </w:r>
                                </w:p>
                              </w:tc>
                              <w:tc>
                                <w:tcPr>
                                  <w:tcW w:w="534" w:type="pct"/>
                                  <w:tcBorders>
                                    <w:top w:val="nil"/>
                                    <w:left w:val="nil"/>
                                    <w:bottom w:val="nil"/>
                                    <w:right w:val="nil"/>
                                  </w:tcBorders>
                                  <w:hideMark/>
                                </w:tcPr>
                                <w:p w14:paraId="5201A48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2.4 </w:t>
                                  </w:r>
                                </w:p>
                              </w:tc>
                              <w:tc>
                                <w:tcPr>
                                  <w:tcW w:w="534" w:type="pct"/>
                                  <w:tcBorders>
                                    <w:top w:val="nil"/>
                                    <w:left w:val="nil"/>
                                    <w:bottom w:val="nil"/>
                                    <w:right w:val="nil"/>
                                  </w:tcBorders>
                                  <w:hideMark/>
                                </w:tcPr>
                                <w:p w14:paraId="2412A59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2.5 </w:t>
                                  </w:r>
                                </w:p>
                              </w:tc>
                              <w:tc>
                                <w:tcPr>
                                  <w:tcW w:w="545" w:type="pct"/>
                                  <w:tcBorders>
                                    <w:top w:val="nil"/>
                                    <w:left w:val="nil"/>
                                    <w:bottom w:val="nil"/>
                                    <w:right w:val="nil"/>
                                  </w:tcBorders>
                                  <w:hideMark/>
                                </w:tcPr>
                                <w:p w14:paraId="7A68638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11C031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1538D41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2.3 </w:t>
                                  </w:r>
                                </w:p>
                              </w:tc>
                              <w:tc>
                                <w:tcPr>
                                  <w:tcW w:w="533" w:type="pct"/>
                                  <w:tcBorders>
                                    <w:top w:val="nil"/>
                                    <w:left w:val="nil"/>
                                    <w:bottom w:val="nil"/>
                                    <w:right w:val="nil"/>
                                  </w:tcBorders>
                                  <w:hideMark/>
                                </w:tcPr>
                                <w:p w14:paraId="402D849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2.2 </w:t>
                                  </w:r>
                                </w:p>
                              </w:tc>
                            </w:tr>
                            <w:tr w:rsidR="00BA0542" w:rsidRPr="00BA0542" w14:paraId="7877FFEB" w14:textId="77777777" w:rsidTr="00BA0542">
                              <w:trPr>
                                <w:trHeight w:val="204"/>
                              </w:trPr>
                              <w:tc>
                                <w:tcPr>
                                  <w:tcW w:w="1786" w:type="pct"/>
                                  <w:tcBorders>
                                    <w:top w:val="nil"/>
                                    <w:left w:val="nil"/>
                                    <w:bottom w:val="nil"/>
                                    <w:right w:val="nil"/>
                                  </w:tcBorders>
                                  <w:noWrap/>
                                  <w:hideMark/>
                                </w:tcPr>
                                <w:p w14:paraId="172E8FB5"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Amort. of Goodwill and Intangibles</w:t>
                                  </w:r>
                                </w:p>
                              </w:tc>
                              <w:tc>
                                <w:tcPr>
                                  <w:tcW w:w="534" w:type="pct"/>
                                  <w:tcBorders>
                                    <w:top w:val="nil"/>
                                    <w:left w:val="nil"/>
                                    <w:bottom w:val="nil"/>
                                    <w:right w:val="nil"/>
                                  </w:tcBorders>
                                  <w:hideMark/>
                                </w:tcPr>
                                <w:p w14:paraId="704BDA4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2902F47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45" w:type="pct"/>
                                  <w:tcBorders>
                                    <w:top w:val="nil"/>
                                    <w:left w:val="nil"/>
                                    <w:bottom w:val="nil"/>
                                    <w:right w:val="nil"/>
                                  </w:tcBorders>
                                  <w:hideMark/>
                                </w:tcPr>
                                <w:p w14:paraId="71689B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5510E8D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04C12CB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3" w:type="pct"/>
                                  <w:tcBorders>
                                    <w:top w:val="nil"/>
                                    <w:left w:val="nil"/>
                                    <w:bottom w:val="nil"/>
                                    <w:right w:val="nil"/>
                                  </w:tcBorders>
                                  <w:hideMark/>
                                </w:tcPr>
                                <w:p w14:paraId="01DC38B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r>
                            <w:tr w:rsidR="00BA0542" w:rsidRPr="00BA0542" w14:paraId="55D32BF6" w14:textId="77777777" w:rsidTr="00BA0542">
                              <w:trPr>
                                <w:trHeight w:val="204"/>
                              </w:trPr>
                              <w:tc>
                                <w:tcPr>
                                  <w:tcW w:w="1786" w:type="pct"/>
                                  <w:tcBorders>
                                    <w:top w:val="nil"/>
                                    <w:left w:val="nil"/>
                                    <w:bottom w:val="nil"/>
                                    <w:right w:val="nil"/>
                                  </w:tcBorders>
                                  <w:noWrap/>
                                  <w:hideMark/>
                                </w:tcPr>
                                <w:p w14:paraId="2EA1D2DC"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Depreciation &amp; Amort., Total</w:t>
                                  </w:r>
                                </w:p>
                              </w:tc>
                              <w:tc>
                                <w:tcPr>
                                  <w:tcW w:w="534" w:type="pct"/>
                                  <w:tcBorders>
                                    <w:top w:val="single" w:sz="4" w:space="0" w:color="000000"/>
                                    <w:left w:val="nil"/>
                                    <w:bottom w:val="nil"/>
                                    <w:right w:val="nil"/>
                                  </w:tcBorders>
                                  <w:hideMark/>
                                </w:tcPr>
                                <w:p w14:paraId="11230F7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2.6 </w:t>
                                  </w:r>
                                </w:p>
                              </w:tc>
                              <w:tc>
                                <w:tcPr>
                                  <w:tcW w:w="534" w:type="pct"/>
                                  <w:tcBorders>
                                    <w:top w:val="single" w:sz="4" w:space="0" w:color="000000"/>
                                    <w:left w:val="nil"/>
                                    <w:bottom w:val="nil"/>
                                    <w:right w:val="nil"/>
                                  </w:tcBorders>
                                  <w:hideMark/>
                                </w:tcPr>
                                <w:p w14:paraId="09156EB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2.8 </w:t>
                                  </w:r>
                                </w:p>
                              </w:tc>
                              <w:tc>
                                <w:tcPr>
                                  <w:tcW w:w="545" w:type="pct"/>
                                  <w:tcBorders>
                                    <w:top w:val="single" w:sz="4" w:space="0" w:color="000000"/>
                                    <w:left w:val="nil"/>
                                    <w:bottom w:val="nil"/>
                                    <w:right w:val="nil"/>
                                  </w:tcBorders>
                                  <w:hideMark/>
                                </w:tcPr>
                                <w:p w14:paraId="164579E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c>
                                <w:tcPr>
                                  <w:tcW w:w="534" w:type="pct"/>
                                  <w:tcBorders>
                                    <w:top w:val="single" w:sz="4" w:space="0" w:color="000000"/>
                                    <w:left w:val="nil"/>
                                    <w:bottom w:val="nil"/>
                                    <w:right w:val="nil"/>
                                  </w:tcBorders>
                                  <w:hideMark/>
                                </w:tcPr>
                                <w:p w14:paraId="0262BD2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c>
                                <w:tcPr>
                                  <w:tcW w:w="534" w:type="pct"/>
                                  <w:tcBorders>
                                    <w:top w:val="single" w:sz="4" w:space="0" w:color="000000"/>
                                    <w:left w:val="nil"/>
                                    <w:bottom w:val="nil"/>
                                    <w:right w:val="nil"/>
                                  </w:tcBorders>
                                  <w:hideMark/>
                                </w:tcPr>
                                <w:p w14:paraId="20FF756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c>
                                <w:tcPr>
                                  <w:tcW w:w="533" w:type="pct"/>
                                  <w:tcBorders>
                                    <w:top w:val="single" w:sz="4" w:space="0" w:color="000000"/>
                                    <w:left w:val="nil"/>
                                    <w:bottom w:val="nil"/>
                                    <w:right w:val="nil"/>
                                  </w:tcBorders>
                                  <w:hideMark/>
                                </w:tcPr>
                                <w:p w14:paraId="0346FFE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r>
                            <w:tr w:rsidR="00BA0542" w:rsidRPr="00BA0542" w14:paraId="77D6EA2B" w14:textId="77777777" w:rsidTr="00BA0542">
                              <w:trPr>
                                <w:trHeight w:val="204"/>
                              </w:trPr>
                              <w:tc>
                                <w:tcPr>
                                  <w:tcW w:w="1786" w:type="pct"/>
                                  <w:tcBorders>
                                    <w:top w:val="nil"/>
                                    <w:left w:val="nil"/>
                                    <w:bottom w:val="nil"/>
                                    <w:right w:val="nil"/>
                                  </w:tcBorders>
                                  <w:noWrap/>
                                  <w:hideMark/>
                                </w:tcPr>
                                <w:p w14:paraId="214A5251"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(Gain) Loss </w:t>
                                  </w:r>
                                  <w:r w:rsidRPr="00BA0542">
                                    <w:rPr>
                                      <w:rFonts w:ascii="Cambria'" w:eastAsia="Times New Roman" w:hAnsi="Cambria'" w:cs="Arial"/>
                                      <w:color w:val="000000"/>
                                      <w:kern w:val="0"/>
                                      <w:sz w:val="14"/>
                                      <w:szCs w:val="14"/>
                                      <w:lang w:eastAsia="en-IN"/>
                                      <w14:ligatures w14:val="none"/>
                                    </w:rPr>
                                    <w:t>From Sale Of Assets</w:t>
                                  </w:r>
                                </w:p>
                              </w:tc>
                              <w:tc>
                                <w:tcPr>
                                  <w:tcW w:w="534" w:type="pct"/>
                                  <w:tcBorders>
                                    <w:top w:val="nil"/>
                                    <w:left w:val="nil"/>
                                    <w:bottom w:val="nil"/>
                                    <w:right w:val="nil"/>
                                  </w:tcBorders>
                                  <w:hideMark/>
                                </w:tcPr>
                                <w:p w14:paraId="3B449EA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5287537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2C9A04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2BAC720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119F5F3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2A14B7A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r>
                            <w:tr w:rsidR="00BA0542" w:rsidRPr="00BA0542" w14:paraId="605B806D" w14:textId="77777777" w:rsidTr="00BA0542">
                              <w:trPr>
                                <w:trHeight w:val="204"/>
                              </w:trPr>
                              <w:tc>
                                <w:tcPr>
                                  <w:tcW w:w="1786" w:type="pct"/>
                                  <w:tcBorders>
                                    <w:top w:val="nil"/>
                                    <w:left w:val="nil"/>
                                    <w:bottom w:val="nil"/>
                                    <w:right w:val="nil"/>
                                  </w:tcBorders>
                                  <w:noWrap/>
                                  <w:hideMark/>
                                </w:tcPr>
                                <w:p w14:paraId="0AE265A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Asset </w:t>
                                  </w:r>
                                  <w:r w:rsidRPr="00BA0542">
                                    <w:rPr>
                                      <w:rFonts w:ascii="Cambria'" w:eastAsia="Times New Roman" w:hAnsi="Cambria'" w:cs="Arial"/>
                                      <w:color w:val="000000"/>
                                      <w:kern w:val="0"/>
                                      <w:sz w:val="14"/>
                                      <w:szCs w:val="14"/>
                                      <w:lang w:eastAsia="en-IN"/>
                                      <w14:ligatures w14:val="none"/>
                                    </w:rPr>
                                    <w:t>Writedown &amp; Restructuring Costs</w:t>
                                  </w:r>
                                </w:p>
                              </w:tc>
                              <w:tc>
                                <w:tcPr>
                                  <w:tcW w:w="534" w:type="pct"/>
                                  <w:tcBorders>
                                    <w:top w:val="nil"/>
                                    <w:left w:val="nil"/>
                                    <w:bottom w:val="nil"/>
                                    <w:right w:val="nil"/>
                                  </w:tcBorders>
                                  <w:hideMark/>
                                </w:tcPr>
                                <w:p w14:paraId="2A62EFE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09AD6F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45" w:type="pct"/>
                                  <w:tcBorders>
                                    <w:top w:val="nil"/>
                                    <w:left w:val="nil"/>
                                    <w:bottom w:val="nil"/>
                                    <w:right w:val="nil"/>
                                  </w:tcBorders>
                                  <w:hideMark/>
                                </w:tcPr>
                                <w:p w14:paraId="3F34F42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6D88629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243C6CC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3" w:type="pct"/>
                                  <w:tcBorders>
                                    <w:top w:val="nil"/>
                                    <w:left w:val="nil"/>
                                    <w:bottom w:val="nil"/>
                                    <w:right w:val="nil"/>
                                  </w:tcBorders>
                                  <w:hideMark/>
                                </w:tcPr>
                                <w:p w14:paraId="3D25708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r>
                            <w:tr w:rsidR="00BA0542" w:rsidRPr="00BA0542" w14:paraId="1AB8058C" w14:textId="77777777" w:rsidTr="00BA0542">
                              <w:trPr>
                                <w:trHeight w:val="204"/>
                              </w:trPr>
                              <w:tc>
                                <w:tcPr>
                                  <w:tcW w:w="1786" w:type="pct"/>
                                  <w:tcBorders>
                                    <w:top w:val="nil"/>
                                    <w:left w:val="nil"/>
                                    <w:bottom w:val="nil"/>
                                    <w:right w:val="nil"/>
                                  </w:tcBorders>
                                  <w:noWrap/>
                                  <w:hideMark/>
                                </w:tcPr>
                                <w:p w14:paraId="315AC01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Net (Increase)/Decrease in Loans Orig/Sold</w:t>
                                  </w:r>
                                </w:p>
                              </w:tc>
                              <w:tc>
                                <w:tcPr>
                                  <w:tcW w:w="534" w:type="pct"/>
                                  <w:tcBorders>
                                    <w:top w:val="nil"/>
                                    <w:left w:val="nil"/>
                                    <w:bottom w:val="nil"/>
                                    <w:right w:val="nil"/>
                                  </w:tcBorders>
                                  <w:hideMark/>
                                </w:tcPr>
                                <w:p w14:paraId="018750A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F2DCF8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5B7FB5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4D6E688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FAC712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357D15B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7542C2E7" w14:textId="77777777" w:rsidTr="00BA0542">
                              <w:trPr>
                                <w:trHeight w:val="204"/>
                              </w:trPr>
                              <w:tc>
                                <w:tcPr>
                                  <w:tcW w:w="1786" w:type="pct"/>
                                  <w:tcBorders>
                                    <w:top w:val="nil"/>
                                    <w:left w:val="nil"/>
                                    <w:bottom w:val="nil"/>
                                    <w:right w:val="nil"/>
                                  </w:tcBorders>
                                  <w:noWrap/>
                                  <w:hideMark/>
                                </w:tcPr>
                                <w:p w14:paraId="20B99870"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(Income) Loss on Equity Invest.</w:t>
                                  </w:r>
                                </w:p>
                              </w:tc>
                              <w:tc>
                                <w:tcPr>
                                  <w:tcW w:w="534" w:type="pct"/>
                                  <w:tcBorders>
                                    <w:top w:val="nil"/>
                                    <w:left w:val="nil"/>
                                    <w:bottom w:val="nil"/>
                                    <w:right w:val="nil"/>
                                  </w:tcBorders>
                                  <w:hideMark/>
                                </w:tcPr>
                                <w:p w14:paraId="0B19CC9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77CA96C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3206DC3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4C3AB29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02E26D2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3" w:type="pct"/>
                                  <w:tcBorders>
                                    <w:top w:val="nil"/>
                                    <w:left w:val="nil"/>
                                    <w:bottom w:val="nil"/>
                                    <w:right w:val="nil"/>
                                  </w:tcBorders>
                                  <w:hideMark/>
                                </w:tcPr>
                                <w:p w14:paraId="4382354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4C20B2B0" w14:textId="77777777" w:rsidTr="00BA0542">
                              <w:trPr>
                                <w:trHeight w:val="204"/>
                              </w:trPr>
                              <w:tc>
                                <w:tcPr>
                                  <w:tcW w:w="1786" w:type="pct"/>
                                  <w:tcBorders>
                                    <w:top w:val="nil"/>
                                    <w:left w:val="nil"/>
                                    <w:bottom w:val="nil"/>
                                    <w:right w:val="nil"/>
                                  </w:tcBorders>
                                  <w:noWrap/>
                                  <w:hideMark/>
                                </w:tcPr>
                                <w:p w14:paraId="1D3C0E2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Net Cash From Discontinued Ops.</w:t>
                                  </w:r>
                                </w:p>
                              </w:tc>
                              <w:tc>
                                <w:tcPr>
                                  <w:tcW w:w="534" w:type="pct"/>
                                  <w:tcBorders>
                                    <w:top w:val="nil"/>
                                    <w:left w:val="nil"/>
                                    <w:bottom w:val="nil"/>
                                    <w:right w:val="nil"/>
                                  </w:tcBorders>
                                  <w:hideMark/>
                                </w:tcPr>
                                <w:p w14:paraId="23F7E04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77641C7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56A6150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3C81356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43EAD9C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3" w:type="pct"/>
                                  <w:tcBorders>
                                    <w:top w:val="nil"/>
                                    <w:left w:val="nil"/>
                                    <w:bottom w:val="nil"/>
                                    <w:right w:val="nil"/>
                                  </w:tcBorders>
                                  <w:hideMark/>
                                </w:tcPr>
                                <w:p w14:paraId="23B0AE7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0A96B7AD" w14:textId="77777777" w:rsidTr="00BA0542">
                              <w:trPr>
                                <w:trHeight w:val="204"/>
                              </w:trPr>
                              <w:tc>
                                <w:tcPr>
                                  <w:tcW w:w="1786" w:type="pct"/>
                                  <w:tcBorders>
                                    <w:top w:val="nil"/>
                                    <w:left w:val="nil"/>
                                    <w:bottom w:val="nil"/>
                                    <w:right w:val="nil"/>
                                  </w:tcBorders>
                                  <w:noWrap/>
                                  <w:hideMark/>
                                </w:tcPr>
                                <w:p w14:paraId="1D73E60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Operating Activities</w:t>
                                  </w:r>
                                </w:p>
                              </w:tc>
                              <w:tc>
                                <w:tcPr>
                                  <w:tcW w:w="534" w:type="pct"/>
                                  <w:tcBorders>
                                    <w:top w:val="nil"/>
                                    <w:left w:val="nil"/>
                                    <w:bottom w:val="nil"/>
                                    <w:right w:val="nil"/>
                                  </w:tcBorders>
                                  <w:hideMark/>
                                </w:tcPr>
                                <w:p w14:paraId="024C571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4" w:type="pct"/>
                                  <w:tcBorders>
                                    <w:top w:val="nil"/>
                                    <w:left w:val="nil"/>
                                    <w:bottom w:val="nil"/>
                                    <w:right w:val="nil"/>
                                  </w:tcBorders>
                                  <w:hideMark/>
                                </w:tcPr>
                                <w:p w14:paraId="45B5B7D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45" w:type="pct"/>
                                  <w:tcBorders>
                                    <w:top w:val="nil"/>
                                    <w:left w:val="nil"/>
                                    <w:bottom w:val="nil"/>
                                    <w:right w:val="nil"/>
                                  </w:tcBorders>
                                  <w:hideMark/>
                                </w:tcPr>
                                <w:p w14:paraId="675A8C9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7CFA93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149C47B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4A7877B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4DBE579A" w14:textId="77777777" w:rsidTr="00BA0542">
                              <w:trPr>
                                <w:trHeight w:val="204"/>
                              </w:trPr>
                              <w:tc>
                                <w:tcPr>
                                  <w:tcW w:w="1786" w:type="pct"/>
                                  <w:tcBorders>
                                    <w:top w:val="nil"/>
                                    <w:left w:val="nil"/>
                                    <w:bottom w:val="nil"/>
                                    <w:right w:val="nil"/>
                                  </w:tcBorders>
                                  <w:noWrap/>
                                  <w:hideMark/>
                                </w:tcPr>
                                <w:p w14:paraId="531120C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Acc. Receivable</w:t>
                                  </w:r>
                                </w:p>
                              </w:tc>
                              <w:tc>
                                <w:tcPr>
                                  <w:tcW w:w="534" w:type="pct"/>
                                  <w:tcBorders>
                                    <w:top w:val="nil"/>
                                    <w:left w:val="nil"/>
                                    <w:bottom w:val="nil"/>
                                    <w:right w:val="nil"/>
                                  </w:tcBorders>
                                  <w:hideMark/>
                                </w:tcPr>
                                <w:p w14:paraId="5323E76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23707A1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2D077B0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3076C6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ED6490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1DBBEE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530A0FF8" w14:textId="77777777" w:rsidTr="00BA0542">
                              <w:trPr>
                                <w:trHeight w:val="204"/>
                              </w:trPr>
                              <w:tc>
                                <w:tcPr>
                                  <w:tcW w:w="1786" w:type="pct"/>
                                  <w:tcBorders>
                                    <w:top w:val="nil"/>
                                    <w:left w:val="nil"/>
                                    <w:bottom w:val="nil"/>
                                    <w:right w:val="nil"/>
                                  </w:tcBorders>
                                  <w:noWrap/>
                                  <w:hideMark/>
                                </w:tcPr>
                                <w:p w14:paraId="1A3382DE"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Inventories</w:t>
                                  </w:r>
                                </w:p>
                              </w:tc>
                              <w:tc>
                                <w:tcPr>
                                  <w:tcW w:w="534" w:type="pct"/>
                                  <w:tcBorders>
                                    <w:top w:val="nil"/>
                                    <w:left w:val="nil"/>
                                    <w:bottom w:val="nil"/>
                                    <w:right w:val="nil"/>
                                  </w:tcBorders>
                                  <w:hideMark/>
                                </w:tcPr>
                                <w:p w14:paraId="453042E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783AA5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412A2F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A6D63A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c>
                                <w:tcPr>
                                  <w:tcW w:w="534" w:type="pct"/>
                                  <w:tcBorders>
                                    <w:top w:val="nil"/>
                                    <w:left w:val="nil"/>
                                    <w:bottom w:val="nil"/>
                                    <w:right w:val="nil"/>
                                  </w:tcBorders>
                                  <w:hideMark/>
                                </w:tcPr>
                                <w:p w14:paraId="21948D7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5B0467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044772F7" w14:textId="77777777" w:rsidTr="00BA0542">
                              <w:trPr>
                                <w:trHeight w:val="204"/>
                              </w:trPr>
                              <w:tc>
                                <w:tcPr>
                                  <w:tcW w:w="1786" w:type="pct"/>
                                  <w:tcBorders>
                                    <w:top w:val="nil"/>
                                    <w:left w:val="nil"/>
                                    <w:bottom w:val="nil"/>
                                    <w:right w:val="nil"/>
                                  </w:tcBorders>
                                  <w:noWrap/>
                                  <w:hideMark/>
                                </w:tcPr>
                                <w:p w14:paraId="441378CE"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Acc. Payable</w:t>
                                  </w:r>
                                </w:p>
                              </w:tc>
                              <w:tc>
                                <w:tcPr>
                                  <w:tcW w:w="534" w:type="pct"/>
                                  <w:tcBorders>
                                    <w:top w:val="nil"/>
                                    <w:left w:val="nil"/>
                                    <w:bottom w:val="nil"/>
                                    <w:right w:val="nil"/>
                                  </w:tcBorders>
                                  <w:hideMark/>
                                </w:tcPr>
                                <w:p w14:paraId="3A0E5D4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1.0 </w:t>
                                  </w:r>
                                </w:p>
                              </w:tc>
                              <w:tc>
                                <w:tcPr>
                                  <w:tcW w:w="534" w:type="pct"/>
                                  <w:tcBorders>
                                    <w:top w:val="nil"/>
                                    <w:left w:val="nil"/>
                                    <w:bottom w:val="nil"/>
                                    <w:right w:val="nil"/>
                                  </w:tcBorders>
                                  <w:hideMark/>
                                </w:tcPr>
                                <w:p w14:paraId="541CB8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6CEA1B5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C2799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1.1 </w:t>
                                  </w:r>
                                </w:p>
                              </w:tc>
                              <w:tc>
                                <w:tcPr>
                                  <w:tcW w:w="534" w:type="pct"/>
                                  <w:tcBorders>
                                    <w:top w:val="nil"/>
                                    <w:left w:val="nil"/>
                                    <w:bottom w:val="nil"/>
                                    <w:right w:val="nil"/>
                                  </w:tcBorders>
                                  <w:hideMark/>
                                </w:tcPr>
                                <w:p w14:paraId="46271CE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c>
                                <w:tcPr>
                                  <w:tcW w:w="533" w:type="pct"/>
                                  <w:tcBorders>
                                    <w:top w:val="nil"/>
                                    <w:left w:val="nil"/>
                                    <w:bottom w:val="nil"/>
                                    <w:right w:val="nil"/>
                                  </w:tcBorders>
                                  <w:hideMark/>
                                </w:tcPr>
                                <w:p w14:paraId="658D998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r>
                            <w:tr w:rsidR="00BA0542" w:rsidRPr="00BA0542" w14:paraId="42075D37" w14:textId="77777777" w:rsidTr="00BA0542">
                              <w:trPr>
                                <w:trHeight w:val="204"/>
                              </w:trPr>
                              <w:tc>
                                <w:tcPr>
                                  <w:tcW w:w="1786" w:type="pct"/>
                                  <w:tcBorders>
                                    <w:top w:val="nil"/>
                                    <w:left w:val="nil"/>
                                    <w:bottom w:val="nil"/>
                                    <w:right w:val="nil"/>
                                  </w:tcBorders>
                                  <w:noWrap/>
                                  <w:hideMark/>
                                </w:tcPr>
                                <w:p w14:paraId="4412139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Other Net Operating Assets</w:t>
                                  </w:r>
                                </w:p>
                              </w:tc>
                              <w:tc>
                                <w:tcPr>
                                  <w:tcW w:w="534" w:type="pct"/>
                                  <w:tcBorders>
                                    <w:top w:val="nil"/>
                                    <w:left w:val="nil"/>
                                    <w:bottom w:val="nil"/>
                                    <w:right w:val="nil"/>
                                  </w:tcBorders>
                                  <w:hideMark/>
                                </w:tcPr>
                                <w:p w14:paraId="0485977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4" w:type="pct"/>
                                  <w:tcBorders>
                                    <w:top w:val="nil"/>
                                    <w:left w:val="nil"/>
                                    <w:bottom w:val="nil"/>
                                    <w:right w:val="nil"/>
                                  </w:tcBorders>
                                  <w:hideMark/>
                                </w:tcPr>
                                <w:p w14:paraId="1410786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45" w:type="pct"/>
                                  <w:tcBorders>
                                    <w:top w:val="nil"/>
                                    <w:left w:val="nil"/>
                                    <w:bottom w:val="nil"/>
                                    <w:right w:val="nil"/>
                                  </w:tcBorders>
                                  <w:hideMark/>
                                </w:tcPr>
                                <w:p w14:paraId="56E744B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0144A0D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40DA0E1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3" w:type="pct"/>
                                  <w:tcBorders>
                                    <w:top w:val="nil"/>
                                    <w:left w:val="nil"/>
                                    <w:bottom w:val="nil"/>
                                    <w:right w:val="nil"/>
                                  </w:tcBorders>
                                  <w:hideMark/>
                                </w:tcPr>
                                <w:p w14:paraId="085BBA5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4DE99D3D" w14:textId="77777777" w:rsidTr="00BA0542">
                              <w:trPr>
                                <w:trHeight w:val="204"/>
                              </w:trPr>
                              <w:tc>
                                <w:tcPr>
                                  <w:tcW w:w="1786" w:type="pct"/>
                                  <w:tcBorders>
                                    <w:top w:val="nil"/>
                                    <w:left w:val="nil"/>
                                    <w:bottom w:val="nil"/>
                                    <w:right w:val="nil"/>
                                  </w:tcBorders>
                                  <w:noWrap/>
                                  <w:hideMark/>
                                </w:tcPr>
                                <w:p w14:paraId="2F8FCBC4"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Ops.</w:t>
                                  </w:r>
                                </w:p>
                              </w:tc>
                              <w:tc>
                                <w:tcPr>
                                  <w:tcW w:w="534" w:type="pct"/>
                                  <w:tcBorders>
                                    <w:top w:val="single" w:sz="4" w:space="0" w:color="000000"/>
                                    <w:left w:val="nil"/>
                                    <w:bottom w:val="nil"/>
                                    <w:right w:val="nil"/>
                                  </w:tcBorders>
                                  <w:hideMark/>
                                </w:tcPr>
                                <w:p w14:paraId="3A88EE4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3.6 </w:t>
                                  </w:r>
                                </w:p>
                              </w:tc>
                              <w:tc>
                                <w:tcPr>
                                  <w:tcW w:w="534" w:type="pct"/>
                                  <w:tcBorders>
                                    <w:top w:val="single" w:sz="4" w:space="0" w:color="000000"/>
                                    <w:left w:val="nil"/>
                                    <w:bottom w:val="nil"/>
                                    <w:right w:val="nil"/>
                                  </w:tcBorders>
                                  <w:hideMark/>
                                </w:tcPr>
                                <w:p w14:paraId="322AE07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4.2 </w:t>
                                  </w:r>
                                </w:p>
                              </w:tc>
                              <w:tc>
                                <w:tcPr>
                                  <w:tcW w:w="545" w:type="pct"/>
                                  <w:tcBorders>
                                    <w:top w:val="single" w:sz="4" w:space="0" w:color="000000"/>
                                    <w:left w:val="nil"/>
                                    <w:bottom w:val="nil"/>
                                    <w:right w:val="nil"/>
                                  </w:tcBorders>
                                  <w:hideMark/>
                                </w:tcPr>
                                <w:p w14:paraId="31F2A6B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4.2 </w:t>
                                  </w:r>
                                </w:p>
                              </w:tc>
                              <w:tc>
                                <w:tcPr>
                                  <w:tcW w:w="534" w:type="pct"/>
                                  <w:tcBorders>
                                    <w:top w:val="single" w:sz="4" w:space="0" w:color="000000"/>
                                    <w:left w:val="nil"/>
                                    <w:bottom w:val="nil"/>
                                    <w:right w:val="nil"/>
                                  </w:tcBorders>
                                  <w:hideMark/>
                                </w:tcPr>
                                <w:p w14:paraId="44F2F175"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4.5 </w:t>
                                  </w:r>
                                </w:p>
                              </w:tc>
                              <w:tc>
                                <w:tcPr>
                                  <w:tcW w:w="534" w:type="pct"/>
                                  <w:tcBorders>
                                    <w:top w:val="single" w:sz="4" w:space="0" w:color="000000"/>
                                    <w:left w:val="nil"/>
                                    <w:bottom w:val="nil"/>
                                    <w:right w:val="nil"/>
                                  </w:tcBorders>
                                  <w:hideMark/>
                                </w:tcPr>
                                <w:p w14:paraId="3725DEB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5.1 </w:t>
                                  </w:r>
                                </w:p>
                              </w:tc>
                              <w:tc>
                                <w:tcPr>
                                  <w:tcW w:w="533" w:type="pct"/>
                                  <w:tcBorders>
                                    <w:top w:val="single" w:sz="4" w:space="0" w:color="000000"/>
                                    <w:left w:val="nil"/>
                                    <w:bottom w:val="nil"/>
                                    <w:right w:val="nil"/>
                                  </w:tcBorders>
                                  <w:hideMark/>
                                </w:tcPr>
                                <w:p w14:paraId="42DDB15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4.3 </w:t>
                                  </w:r>
                                </w:p>
                              </w:tc>
                            </w:tr>
                            <w:tr w:rsidR="00BA0542" w:rsidRPr="00BA0542" w14:paraId="407D5CC3" w14:textId="77777777" w:rsidTr="00BA0542">
                              <w:trPr>
                                <w:trHeight w:val="204"/>
                              </w:trPr>
                              <w:tc>
                                <w:tcPr>
                                  <w:tcW w:w="1786" w:type="pct"/>
                                  <w:tcBorders>
                                    <w:top w:val="nil"/>
                                    <w:left w:val="nil"/>
                                    <w:bottom w:val="nil"/>
                                    <w:right w:val="nil"/>
                                  </w:tcBorders>
                                  <w:noWrap/>
                                  <w:hideMark/>
                                </w:tcPr>
                                <w:p w14:paraId="16421B4F"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Capital Expenditure</w:t>
                                  </w:r>
                                </w:p>
                              </w:tc>
                              <w:tc>
                                <w:tcPr>
                                  <w:tcW w:w="534" w:type="pct"/>
                                  <w:tcBorders>
                                    <w:top w:val="nil"/>
                                    <w:left w:val="nil"/>
                                    <w:bottom w:val="nil"/>
                                    <w:right w:val="nil"/>
                                  </w:tcBorders>
                                  <w:hideMark/>
                                </w:tcPr>
                                <w:p w14:paraId="011E59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(1.9)  </w:t>
                                  </w:r>
                                </w:p>
                              </w:tc>
                              <w:tc>
                                <w:tcPr>
                                  <w:tcW w:w="534" w:type="pct"/>
                                  <w:tcBorders>
                                    <w:top w:val="nil"/>
                                    <w:left w:val="nil"/>
                                    <w:bottom w:val="nil"/>
                                    <w:right w:val="nil"/>
                                  </w:tcBorders>
                                  <w:hideMark/>
                                </w:tcPr>
                                <w:p w14:paraId="0461243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c>
                                <w:tcPr>
                                  <w:tcW w:w="545" w:type="pct"/>
                                  <w:tcBorders>
                                    <w:top w:val="nil"/>
                                    <w:left w:val="nil"/>
                                    <w:bottom w:val="nil"/>
                                    <w:right w:val="nil"/>
                                  </w:tcBorders>
                                  <w:hideMark/>
                                </w:tcPr>
                                <w:p w14:paraId="1DB8458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c>
                                <w:tcPr>
                                  <w:tcW w:w="534" w:type="pct"/>
                                  <w:tcBorders>
                                    <w:top w:val="nil"/>
                                    <w:left w:val="nil"/>
                                    <w:bottom w:val="nil"/>
                                    <w:right w:val="nil"/>
                                  </w:tcBorders>
                                  <w:hideMark/>
                                </w:tcPr>
                                <w:p w14:paraId="41510E3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4" w:type="pct"/>
                                  <w:tcBorders>
                                    <w:top w:val="nil"/>
                                    <w:left w:val="nil"/>
                                    <w:bottom w:val="nil"/>
                                    <w:right w:val="nil"/>
                                  </w:tcBorders>
                                  <w:hideMark/>
                                </w:tcPr>
                                <w:p w14:paraId="5D9A51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3" w:type="pct"/>
                                  <w:tcBorders>
                                    <w:top w:val="nil"/>
                                    <w:left w:val="nil"/>
                                    <w:bottom w:val="nil"/>
                                    <w:right w:val="nil"/>
                                  </w:tcBorders>
                                  <w:hideMark/>
                                </w:tcPr>
                                <w:p w14:paraId="0440AEC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r>
                            <w:tr w:rsidR="00BA0542" w:rsidRPr="00BA0542" w14:paraId="0D38EB9F" w14:textId="77777777" w:rsidTr="00BA0542">
                              <w:trPr>
                                <w:trHeight w:val="204"/>
                              </w:trPr>
                              <w:tc>
                                <w:tcPr>
                                  <w:tcW w:w="1786" w:type="pct"/>
                                  <w:tcBorders>
                                    <w:top w:val="nil"/>
                                    <w:left w:val="nil"/>
                                    <w:bottom w:val="nil"/>
                                    <w:right w:val="nil"/>
                                  </w:tcBorders>
                                  <w:noWrap/>
                                  <w:hideMark/>
                                </w:tcPr>
                                <w:p w14:paraId="245C6A3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Sale of Property, Plant, and Equipment</w:t>
                                  </w:r>
                                </w:p>
                              </w:tc>
                              <w:tc>
                                <w:tcPr>
                                  <w:tcW w:w="534" w:type="pct"/>
                                  <w:tcBorders>
                                    <w:top w:val="nil"/>
                                    <w:left w:val="nil"/>
                                    <w:bottom w:val="nil"/>
                                    <w:right w:val="nil"/>
                                  </w:tcBorders>
                                  <w:hideMark/>
                                </w:tcPr>
                                <w:p w14:paraId="0863EE3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7CB58D5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45" w:type="pct"/>
                                  <w:tcBorders>
                                    <w:top w:val="nil"/>
                                    <w:left w:val="nil"/>
                                    <w:bottom w:val="nil"/>
                                    <w:right w:val="nil"/>
                                  </w:tcBorders>
                                  <w:hideMark/>
                                </w:tcPr>
                                <w:p w14:paraId="5BFC1DA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720A111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73E8A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3" w:type="pct"/>
                                  <w:tcBorders>
                                    <w:top w:val="nil"/>
                                    <w:left w:val="nil"/>
                                    <w:bottom w:val="nil"/>
                                    <w:right w:val="nil"/>
                                  </w:tcBorders>
                                  <w:hideMark/>
                                </w:tcPr>
                                <w:p w14:paraId="0554471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r>
                            <w:tr w:rsidR="00BA0542" w:rsidRPr="00BA0542" w14:paraId="7D0A5FC9" w14:textId="77777777" w:rsidTr="00BA0542">
                              <w:trPr>
                                <w:trHeight w:val="204"/>
                              </w:trPr>
                              <w:tc>
                                <w:tcPr>
                                  <w:tcW w:w="1786" w:type="pct"/>
                                  <w:tcBorders>
                                    <w:top w:val="nil"/>
                                    <w:left w:val="nil"/>
                                    <w:bottom w:val="nil"/>
                                    <w:right w:val="nil"/>
                                  </w:tcBorders>
                                  <w:noWrap/>
                                  <w:hideMark/>
                                </w:tcPr>
                                <w:p w14:paraId="5BB3DC3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Cash Acquisitions</w:t>
                                  </w:r>
                                </w:p>
                              </w:tc>
                              <w:tc>
                                <w:tcPr>
                                  <w:tcW w:w="534" w:type="pct"/>
                                  <w:tcBorders>
                                    <w:top w:val="nil"/>
                                    <w:left w:val="nil"/>
                                    <w:bottom w:val="nil"/>
                                    <w:right w:val="nil"/>
                                  </w:tcBorders>
                                  <w:hideMark/>
                                </w:tcPr>
                                <w:p w14:paraId="1E13552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6B6EE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45" w:type="pct"/>
                                  <w:tcBorders>
                                    <w:top w:val="nil"/>
                                    <w:left w:val="nil"/>
                                    <w:bottom w:val="nil"/>
                                    <w:right w:val="nil"/>
                                  </w:tcBorders>
                                  <w:hideMark/>
                                </w:tcPr>
                                <w:p w14:paraId="12E567A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05C5160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(1.0)  </w:t>
                                  </w:r>
                                </w:p>
                              </w:tc>
                              <w:tc>
                                <w:tcPr>
                                  <w:tcW w:w="534" w:type="pct"/>
                                  <w:tcBorders>
                                    <w:top w:val="nil"/>
                                    <w:left w:val="nil"/>
                                    <w:bottom w:val="nil"/>
                                    <w:right w:val="nil"/>
                                  </w:tcBorders>
                                  <w:hideMark/>
                                </w:tcPr>
                                <w:p w14:paraId="74EBE20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184A7F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(1.4)  </w:t>
                                  </w:r>
                                </w:p>
                              </w:tc>
                            </w:tr>
                            <w:tr w:rsidR="00BA0542" w:rsidRPr="00BA0542" w14:paraId="546E48ED" w14:textId="77777777" w:rsidTr="00BA0542">
                              <w:trPr>
                                <w:trHeight w:val="204"/>
                              </w:trPr>
                              <w:tc>
                                <w:tcPr>
                                  <w:tcW w:w="1786" w:type="pct"/>
                                  <w:tcBorders>
                                    <w:top w:val="nil"/>
                                    <w:left w:val="nil"/>
                                    <w:bottom w:val="nil"/>
                                    <w:right w:val="nil"/>
                                  </w:tcBorders>
                                  <w:noWrap/>
                                  <w:hideMark/>
                                </w:tcPr>
                                <w:p w14:paraId="12099FC1"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Divestitures</w:t>
                                  </w:r>
                                </w:p>
                              </w:tc>
                              <w:tc>
                                <w:tcPr>
                                  <w:tcW w:w="534" w:type="pct"/>
                                  <w:tcBorders>
                                    <w:top w:val="nil"/>
                                    <w:left w:val="nil"/>
                                    <w:bottom w:val="nil"/>
                                    <w:right w:val="nil"/>
                                  </w:tcBorders>
                                  <w:hideMark/>
                                </w:tcPr>
                                <w:p w14:paraId="16425A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AA219F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45" w:type="pct"/>
                                  <w:tcBorders>
                                    <w:top w:val="nil"/>
                                    <w:left w:val="nil"/>
                                    <w:bottom w:val="nil"/>
                                    <w:right w:val="nil"/>
                                  </w:tcBorders>
                                  <w:hideMark/>
                                </w:tcPr>
                                <w:p w14:paraId="07CB6BC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21F38B7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73A0E9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1.2 </w:t>
                                  </w:r>
                                </w:p>
                              </w:tc>
                              <w:tc>
                                <w:tcPr>
                                  <w:tcW w:w="533" w:type="pct"/>
                                  <w:tcBorders>
                                    <w:top w:val="nil"/>
                                    <w:left w:val="nil"/>
                                    <w:bottom w:val="nil"/>
                                    <w:right w:val="nil"/>
                                  </w:tcBorders>
                                  <w:hideMark/>
                                </w:tcPr>
                                <w:p w14:paraId="294EF08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05B01F84" w14:textId="77777777" w:rsidTr="00BA0542">
                              <w:trPr>
                                <w:trHeight w:val="204"/>
                              </w:trPr>
                              <w:tc>
                                <w:tcPr>
                                  <w:tcW w:w="1786" w:type="pct"/>
                                  <w:tcBorders>
                                    <w:top w:val="nil"/>
                                    <w:left w:val="nil"/>
                                    <w:bottom w:val="nil"/>
                                    <w:right w:val="nil"/>
                                  </w:tcBorders>
                                  <w:noWrap/>
                                  <w:hideMark/>
                                </w:tcPr>
                                <w:p w14:paraId="25F09CC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Invest. in Marketable &amp; Equity Securt.</w:t>
                                  </w:r>
                                </w:p>
                              </w:tc>
                              <w:tc>
                                <w:tcPr>
                                  <w:tcW w:w="534" w:type="pct"/>
                                  <w:tcBorders>
                                    <w:top w:val="nil"/>
                                    <w:left w:val="nil"/>
                                    <w:bottom w:val="nil"/>
                                    <w:right w:val="nil"/>
                                  </w:tcBorders>
                                  <w:hideMark/>
                                </w:tcPr>
                                <w:p w14:paraId="1ABBD2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32840EF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0F3EE72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7B35CF2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5A59EAA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468C0BD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7E366E77" w14:textId="77777777" w:rsidTr="00BA0542">
                              <w:trPr>
                                <w:trHeight w:val="204"/>
                              </w:trPr>
                              <w:tc>
                                <w:tcPr>
                                  <w:tcW w:w="1786" w:type="pct"/>
                                  <w:tcBorders>
                                    <w:top w:val="nil"/>
                                    <w:left w:val="nil"/>
                                    <w:bottom w:val="nil"/>
                                    <w:right w:val="nil"/>
                                  </w:tcBorders>
                                  <w:noWrap/>
                                  <w:hideMark/>
                                </w:tcPr>
                                <w:p w14:paraId="50B5B29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Investing Activities</w:t>
                                  </w:r>
                                </w:p>
                              </w:tc>
                              <w:tc>
                                <w:tcPr>
                                  <w:tcW w:w="534" w:type="pct"/>
                                  <w:tcBorders>
                                    <w:top w:val="nil"/>
                                    <w:left w:val="nil"/>
                                    <w:bottom w:val="nil"/>
                                    <w:right w:val="nil"/>
                                  </w:tcBorders>
                                  <w:hideMark/>
                                </w:tcPr>
                                <w:p w14:paraId="6591281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0CBAEC8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45" w:type="pct"/>
                                  <w:tcBorders>
                                    <w:top w:val="nil"/>
                                    <w:left w:val="nil"/>
                                    <w:bottom w:val="nil"/>
                                    <w:right w:val="nil"/>
                                  </w:tcBorders>
                                  <w:hideMark/>
                                </w:tcPr>
                                <w:p w14:paraId="7A1063B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1CE1C3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B1CBDB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3" w:type="pct"/>
                                  <w:tcBorders>
                                    <w:top w:val="nil"/>
                                    <w:left w:val="nil"/>
                                    <w:bottom w:val="nil"/>
                                    <w:right w:val="nil"/>
                                  </w:tcBorders>
                                  <w:hideMark/>
                                </w:tcPr>
                                <w:p w14:paraId="58A6487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22D87929" w14:textId="77777777" w:rsidTr="00BA0542">
                              <w:trPr>
                                <w:trHeight w:val="204"/>
                              </w:trPr>
                              <w:tc>
                                <w:tcPr>
                                  <w:tcW w:w="1786" w:type="pct"/>
                                  <w:tcBorders>
                                    <w:top w:val="nil"/>
                                    <w:left w:val="nil"/>
                                    <w:bottom w:val="nil"/>
                                    <w:right w:val="nil"/>
                                  </w:tcBorders>
                                  <w:noWrap/>
                                  <w:hideMark/>
                                </w:tcPr>
                                <w:p w14:paraId="0938D3C1"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Investing</w:t>
                                  </w:r>
                                </w:p>
                              </w:tc>
                              <w:tc>
                                <w:tcPr>
                                  <w:tcW w:w="534" w:type="pct"/>
                                  <w:tcBorders>
                                    <w:top w:val="single" w:sz="4" w:space="0" w:color="000000"/>
                                    <w:left w:val="nil"/>
                                    <w:bottom w:val="nil"/>
                                    <w:right w:val="nil"/>
                                  </w:tcBorders>
                                  <w:hideMark/>
                                </w:tcPr>
                                <w:p w14:paraId="642044C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(1.1)  </w:t>
                                  </w:r>
                                </w:p>
                              </w:tc>
                              <w:tc>
                                <w:tcPr>
                                  <w:tcW w:w="534" w:type="pct"/>
                                  <w:tcBorders>
                                    <w:top w:val="single" w:sz="4" w:space="0" w:color="000000"/>
                                    <w:left w:val="nil"/>
                                    <w:bottom w:val="nil"/>
                                    <w:right w:val="nil"/>
                                  </w:tcBorders>
                                  <w:hideMark/>
                                </w:tcPr>
                                <w:p w14:paraId="44FBE3A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45" w:type="pct"/>
                                  <w:tcBorders>
                                    <w:top w:val="single" w:sz="4" w:space="0" w:color="000000"/>
                                    <w:left w:val="nil"/>
                                    <w:bottom w:val="nil"/>
                                    <w:right w:val="nil"/>
                                  </w:tcBorders>
                                  <w:hideMark/>
                                </w:tcPr>
                                <w:p w14:paraId="0E58870F"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(1.5)  </w:t>
                                  </w:r>
                                </w:p>
                              </w:tc>
                              <w:tc>
                                <w:tcPr>
                                  <w:tcW w:w="534" w:type="pct"/>
                                  <w:tcBorders>
                                    <w:top w:val="single" w:sz="4" w:space="0" w:color="000000"/>
                                    <w:left w:val="nil"/>
                                    <w:bottom w:val="nil"/>
                                    <w:right w:val="nil"/>
                                  </w:tcBorders>
                                  <w:hideMark/>
                                </w:tcPr>
                                <w:p w14:paraId="75420FA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34" w:type="pct"/>
                                  <w:tcBorders>
                                    <w:top w:val="single" w:sz="4" w:space="0" w:color="000000"/>
                                    <w:left w:val="nil"/>
                                    <w:bottom w:val="nil"/>
                                    <w:right w:val="nil"/>
                                  </w:tcBorders>
                                  <w:hideMark/>
                                </w:tcPr>
                                <w:p w14:paraId="02608020"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(0.8)  </w:t>
                                  </w:r>
                                </w:p>
                              </w:tc>
                              <w:tc>
                                <w:tcPr>
                                  <w:tcW w:w="533" w:type="pct"/>
                                  <w:tcBorders>
                                    <w:top w:val="single" w:sz="4" w:space="0" w:color="000000"/>
                                    <w:left w:val="nil"/>
                                    <w:bottom w:val="nil"/>
                                    <w:right w:val="nil"/>
                                  </w:tcBorders>
                                  <w:hideMark/>
                                </w:tcPr>
                                <w:p w14:paraId="4B1FED1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r>
                            <w:tr w:rsidR="00BA0542" w:rsidRPr="00BA0542" w14:paraId="559001AA" w14:textId="77777777" w:rsidTr="00BA0542">
                              <w:trPr>
                                <w:trHeight w:val="204"/>
                              </w:trPr>
                              <w:tc>
                                <w:tcPr>
                                  <w:tcW w:w="1786" w:type="pct"/>
                                  <w:tcBorders>
                                    <w:top w:val="nil"/>
                                    <w:left w:val="nil"/>
                                    <w:bottom w:val="nil"/>
                                    <w:right w:val="nil"/>
                                  </w:tcBorders>
                                  <w:noWrap/>
                                  <w:hideMark/>
                                </w:tcPr>
                                <w:p w14:paraId="65ACDB8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Long-Term Debt Issued</w:t>
                                  </w:r>
                                </w:p>
                              </w:tc>
                              <w:tc>
                                <w:tcPr>
                                  <w:tcW w:w="534" w:type="pct"/>
                                  <w:tcBorders>
                                    <w:top w:val="nil"/>
                                    <w:left w:val="nil"/>
                                    <w:bottom w:val="nil"/>
                                    <w:right w:val="nil"/>
                                  </w:tcBorders>
                                  <w:hideMark/>
                                </w:tcPr>
                                <w:p w14:paraId="336ECEB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1.2 </w:t>
                                  </w:r>
                                </w:p>
                              </w:tc>
                              <w:tc>
                                <w:tcPr>
                                  <w:tcW w:w="534" w:type="pct"/>
                                  <w:tcBorders>
                                    <w:top w:val="nil"/>
                                    <w:left w:val="nil"/>
                                    <w:bottom w:val="nil"/>
                                    <w:right w:val="nil"/>
                                  </w:tcBorders>
                                  <w:hideMark/>
                                </w:tcPr>
                                <w:p w14:paraId="3CFE1C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1.5 </w:t>
                                  </w:r>
                                </w:p>
                              </w:tc>
                              <w:tc>
                                <w:tcPr>
                                  <w:tcW w:w="545" w:type="pct"/>
                                  <w:tcBorders>
                                    <w:top w:val="nil"/>
                                    <w:left w:val="nil"/>
                                    <w:bottom w:val="nil"/>
                                    <w:right w:val="nil"/>
                                  </w:tcBorders>
                                  <w:hideMark/>
                                </w:tcPr>
                                <w:p w14:paraId="7BA3ACC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512832F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3.6 </w:t>
                                  </w:r>
                                </w:p>
                              </w:tc>
                              <w:tc>
                                <w:tcPr>
                                  <w:tcW w:w="534" w:type="pct"/>
                                  <w:tcBorders>
                                    <w:top w:val="nil"/>
                                    <w:left w:val="nil"/>
                                    <w:bottom w:val="nil"/>
                                    <w:right w:val="nil"/>
                                  </w:tcBorders>
                                  <w:hideMark/>
                                </w:tcPr>
                                <w:p w14:paraId="0E393F4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1.6 </w:t>
                                  </w:r>
                                </w:p>
                              </w:tc>
                              <w:tc>
                                <w:tcPr>
                                  <w:tcW w:w="533" w:type="pct"/>
                                  <w:tcBorders>
                                    <w:top w:val="nil"/>
                                    <w:left w:val="nil"/>
                                    <w:bottom w:val="nil"/>
                                    <w:right w:val="nil"/>
                                  </w:tcBorders>
                                  <w:hideMark/>
                                </w:tcPr>
                                <w:p w14:paraId="453D23B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2.8 </w:t>
                                  </w:r>
                                </w:p>
                              </w:tc>
                            </w:tr>
                            <w:tr w:rsidR="00BA0542" w:rsidRPr="00BA0542" w14:paraId="3FE45545" w14:textId="77777777" w:rsidTr="00BA0542">
                              <w:trPr>
                                <w:trHeight w:val="204"/>
                              </w:trPr>
                              <w:tc>
                                <w:tcPr>
                                  <w:tcW w:w="1786" w:type="pct"/>
                                  <w:tcBorders>
                                    <w:top w:val="nil"/>
                                    <w:left w:val="nil"/>
                                    <w:bottom w:val="nil"/>
                                    <w:right w:val="nil"/>
                                  </w:tcBorders>
                                  <w:noWrap/>
                                  <w:hideMark/>
                                </w:tcPr>
                                <w:p w14:paraId="109CBCF7"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Debt Issued</w:t>
                                  </w:r>
                                </w:p>
                              </w:tc>
                              <w:tc>
                                <w:tcPr>
                                  <w:tcW w:w="534" w:type="pct"/>
                                  <w:tcBorders>
                                    <w:top w:val="single" w:sz="4" w:space="0" w:color="000000"/>
                                    <w:left w:val="nil"/>
                                    <w:bottom w:val="nil"/>
                                    <w:right w:val="nil"/>
                                  </w:tcBorders>
                                  <w:hideMark/>
                                </w:tcPr>
                                <w:p w14:paraId="6809F9E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1.2 </w:t>
                                  </w:r>
                                </w:p>
                              </w:tc>
                              <w:tc>
                                <w:tcPr>
                                  <w:tcW w:w="534" w:type="pct"/>
                                  <w:tcBorders>
                                    <w:top w:val="single" w:sz="4" w:space="0" w:color="000000"/>
                                    <w:left w:val="nil"/>
                                    <w:bottom w:val="nil"/>
                                    <w:right w:val="nil"/>
                                  </w:tcBorders>
                                  <w:hideMark/>
                                </w:tcPr>
                                <w:p w14:paraId="61C569F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1.5 </w:t>
                                  </w:r>
                                </w:p>
                              </w:tc>
                              <w:tc>
                                <w:tcPr>
                                  <w:tcW w:w="545" w:type="pct"/>
                                  <w:tcBorders>
                                    <w:top w:val="single" w:sz="4" w:space="0" w:color="000000"/>
                                    <w:left w:val="nil"/>
                                    <w:bottom w:val="nil"/>
                                    <w:right w:val="nil"/>
                                  </w:tcBorders>
                                  <w:hideMark/>
                                </w:tcPr>
                                <w:p w14:paraId="6D7EE80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0.3 </w:t>
                                  </w:r>
                                </w:p>
                              </w:tc>
                              <w:tc>
                                <w:tcPr>
                                  <w:tcW w:w="534" w:type="pct"/>
                                  <w:tcBorders>
                                    <w:top w:val="single" w:sz="4" w:space="0" w:color="000000"/>
                                    <w:left w:val="nil"/>
                                    <w:bottom w:val="nil"/>
                                    <w:right w:val="nil"/>
                                  </w:tcBorders>
                                  <w:hideMark/>
                                </w:tcPr>
                                <w:p w14:paraId="3898DA7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3.6 </w:t>
                                  </w:r>
                                </w:p>
                              </w:tc>
                              <w:tc>
                                <w:tcPr>
                                  <w:tcW w:w="534" w:type="pct"/>
                                  <w:tcBorders>
                                    <w:top w:val="single" w:sz="4" w:space="0" w:color="000000"/>
                                    <w:left w:val="nil"/>
                                    <w:bottom w:val="nil"/>
                                    <w:right w:val="nil"/>
                                  </w:tcBorders>
                                  <w:hideMark/>
                                </w:tcPr>
                                <w:p w14:paraId="5B02EE3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1.6 </w:t>
                                  </w:r>
                                </w:p>
                              </w:tc>
                              <w:tc>
                                <w:tcPr>
                                  <w:tcW w:w="533" w:type="pct"/>
                                  <w:tcBorders>
                                    <w:top w:val="single" w:sz="4" w:space="0" w:color="000000"/>
                                    <w:left w:val="nil"/>
                                    <w:bottom w:val="nil"/>
                                    <w:right w:val="nil"/>
                                  </w:tcBorders>
                                  <w:hideMark/>
                                </w:tcPr>
                                <w:p w14:paraId="1A7970A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2.8 </w:t>
                                  </w:r>
                                </w:p>
                              </w:tc>
                            </w:tr>
                            <w:tr w:rsidR="00BA0542" w:rsidRPr="00BA0542" w14:paraId="02358F49" w14:textId="77777777" w:rsidTr="00BA0542">
                              <w:trPr>
                                <w:trHeight w:val="204"/>
                              </w:trPr>
                              <w:tc>
                                <w:tcPr>
                                  <w:tcW w:w="1786" w:type="pct"/>
                                  <w:tcBorders>
                                    <w:top w:val="nil"/>
                                    <w:left w:val="nil"/>
                                    <w:bottom w:val="nil"/>
                                    <w:right w:val="nil"/>
                                  </w:tcBorders>
                                  <w:noWrap/>
                                  <w:hideMark/>
                                </w:tcPr>
                                <w:p w14:paraId="35A8094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Long-Term Debt Repaid</w:t>
                                  </w:r>
                                </w:p>
                              </w:tc>
                              <w:tc>
                                <w:tcPr>
                                  <w:tcW w:w="534" w:type="pct"/>
                                  <w:tcBorders>
                                    <w:top w:val="nil"/>
                                    <w:left w:val="nil"/>
                                    <w:bottom w:val="nil"/>
                                    <w:right w:val="nil"/>
                                  </w:tcBorders>
                                  <w:hideMark/>
                                </w:tcPr>
                                <w:p w14:paraId="0A7931D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(2.7)  </w:t>
                                  </w:r>
                                </w:p>
                              </w:tc>
                              <w:tc>
                                <w:tcPr>
                                  <w:tcW w:w="534" w:type="pct"/>
                                  <w:tcBorders>
                                    <w:top w:val="nil"/>
                                    <w:left w:val="nil"/>
                                    <w:bottom w:val="nil"/>
                                    <w:right w:val="nil"/>
                                  </w:tcBorders>
                                  <w:hideMark/>
                                </w:tcPr>
                                <w:p w14:paraId="6679529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(2.3)  </w:t>
                                  </w:r>
                                </w:p>
                              </w:tc>
                              <w:tc>
                                <w:tcPr>
                                  <w:tcW w:w="545" w:type="pct"/>
                                  <w:tcBorders>
                                    <w:top w:val="nil"/>
                                    <w:left w:val="nil"/>
                                    <w:bottom w:val="nil"/>
                                    <w:right w:val="nil"/>
                                  </w:tcBorders>
                                  <w:hideMark/>
                                </w:tcPr>
                                <w:p w14:paraId="5762CDD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4" w:type="pct"/>
                                  <w:tcBorders>
                                    <w:top w:val="nil"/>
                                    <w:left w:val="nil"/>
                                    <w:bottom w:val="nil"/>
                                    <w:right w:val="nil"/>
                                  </w:tcBorders>
                                  <w:hideMark/>
                                </w:tcPr>
                                <w:p w14:paraId="047E85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04DADA8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(2.9)  </w:t>
                                  </w:r>
                                </w:p>
                              </w:tc>
                              <w:tc>
                                <w:tcPr>
                                  <w:tcW w:w="533" w:type="pct"/>
                                  <w:tcBorders>
                                    <w:top w:val="nil"/>
                                    <w:left w:val="nil"/>
                                    <w:bottom w:val="nil"/>
                                    <w:right w:val="nil"/>
                                  </w:tcBorders>
                                  <w:hideMark/>
                                </w:tcPr>
                                <w:p w14:paraId="5AFEF62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(2.4)  </w:t>
                                  </w:r>
                                </w:p>
                              </w:tc>
                            </w:tr>
                            <w:tr w:rsidR="00BA0542" w:rsidRPr="00BA0542" w14:paraId="181370A9" w14:textId="77777777" w:rsidTr="00BA0542">
                              <w:trPr>
                                <w:trHeight w:val="204"/>
                              </w:trPr>
                              <w:tc>
                                <w:tcPr>
                                  <w:tcW w:w="1786" w:type="pct"/>
                                  <w:tcBorders>
                                    <w:top w:val="nil"/>
                                    <w:left w:val="nil"/>
                                    <w:bottom w:val="nil"/>
                                    <w:right w:val="nil"/>
                                  </w:tcBorders>
                                  <w:noWrap/>
                                  <w:hideMark/>
                                </w:tcPr>
                                <w:p w14:paraId="5BC68C94"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Debt Repaid</w:t>
                                  </w:r>
                                </w:p>
                              </w:tc>
                              <w:tc>
                                <w:tcPr>
                                  <w:tcW w:w="534" w:type="pct"/>
                                  <w:tcBorders>
                                    <w:top w:val="single" w:sz="4" w:space="0" w:color="000000"/>
                                    <w:left w:val="nil"/>
                                    <w:bottom w:val="nil"/>
                                    <w:right w:val="nil"/>
                                  </w:tcBorders>
                                  <w:hideMark/>
                                </w:tcPr>
                                <w:p w14:paraId="6B0BF84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(2.7)  </w:t>
                                  </w:r>
                                </w:p>
                              </w:tc>
                              <w:tc>
                                <w:tcPr>
                                  <w:tcW w:w="534" w:type="pct"/>
                                  <w:tcBorders>
                                    <w:top w:val="single" w:sz="4" w:space="0" w:color="000000"/>
                                    <w:left w:val="nil"/>
                                    <w:bottom w:val="nil"/>
                                    <w:right w:val="nil"/>
                                  </w:tcBorders>
                                  <w:hideMark/>
                                </w:tcPr>
                                <w:p w14:paraId="4540F64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45" w:type="pct"/>
                                  <w:tcBorders>
                                    <w:top w:val="single" w:sz="4" w:space="0" w:color="000000"/>
                                    <w:left w:val="nil"/>
                                    <w:bottom w:val="nil"/>
                                    <w:right w:val="nil"/>
                                  </w:tcBorders>
                                  <w:hideMark/>
                                </w:tcPr>
                                <w:p w14:paraId="683552C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(2.0)  </w:t>
                                  </w:r>
                                </w:p>
                              </w:tc>
                              <w:tc>
                                <w:tcPr>
                                  <w:tcW w:w="534" w:type="pct"/>
                                  <w:tcBorders>
                                    <w:top w:val="single" w:sz="4" w:space="0" w:color="000000"/>
                                    <w:left w:val="nil"/>
                                    <w:bottom w:val="nil"/>
                                    <w:right w:val="nil"/>
                                  </w:tcBorders>
                                  <w:hideMark/>
                                </w:tcPr>
                                <w:p w14:paraId="60B519E5"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(2.1)  </w:t>
                                  </w:r>
                                </w:p>
                              </w:tc>
                              <w:tc>
                                <w:tcPr>
                                  <w:tcW w:w="534" w:type="pct"/>
                                  <w:tcBorders>
                                    <w:top w:val="single" w:sz="4" w:space="0" w:color="000000"/>
                                    <w:left w:val="nil"/>
                                    <w:bottom w:val="nil"/>
                                    <w:right w:val="nil"/>
                                  </w:tcBorders>
                                  <w:hideMark/>
                                </w:tcPr>
                                <w:p w14:paraId="1EAF473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(2.9)  </w:t>
                                  </w:r>
                                </w:p>
                              </w:tc>
                              <w:tc>
                                <w:tcPr>
                                  <w:tcW w:w="533" w:type="pct"/>
                                  <w:tcBorders>
                                    <w:top w:val="single" w:sz="4" w:space="0" w:color="000000"/>
                                    <w:left w:val="nil"/>
                                    <w:bottom w:val="nil"/>
                                    <w:right w:val="nil"/>
                                  </w:tcBorders>
                                  <w:hideMark/>
                                </w:tcPr>
                                <w:p w14:paraId="454C382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r>
                            <w:tr w:rsidR="00BA0542" w:rsidRPr="00BA0542" w14:paraId="498F3572" w14:textId="77777777" w:rsidTr="00BA0542">
                              <w:trPr>
                                <w:trHeight w:val="204"/>
                              </w:trPr>
                              <w:tc>
                                <w:tcPr>
                                  <w:tcW w:w="1786" w:type="pct"/>
                                  <w:tcBorders>
                                    <w:top w:val="nil"/>
                                    <w:left w:val="nil"/>
                                    <w:bottom w:val="nil"/>
                                    <w:right w:val="nil"/>
                                  </w:tcBorders>
                                  <w:noWrap/>
                                  <w:hideMark/>
                                </w:tcPr>
                                <w:p w14:paraId="3CD5CF39"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Repurchase of Common Stock</w:t>
                                  </w:r>
                                </w:p>
                              </w:tc>
                              <w:tc>
                                <w:tcPr>
                                  <w:tcW w:w="534" w:type="pct"/>
                                  <w:tcBorders>
                                    <w:top w:val="nil"/>
                                    <w:left w:val="nil"/>
                                    <w:bottom w:val="nil"/>
                                    <w:right w:val="nil"/>
                                  </w:tcBorders>
                                  <w:hideMark/>
                                </w:tcPr>
                                <w:p w14:paraId="717B90A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2C69336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w:t>
                                  </w:r>
                                </w:p>
                              </w:tc>
                              <w:tc>
                                <w:tcPr>
                                  <w:tcW w:w="545" w:type="pct"/>
                                  <w:tcBorders>
                                    <w:top w:val="nil"/>
                                    <w:left w:val="nil"/>
                                    <w:bottom w:val="nil"/>
                                    <w:right w:val="nil"/>
                                  </w:tcBorders>
                                  <w:hideMark/>
                                </w:tcPr>
                                <w:p w14:paraId="5AE6D80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64F97E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5273C9D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3" w:type="pct"/>
                                  <w:tcBorders>
                                    <w:top w:val="nil"/>
                                    <w:left w:val="nil"/>
                                    <w:bottom w:val="nil"/>
                                    <w:right w:val="nil"/>
                                  </w:tcBorders>
                                  <w:hideMark/>
                                </w:tcPr>
                                <w:p w14:paraId="3F12A6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r>
                            <w:tr w:rsidR="00BA0542" w:rsidRPr="00BA0542" w14:paraId="6BEFEC32" w14:textId="77777777" w:rsidTr="00BA0542">
                              <w:trPr>
                                <w:trHeight w:val="204"/>
                              </w:trPr>
                              <w:tc>
                                <w:tcPr>
                                  <w:tcW w:w="1786" w:type="pct"/>
                                  <w:tcBorders>
                                    <w:top w:val="nil"/>
                                    <w:left w:val="nil"/>
                                    <w:bottom w:val="nil"/>
                                    <w:right w:val="nil"/>
                                  </w:tcBorders>
                                  <w:noWrap/>
                                  <w:hideMark/>
                                </w:tcPr>
                                <w:p w14:paraId="160230C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Common Dividends Paid</w:t>
                                  </w:r>
                                </w:p>
                              </w:tc>
                              <w:tc>
                                <w:tcPr>
                                  <w:tcW w:w="534" w:type="pct"/>
                                  <w:tcBorders>
                                    <w:top w:val="nil"/>
                                    <w:left w:val="nil"/>
                                    <w:bottom w:val="nil"/>
                                    <w:right w:val="nil"/>
                                  </w:tcBorders>
                                  <w:hideMark/>
                                </w:tcPr>
                                <w:p w14:paraId="6D161E6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0498522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6294264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88DBE5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20CC31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5494CF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r>
                            <w:tr w:rsidR="00BA0542" w:rsidRPr="00BA0542" w14:paraId="0CB532F6" w14:textId="77777777" w:rsidTr="00BA0542">
                              <w:trPr>
                                <w:trHeight w:val="204"/>
                              </w:trPr>
                              <w:tc>
                                <w:tcPr>
                                  <w:tcW w:w="1786" w:type="pct"/>
                                  <w:tcBorders>
                                    <w:top w:val="nil"/>
                                    <w:left w:val="nil"/>
                                    <w:bottom w:val="nil"/>
                                    <w:right w:val="nil"/>
                                  </w:tcBorders>
                                  <w:noWrap/>
                                  <w:hideMark/>
                                </w:tcPr>
                                <w:p w14:paraId="6E453DE3"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Dividends Paid</w:t>
                                  </w:r>
                                </w:p>
                              </w:tc>
                              <w:tc>
                                <w:tcPr>
                                  <w:tcW w:w="534" w:type="pct"/>
                                  <w:tcBorders>
                                    <w:top w:val="single" w:sz="4" w:space="0" w:color="000000"/>
                                    <w:left w:val="nil"/>
                                    <w:bottom w:val="nil"/>
                                    <w:right w:val="nil"/>
                                  </w:tcBorders>
                                  <w:hideMark/>
                                </w:tcPr>
                                <w:p w14:paraId="716413E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(0.1)  </w:t>
                                  </w:r>
                                </w:p>
                              </w:tc>
                              <w:tc>
                                <w:tcPr>
                                  <w:tcW w:w="534" w:type="pct"/>
                                  <w:tcBorders>
                                    <w:top w:val="single" w:sz="4" w:space="0" w:color="000000"/>
                                    <w:left w:val="nil"/>
                                    <w:bottom w:val="nil"/>
                                    <w:right w:val="nil"/>
                                  </w:tcBorders>
                                  <w:hideMark/>
                                </w:tcPr>
                                <w:p w14:paraId="275BF75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(0.1)  </w:t>
                                  </w:r>
                                </w:p>
                              </w:tc>
                              <w:tc>
                                <w:tcPr>
                                  <w:tcW w:w="545" w:type="pct"/>
                                  <w:tcBorders>
                                    <w:top w:val="single" w:sz="4" w:space="0" w:color="000000"/>
                                    <w:left w:val="nil"/>
                                    <w:bottom w:val="nil"/>
                                    <w:right w:val="nil"/>
                                  </w:tcBorders>
                                  <w:hideMark/>
                                </w:tcPr>
                                <w:p w14:paraId="0E2D3CB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4" w:type="pct"/>
                                  <w:tcBorders>
                                    <w:top w:val="single" w:sz="4" w:space="0" w:color="000000"/>
                                    <w:left w:val="nil"/>
                                    <w:bottom w:val="nil"/>
                                    <w:right w:val="nil"/>
                                  </w:tcBorders>
                                  <w:hideMark/>
                                </w:tcPr>
                                <w:p w14:paraId="787E3BF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4" w:type="pct"/>
                                  <w:tcBorders>
                                    <w:top w:val="single" w:sz="4" w:space="0" w:color="000000"/>
                                    <w:left w:val="nil"/>
                                    <w:bottom w:val="nil"/>
                                    <w:right w:val="nil"/>
                                  </w:tcBorders>
                                  <w:hideMark/>
                                </w:tcPr>
                                <w:p w14:paraId="1DCEB77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3" w:type="pct"/>
                                  <w:tcBorders>
                                    <w:top w:val="single" w:sz="4" w:space="0" w:color="000000"/>
                                    <w:left w:val="nil"/>
                                    <w:bottom w:val="nil"/>
                                    <w:right w:val="nil"/>
                                  </w:tcBorders>
                                  <w:hideMark/>
                                </w:tcPr>
                                <w:p w14:paraId="1E61102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(0.6)  </w:t>
                                  </w:r>
                                </w:p>
                              </w:tc>
                            </w:tr>
                            <w:tr w:rsidR="00BA0542" w:rsidRPr="00BA0542" w14:paraId="1BC3F2B7" w14:textId="77777777" w:rsidTr="00BA0542">
                              <w:trPr>
                                <w:trHeight w:val="204"/>
                              </w:trPr>
                              <w:tc>
                                <w:tcPr>
                                  <w:tcW w:w="1786" w:type="pct"/>
                                  <w:tcBorders>
                                    <w:top w:val="nil"/>
                                    <w:left w:val="nil"/>
                                    <w:bottom w:val="nil"/>
                                    <w:right w:val="nil"/>
                                  </w:tcBorders>
                                  <w:noWrap/>
                                  <w:hideMark/>
                                </w:tcPr>
                                <w:p w14:paraId="1E70C0D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Financing Activities</w:t>
                                  </w:r>
                                </w:p>
                              </w:tc>
                              <w:tc>
                                <w:tcPr>
                                  <w:tcW w:w="534" w:type="pct"/>
                                  <w:tcBorders>
                                    <w:top w:val="nil"/>
                                    <w:left w:val="nil"/>
                                    <w:bottom w:val="nil"/>
                                    <w:right w:val="nil"/>
                                  </w:tcBorders>
                                  <w:hideMark/>
                                </w:tcPr>
                                <w:p w14:paraId="66A2B7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0B71CFB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45" w:type="pct"/>
                                  <w:tcBorders>
                                    <w:top w:val="nil"/>
                                    <w:left w:val="nil"/>
                                    <w:bottom w:val="nil"/>
                                    <w:right w:val="nil"/>
                                  </w:tcBorders>
                                  <w:hideMark/>
                                </w:tcPr>
                                <w:p w14:paraId="283AB2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6ECD0E8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4BB4777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6558D3D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0C0B4223" w14:textId="77777777" w:rsidTr="00BA0542">
                              <w:trPr>
                                <w:trHeight w:val="204"/>
                              </w:trPr>
                              <w:tc>
                                <w:tcPr>
                                  <w:tcW w:w="1786" w:type="pct"/>
                                  <w:tcBorders>
                                    <w:top w:val="nil"/>
                                    <w:left w:val="nil"/>
                                    <w:bottom w:val="nil"/>
                                    <w:right w:val="nil"/>
                                  </w:tcBorders>
                                  <w:noWrap/>
                                  <w:hideMark/>
                                </w:tcPr>
                                <w:p w14:paraId="474329E0"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Financing</w:t>
                                  </w:r>
                                </w:p>
                              </w:tc>
                              <w:tc>
                                <w:tcPr>
                                  <w:tcW w:w="534" w:type="pct"/>
                                  <w:tcBorders>
                                    <w:top w:val="single" w:sz="4" w:space="0" w:color="000000"/>
                                    <w:left w:val="nil"/>
                                    <w:bottom w:val="nil"/>
                                    <w:right w:val="nil"/>
                                  </w:tcBorders>
                                  <w:hideMark/>
                                </w:tcPr>
                                <w:p w14:paraId="76AA569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(2.2)  </w:t>
                                  </w:r>
                                </w:p>
                              </w:tc>
                              <w:tc>
                                <w:tcPr>
                                  <w:tcW w:w="534" w:type="pct"/>
                                  <w:tcBorders>
                                    <w:top w:val="single" w:sz="4" w:space="0" w:color="000000"/>
                                    <w:left w:val="nil"/>
                                    <w:bottom w:val="nil"/>
                                    <w:right w:val="nil"/>
                                  </w:tcBorders>
                                  <w:hideMark/>
                                </w:tcPr>
                                <w:p w14:paraId="7FC874A8"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(1.4)  </w:t>
                                  </w:r>
                                </w:p>
                              </w:tc>
                              <w:tc>
                                <w:tcPr>
                                  <w:tcW w:w="545" w:type="pct"/>
                                  <w:tcBorders>
                                    <w:top w:val="single" w:sz="4" w:space="0" w:color="000000"/>
                                    <w:left w:val="nil"/>
                                    <w:bottom w:val="nil"/>
                                    <w:right w:val="nil"/>
                                  </w:tcBorders>
                                  <w:hideMark/>
                                </w:tcPr>
                                <w:p w14:paraId="48304BD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(3.5)  </w:t>
                                  </w:r>
                                </w:p>
                              </w:tc>
                              <w:tc>
                                <w:tcPr>
                                  <w:tcW w:w="534" w:type="pct"/>
                                  <w:tcBorders>
                                    <w:top w:val="single" w:sz="4" w:space="0" w:color="000000"/>
                                    <w:left w:val="nil"/>
                                    <w:bottom w:val="nil"/>
                                    <w:right w:val="nil"/>
                                  </w:tcBorders>
                                  <w:hideMark/>
                                </w:tcPr>
                                <w:p w14:paraId="7FDA45D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(0.3)  </w:t>
                                  </w:r>
                                </w:p>
                              </w:tc>
                              <w:tc>
                                <w:tcPr>
                                  <w:tcW w:w="534" w:type="pct"/>
                                  <w:tcBorders>
                                    <w:top w:val="single" w:sz="4" w:space="0" w:color="000000"/>
                                    <w:left w:val="nil"/>
                                    <w:bottom w:val="nil"/>
                                    <w:right w:val="nil"/>
                                  </w:tcBorders>
                                  <w:hideMark/>
                                </w:tcPr>
                                <w:p w14:paraId="73B6B8B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(3.0)  </w:t>
                                  </w:r>
                                </w:p>
                              </w:tc>
                              <w:tc>
                                <w:tcPr>
                                  <w:tcW w:w="533" w:type="pct"/>
                                  <w:tcBorders>
                                    <w:top w:val="single" w:sz="4" w:space="0" w:color="000000"/>
                                    <w:left w:val="nil"/>
                                    <w:bottom w:val="nil"/>
                                    <w:right w:val="nil"/>
                                  </w:tcBorders>
                                  <w:hideMark/>
                                </w:tcPr>
                                <w:p w14:paraId="43D98D3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(1.1)  </w:t>
                                  </w:r>
                                </w:p>
                              </w:tc>
                            </w:tr>
                            <w:tr w:rsidR="00BA0542" w:rsidRPr="00BA0542" w14:paraId="6D3BD81E" w14:textId="77777777" w:rsidTr="00BA0542">
                              <w:trPr>
                                <w:trHeight w:val="204"/>
                              </w:trPr>
                              <w:tc>
                                <w:tcPr>
                                  <w:tcW w:w="1786" w:type="pct"/>
                                  <w:tcBorders>
                                    <w:top w:val="nil"/>
                                    <w:left w:val="nil"/>
                                    <w:bottom w:val="nil"/>
                                    <w:right w:val="nil"/>
                                  </w:tcBorders>
                                  <w:noWrap/>
                                  <w:hideMark/>
                                </w:tcPr>
                                <w:p w14:paraId="26F4F350"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Foreign Exchange Rate Adj.</w:t>
                                  </w:r>
                                </w:p>
                              </w:tc>
                              <w:tc>
                                <w:tcPr>
                                  <w:tcW w:w="534" w:type="pct"/>
                                  <w:tcBorders>
                                    <w:top w:val="nil"/>
                                    <w:left w:val="nil"/>
                                    <w:bottom w:val="nil"/>
                                    <w:right w:val="nil"/>
                                  </w:tcBorders>
                                  <w:hideMark/>
                                </w:tcPr>
                                <w:p w14:paraId="1E26F93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583277F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45" w:type="pct"/>
                                  <w:tcBorders>
                                    <w:top w:val="nil"/>
                                    <w:left w:val="nil"/>
                                    <w:bottom w:val="nil"/>
                                    <w:right w:val="nil"/>
                                  </w:tcBorders>
                                  <w:hideMark/>
                                </w:tcPr>
                                <w:p w14:paraId="2330E3D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25A0C5C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23CF6E7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67CE37B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r>
                            <w:tr w:rsidR="00BA0542" w:rsidRPr="00BA0542" w14:paraId="743F1D05" w14:textId="77777777" w:rsidTr="00BA0542">
                              <w:trPr>
                                <w:trHeight w:val="204"/>
                              </w:trPr>
                              <w:tc>
                                <w:tcPr>
                                  <w:tcW w:w="1786" w:type="pct"/>
                                  <w:tcBorders>
                                    <w:top w:val="nil"/>
                                    <w:left w:val="nil"/>
                                    <w:bottom w:val="nil"/>
                                    <w:right w:val="nil"/>
                                  </w:tcBorders>
                                  <w:noWrap/>
                                  <w:hideMark/>
                                </w:tcPr>
                                <w:p w14:paraId="2BDEEE09"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Net Change in Cash</w:t>
                                  </w:r>
                                </w:p>
                              </w:tc>
                              <w:tc>
                                <w:tcPr>
                                  <w:tcW w:w="534" w:type="pct"/>
                                  <w:tcBorders>
                                    <w:top w:val="single" w:sz="4" w:space="0" w:color="000000"/>
                                    <w:left w:val="nil"/>
                                    <w:bottom w:val="nil"/>
                                    <w:right w:val="nil"/>
                                  </w:tcBorders>
                                  <w:hideMark/>
                                </w:tcPr>
                                <w:p w14:paraId="225EA1E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0.2 </w:t>
                                  </w:r>
                                </w:p>
                              </w:tc>
                              <w:tc>
                                <w:tcPr>
                                  <w:tcW w:w="534" w:type="pct"/>
                                  <w:tcBorders>
                                    <w:top w:val="single" w:sz="4" w:space="0" w:color="000000"/>
                                    <w:left w:val="nil"/>
                                    <w:bottom w:val="nil"/>
                                    <w:right w:val="nil"/>
                                  </w:tcBorders>
                                  <w:hideMark/>
                                </w:tcPr>
                                <w:p w14:paraId="23767543"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 </w:t>
                                  </w:r>
                                </w:p>
                              </w:tc>
                              <w:tc>
                                <w:tcPr>
                                  <w:tcW w:w="545" w:type="pct"/>
                                  <w:tcBorders>
                                    <w:top w:val="single" w:sz="4" w:space="0" w:color="000000"/>
                                    <w:left w:val="nil"/>
                                    <w:bottom w:val="nil"/>
                                    <w:right w:val="nil"/>
                                  </w:tcBorders>
                                  <w:hideMark/>
                                </w:tcPr>
                                <w:p w14:paraId="127D4A5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(0.8)  </w:t>
                                  </w:r>
                                </w:p>
                              </w:tc>
                              <w:tc>
                                <w:tcPr>
                                  <w:tcW w:w="534" w:type="pct"/>
                                  <w:tcBorders>
                                    <w:top w:val="single" w:sz="4" w:space="0" w:color="000000"/>
                                    <w:left w:val="nil"/>
                                    <w:bottom w:val="nil"/>
                                    <w:right w:val="nil"/>
                                  </w:tcBorders>
                                  <w:hideMark/>
                                </w:tcPr>
                                <w:p w14:paraId="6B9A55A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1.9 </w:t>
                                  </w:r>
                                </w:p>
                              </w:tc>
                              <w:tc>
                                <w:tcPr>
                                  <w:tcW w:w="534" w:type="pct"/>
                                  <w:tcBorders>
                                    <w:top w:val="single" w:sz="4" w:space="0" w:color="000000"/>
                                    <w:left w:val="nil"/>
                                    <w:bottom w:val="nil"/>
                                    <w:right w:val="nil"/>
                                  </w:tcBorders>
                                  <w:hideMark/>
                                </w:tcPr>
                                <w:p w14:paraId="1AD5DF23"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0.9 </w:t>
                                  </w:r>
                                </w:p>
                              </w:tc>
                              <w:tc>
                                <w:tcPr>
                                  <w:tcW w:w="533" w:type="pct"/>
                                  <w:tcBorders>
                                    <w:top w:val="single" w:sz="4" w:space="0" w:color="000000"/>
                                    <w:left w:val="nil"/>
                                    <w:bottom w:val="nil"/>
                                    <w:right w:val="nil"/>
                                  </w:tcBorders>
                                  <w:hideMark/>
                                </w:tcPr>
                                <w:p w14:paraId="19DDFCF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0.3 </w:t>
                                  </w:r>
                                </w:p>
                              </w:tc>
                            </w:tr>
                          </w:tbl>
                          <w:p w14:paraId="77E3A135" w14:textId="337F214A" w:rsidR="00BA0542" w:rsidRDefault="00BA05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1F067" id="_x0000_s1065" type="#_x0000_t202" style="position:absolute;left:0;text-align:left;margin-left:0;margin-top:0;width:485.4pt;height:422.4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" stroked="f">
                <v:textbox>
                  <w:txbxContent>
                    <w:tbl>
                      <w:tblPr>
                        <w:tblW w:w="4992" w:type="pct"/>
                        <w:tblLook w:val="04A0" w:firstRow="1" w:lastRow="0" w:firstColumn="1" w:lastColumn="0" w:noHBand="0" w:noVBand="1"/>
                      </w:tblPr>
                      <w:tblGrid>
                        <w:gridCol w:w="3359"/>
                        <w:gridCol w:w="1004"/>
                        <w:gridCol w:w="1005"/>
                        <w:gridCol w:w="1025"/>
                        <w:gridCol w:w="1005"/>
                        <w:gridCol w:w="1005"/>
                        <w:gridCol w:w="1003"/>
                      </w:tblGrid>
                      <w:tr w:rsidR="00BA0542" w:rsidRPr="00BA0542" w14:paraId="1A0405DD" w14:textId="77777777" w:rsidTr="00BA0542">
                        <w:trPr>
                          <w:trHeight w:val="324"/>
                        </w:trPr>
                        <w:tc>
                          <w:tcPr>
                            <w:tcW w:w="4467" w:type="pct"/>
                            <w:gridSpan w:val="6"/>
                            <w:tcBorders>
                              <w:top w:val="nil"/>
                              <w:left w:val="nil"/>
                              <w:bottom w:val="nil"/>
                              <w:right w:val="nil"/>
                            </w:tcBorders>
                            <w:noWrap/>
                            <w:vAlign w:val="bottom"/>
                            <w:hideMark/>
                          </w:tcPr>
                          <w:p w14:paraId="08E51DF5"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Carrefour SA (ENXTPA:CA) &gt; Financials &gt; Cash Flow</w:t>
                            </w:r>
                          </w:p>
                        </w:tc>
                        <w:tc>
                          <w:tcPr>
                            <w:tcW w:w="533" w:type="pct"/>
                            <w:tcBorders>
                              <w:top w:val="nil"/>
                              <w:left w:val="nil"/>
                              <w:bottom w:val="nil"/>
                              <w:right w:val="nil"/>
                            </w:tcBorders>
                            <w:noWrap/>
                            <w:vAlign w:val="bottom"/>
                            <w:hideMark/>
                          </w:tcPr>
                          <w:p w14:paraId="58BB06E3"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p>
                        </w:tc>
                      </w:tr>
                      <w:tr w:rsidR="00BA0542" w:rsidRPr="00BA0542" w14:paraId="3EE11EDE" w14:textId="77777777" w:rsidTr="00BA0542">
                        <w:trPr>
                          <w:trHeight w:val="204"/>
                        </w:trPr>
                        <w:tc>
                          <w:tcPr>
                            <w:tcW w:w="1786" w:type="pct"/>
                            <w:tcBorders>
                              <w:top w:val="nil"/>
                              <w:left w:val="nil"/>
                              <w:bottom w:val="nil"/>
                              <w:right w:val="nil"/>
                            </w:tcBorders>
                            <w:shd w:val="clear" w:color="000000" w:fill="003366"/>
                            <w:noWrap/>
                            <w:vAlign w:val="bottom"/>
                            <w:hideMark/>
                          </w:tcPr>
                          <w:p w14:paraId="2761A922"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Cash Flow</w:t>
                            </w:r>
                          </w:p>
                        </w:tc>
                        <w:tc>
                          <w:tcPr>
                            <w:tcW w:w="534" w:type="pct"/>
                            <w:tcBorders>
                              <w:top w:val="nil"/>
                              <w:left w:val="nil"/>
                              <w:bottom w:val="nil"/>
                              <w:right w:val="nil"/>
                            </w:tcBorders>
                            <w:shd w:val="clear" w:color="000000" w:fill="003366"/>
                            <w:noWrap/>
                            <w:vAlign w:val="bottom"/>
                            <w:hideMark/>
                          </w:tcPr>
                          <w:p w14:paraId="68A23984"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328577B0"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45" w:type="pct"/>
                            <w:tcBorders>
                              <w:top w:val="nil"/>
                              <w:left w:val="nil"/>
                              <w:bottom w:val="nil"/>
                              <w:right w:val="nil"/>
                            </w:tcBorders>
                            <w:shd w:val="clear" w:color="000000" w:fill="003366"/>
                            <w:noWrap/>
                            <w:vAlign w:val="bottom"/>
                            <w:hideMark/>
                          </w:tcPr>
                          <w:p w14:paraId="454D62A5"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44CE2743"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4" w:type="pct"/>
                            <w:tcBorders>
                              <w:top w:val="nil"/>
                              <w:left w:val="nil"/>
                              <w:bottom w:val="nil"/>
                              <w:right w:val="nil"/>
                            </w:tcBorders>
                            <w:shd w:val="clear" w:color="000000" w:fill="003366"/>
                            <w:noWrap/>
                            <w:vAlign w:val="bottom"/>
                            <w:hideMark/>
                          </w:tcPr>
                          <w:p w14:paraId="33C50E95"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c>
                          <w:tcPr>
                            <w:tcW w:w="533" w:type="pct"/>
                            <w:tcBorders>
                              <w:top w:val="nil"/>
                              <w:left w:val="nil"/>
                              <w:bottom w:val="nil"/>
                              <w:right w:val="nil"/>
                            </w:tcBorders>
                            <w:shd w:val="clear" w:color="000000" w:fill="003366"/>
                            <w:noWrap/>
                            <w:vAlign w:val="bottom"/>
                            <w:hideMark/>
                          </w:tcPr>
                          <w:p w14:paraId="29CD2A6B" w14:textId="77777777" w:rsidR="00BA0542" w:rsidRPr="00BA0542" w:rsidRDefault="00BA0542" w:rsidP="00BA0542">
                            <w:pPr>
                              <w:spacing w:after="0" w:line="240" w:lineRule="auto"/>
                              <w:rPr>
                                <w:rFonts w:ascii="Cambria'" w:eastAsia="Times New Roman" w:hAnsi="Cambria'" w:cs="Arial"/>
                                <w:b/>
                                <w:bCs/>
                                <w:color w:val="FFFFFF"/>
                                <w:kern w:val="0"/>
                                <w:sz w:val="14"/>
                                <w:szCs w:val="14"/>
                                <w:lang w:eastAsia="en-IN"/>
                                <w14:ligatures w14:val="none"/>
                              </w:rPr>
                            </w:pPr>
                            <w:r w:rsidRPr="00BA0542">
                              <w:rPr>
                                <w:rFonts w:ascii="Cambria'" w:eastAsia="Times New Roman" w:hAnsi="Cambria'" w:cs="Arial"/>
                                <w:b/>
                                <w:bCs/>
                                <w:color w:val="FFFFFF"/>
                                <w:kern w:val="0"/>
                                <w:sz w:val="14"/>
                                <w:szCs w:val="14"/>
                                <w:lang w:eastAsia="en-IN"/>
                                <w14:ligatures w14:val="none"/>
                              </w:rPr>
                              <w:t> </w:t>
                            </w:r>
                          </w:p>
                        </w:tc>
                      </w:tr>
                      <w:tr w:rsidR="00BA0542" w:rsidRPr="00BA0542" w14:paraId="519466A7" w14:textId="77777777" w:rsidTr="00BA0542">
                        <w:trPr>
                          <w:trHeight w:val="612"/>
                        </w:trPr>
                        <w:tc>
                          <w:tcPr>
                            <w:tcW w:w="1786" w:type="pct"/>
                            <w:tcBorders>
                              <w:top w:val="nil"/>
                              <w:left w:val="nil"/>
                              <w:bottom w:val="nil"/>
                              <w:right w:val="nil"/>
                            </w:tcBorders>
                            <w:shd w:val="clear" w:color="000000" w:fill="F0F0DC"/>
                            <w:vAlign w:val="bottom"/>
                            <w:hideMark/>
                          </w:tcPr>
                          <w:p w14:paraId="5D69F5E0"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For the Fiscal Period Ending</w:t>
                            </w:r>
                          </w:p>
                        </w:tc>
                        <w:tc>
                          <w:tcPr>
                            <w:tcW w:w="534" w:type="pct"/>
                            <w:tcBorders>
                              <w:top w:val="nil"/>
                              <w:left w:val="nil"/>
                              <w:bottom w:val="nil"/>
                              <w:right w:val="nil"/>
                            </w:tcBorders>
                            <w:shd w:val="clear" w:color="000000" w:fill="F0F0DC"/>
                            <w:vAlign w:val="bottom"/>
                            <w:hideMark/>
                          </w:tcPr>
                          <w:p w14:paraId="450A7A4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Restated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Dec-31-2019</w:t>
                            </w:r>
                          </w:p>
                        </w:tc>
                        <w:tc>
                          <w:tcPr>
                            <w:tcW w:w="534" w:type="pct"/>
                            <w:tcBorders>
                              <w:top w:val="nil"/>
                              <w:left w:val="nil"/>
                              <w:bottom w:val="nil"/>
                              <w:right w:val="nil"/>
                            </w:tcBorders>
                            <w:shd w:val="clear" w:color="000000" w:fill="F0F0DC"/>
                            <w:vAlign w:val="bottom"/>
                            <w:hideMark/>
                          </w:tcPr>
                          <w:p w14:paraId="3E02B35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Dec-31-2020</w:t>
                            </w:r>
                          </w:p>
                        </w:tc>
                        <w:tc>
                          <w:tcPr>
                            <w:tcW w:w="545" w:type="pct"/>
                            <w:tcBorders>
                              <w:top w:val="nil"/>
                              <w:left w:val="nil"/>
                              <w:bottom w:val="nil"/>
                              <w:right w:val="nil"/>
                            </w:tcBorders>
                            <w:shd w:val="clear" w:color="000000" w:fill="F0F0DC"/>
                            <w:vAlign w:val="bottom"/>
                            <w:hideMark/>
                          </w:tcPr>
                          <w:p w14:paraId="08A6E281"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Reclassified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Dec-31-2021</w:t>
                            </w:r>
                          </w:p>
                        </w:tc>
                        <w:tc>
                          <w:tcPr>
                            <w:tcW w:w="534" w:type="pct"/>
                            <w:tcBorders>
                              <w:top w:val="nil"/>
                              <w:left w:val="nil"/>
                              <w:bottom w:val="nil"/>
                              <w:right w:val="nil"/>
                            </w:tcBorders>
                            <w:shd w:val="clear" w:color="000000" w:fill="F0F0DC"/>
                            <w:vAlign w:val="bottom"/>
                            <w:hideMark/>
                          </w:tcPr>
                          <w:p w14:paraId="054C36C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Dec-31-2022</w:t>
                            </w:r>
                          </w:p>
                        </w:tc>
                        <w:tc>
                          <w:tcPr>
                            <w:tcW w:w="534" w:type="pct"/>
                            <w:tcBorders>
                              <w:top w:val="nil"/>
                              <w:left w:val="nil"/>
                              <w:bottom w:val="nil"/>
                              <w:right w:val="nil"/>
                            </w:tcBorders>
                            <w:shd w:val="clear" w:color="000000" w:fill="F0F0DC"/>
                            <w:vAlign w:val="bottom"/>
                            <w:hideMark/>
                          </w:tcPr>
                          <w:p w14:paraId="57DEF1F8"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Restated</w:t>
                            </w:r>
                            <w:r w:rsidRPr="00BA0542">
                              <w:rPr>
                                <w:rFonts w:ascii="Cambria'" w:eastAsia="Times New Roman" w:hAnsi="Cambria'" w:cs="Arial"/>
                                <w:b/>
                                <w:bCs/>
                                <w:color w:val="000000"/>
                                <w:kern w:val="0"/>
                                <w:sz w:val="14"/>
                                <w:szCs w:val="14"/>
                                <w:lang w:eastAsia="en-IN"/>
                                <w14:ligatures w14:val="none"/>
                              </w:rPr>
                              <w:br/>
                              <w:t>12 months</w:t>
                            </w:r>
                            <w:r w:rsidRPr="00BA0542">
                              <w:rPr>
                                <w:rFonts w:ascii="Cambria'" w:eastAsia="Times New Roman" w:hAnsi="Cambria'" w:cs="Arial"/>
                                <w:b/>
                                <w:bCs/>
                                <w:color w:val="000000"/>
                                <w:kern w:val="0"/>
                                <w:sz w:val="14"/>
                                <w:szCs w:val="14"/>
                                <w:lang w:eastAsia="en-IN"/>
                                <w14:ligatures w14:val="none"/>
                              </w:rPr>
                              <w:br/>
                              <w:t>Dec-31-2023</w:t>
                            </w:r>
                          </w:p>
                        </w:tc>
                        <w:tc>
                          <w:tcPr>
                            <w:tcW w:w="533" w:type="pct"/>
                            <w:tcBorders>
                              <w:top w:val="nil"/>
                              <w:left w:val="nil"/>
                              <w:bottom w:val="nil"/>
                              <w:right w:val="nil"/>
                            </w:tcBorders>
                            <w:shd w:val="clear" w:color="000000" w:fill="F0F0DC"/>
                            <w:vAlign w:val="bottom"/>
                            <w:hideMark/>
                          </w:tcPr>
                          <w:p w14:paraId="1EF5AA5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12 months</w:t>
                            </w:r>
                            <w:r w:rsidRPr="00BA0542">
                              <w:rPr>
                                <w:rFonts w:ascii="Cambria'" w:eastAsia="Times New Roman" w:hAnsi="Cambria'" w:cs="Arial"/>
                                <w:b/>
                                <w:bCs/>
                                <w:color w:val="000000"/>
                                <w:kern w:val="0"/>
                                <w:sz w:val="14"/>
                                <w:szCs w:val="14"/>
                                <w:lang w:eastAsia="en-IN"/>
                                <w14:ligatures w14:val="none"/>
                              </w:rPr>
                              <w:br/>
                              <w:t>Dec-31-2024</w:t>
                            </w:r>
                          </w:p>
                        </w:tc>
                      </w:tr>
                      <w:tr w:rsidR="00BA0542" w:rsidRPr="00BA0542" w14:paraId="2C3E6081" w14:textId="77777777" w:rsidTr="00BA0542">
                        <w:trPr>
                          <w:trHeight w:val="204"/>
                        </w:trPr>
                        <w:tc>
                          <w:tcPr>
                            <w:tcW w:w="1786" w:type="pct"/>
                            <w:tcBorders>
                              <w:top w:val="nil"/>
                              <w:left w:val="nil"/>
                              <w:bottom w:val="nil"/>
                              <w:right w:val="nil"/>
                            </w:tcBorders>
                            <w:shd w:val="clear" w:color="000000" w:fill="F0F0DC"/>
                            <w:vAlign w:val="bottom"/>
                            <w:hideMark/>
                          </w:tcPr>
                          <w:p w14:paraId="45330476" w14:textId="77777777" w:rsidR="00BA0542" w:rsidRPr="00BA0542" w:rsidRDefault="00BA0542" w:rsidP="00BA0542">
                            <w:pPr>
                              <w:spacing w:after="0" w:line="240" w:lineRule="auto"/>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Currency</w:t>
                            </w:r>
                          </w:p>
                        </w:tc>
                        <w:tc>
                          <w:tcPr>
                            <w:tcW w:w="534" w:type="pct"/>
                            <w:tcBorders>
                              <w:top w:val="nil"/>
                              <w:left w:val="nil"/>
                              <w:bottom w:val="nil"/>
                              <w:right w:val="nil"/>
                            </w:tcBorders>
                            <w:shd w:val="clear" w:color="000000" w:fill="F0F0DC"/>
                            <w:vAlign w:val="bottom"/>
                            <w:hideMark/>
                          </w:tcPr>
                          <w:p w14:paraId="513EFD01"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787CFCE8"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45" w:type="pct"/>
                            <w:tcBorders>
                              <w:top w:val="nil"/>
                              <w:left w:val="nil"/>
                              <w:bottom w:val="nil"/>
                              <w:right w:val="nil"/>
                            </w:tcBorders>
                            <w:shd w:val="clear" w:color="000000" w:fill="F0F0DC"/>
                            <w:vAlign w:val="bottom"/>
                            <w:hideMark/>
                          </w:tcPr>
                          <w:p w14:paraId="6DFF3F8C"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7435D405"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4" w:type="pct"/>
                            <w:tcBorders>
                              <w:top w:val="nil"/>
                              <w:left w:val="nil"/>
                              <w:bottom w:val="nil"/>
                              <w:right w:val="nil"/>
                            </w:tcBorders>
                            <w:shd w:val="clear" w:color="000000" w:fill="F0F0DC"/>
                            <w:vAlign w:val="bottom"/>
                            <w:hideMark/>
                          </w:tcPr>
                          <w:p w14:paraId="5013AEE3"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c>
                          <w:tcPr>
                            <w:tcW w:w="533" w:type="pct"/>
                            <w:tcBorders>
                              <w:top w:val="nil"/>
                              <w:left w:val="nil"/>
                              <w:bottom w:val="nil"/>
                              <w:right w:val="nil"/>
                            </w:tcBorders>
                            <w:shd w:val="clear" w:color="000000" w:fill="F0F0DC"/>
                            <w:vAlign w:val="bottom"/>
                            <w:hideMark/>
                          </w:tcPr>
                          <w:p w14:paraId="1E292A09" w14:textId="77777777" w:rsidR="00BA0542" w:rsidRPr="00BA0542" w:rsidRDefault="00BA0542" w:rsidP="00BA0542">
                            <w:pPr>
                              <w:spacing w:after="0" w:line="240" w:lineRule="auto"/>
                              <w:jc w:val="right"/>
                              <w:rPr>
                                <w:rFonts w:ascii="Cambria'" w:eastAsia="Times New Roman" w:hAnsi="Cambria'" w:cs="Arial"/>
                                <w:b/>
                                <w:bCs/>
                                <w:i/>
                                <w:iCs/>
                                <w:color w:val="000000"/>
                                <w:kern w:val="0"/>
                                <w:sz w:val="14"/>
                                <w:szCs w:val="14"/>
                                <w:lang w:eastAsia="en-IN"/>
                                <w14:ligatures w14:val="none"/>
                              </w:rPr>
                            </w:pPr>
                            <w:r w:rsidRPr="00BA0542">
                              <w:rPr>
                                <w:rFonts w:ascii="Cambria'" w:eastAsia="Times New Roman" w:hAnsi="Cambria'" w:cs="Arial"/>
                                <w:b/>
                                <w:bCs/>
                                <w:i/>
                                <w:iCs/>
                                <w:color w:val="000000"/>
                                <w:kern w:val="0"/>
                                <w:sz w:val="14"/>
                                <w:szCs w:val="14"/>
                                <w:lang w:eastAsia="en-IN"/>
                                <w14:ligatures w14:val="none"/>
                              </w:rPr>
                              <w:t>USD</w:t>
                            </w:r>
                          </w:p>
                        </w:tc>
                      </w:tr>
                      <w:tr w:rsidR="00BA0542" w:rsidRPr="00BA0542" w14:paraId="73DFB671" w14:textId="77777777" w:rsidTr="00BA0542">
                        <w:trPr>
                          <w:trHeight w:val="204"/>
                        </w:trPr>
                        <w:tc>
                          <w:tcPr>
                            <w:tcW w:w="1786" w:type="pct"/>
                            <w:tcBorders>
                              <w:top w:val="nil"/>
                              <w:left w:val="nil"/>
                              <w:bottom w:val="nil"/>
                              <w:right w:val="nil"/>
                            </w:tcBorders>
                            <w:noWrap/>
                            <w:hideMark/>
                          </w:tcPr>
                          <w:p w14:paraId="70090868"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Net Income</w:t>
                            </w:r>
                          </w:p>
                        </w:tc>
                        <w:tc>
                          <w:tcPr>
                            <w:tcW w:w="534" w:type="pct"/>
                            <w:tcBorders>
                              <w:top w:val="nil"/>
                              <w:left w:val="nil"/>
                              <w:bottom w:val="nil"/>
                              <w:right w:val="nil"/>
                            </w:tcBorders>
                            <w:hideMark/>
                          </w:tcPr>
                          <w:p w14:paraId="25946BE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1.3 </w:t>
                            </w:r>
                          </w:p>
                        </w:tc>
                        <w:tc>
                          <w:tcPr>
                            <w:tcW w:w="534" w:type="pct"/>
                            <w:tcBorders>
                              <w:top w:val="nil"/>
                              <w:left w:val="nil"/>
                              <w:bottom w:val="nil"/>
                              <w:right w:val="nil"/>
                            </w:tcBorders>
                            <w:hideMark/>
                          </w:tcPr>
                          <w:p w14:paraId="49FD3D8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0.8 </w:t>
                            </w:r>
                          </w:p>
                        </w:tc>
                        <w:tc>
                          <w:tcPr>
                            <w:tcW w:w="545" w:type="pct"/>
                            <w:tcBorders>
                              <w:top w:val="nil"/>
                              <w:left w:val="nil"/>
                              <w:bottom w:val="nil"/>
                              <w:right w:val="nil"/>
                            </w:tcBorders>
                            <w:hideMark/>
                          </w:tcPr>
                          <w:p w14:paraId="132E93D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1.2 </w:t>
                            </w:r>
                          </w:p>
                        </w:tc>
                        <w:tc>
                          <w:tcPr>
                            <w:tcW w:w="534" w:type="pct"/>
                            <w:tcBorders>
                              <w:top w:val="nil"/>
                              <w:left w:val="nil"/>
                              <w:bottom w:val="nil"/>
                              <w:right w:val="nil"/>
                            </w:tcBorders>
                            <w:hideMark/>
                          </w:tcPr>
                          <w:p w14:paraId="7CE9E46F"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1.4 </w:t>
                            </w:r>
                          </w:p>
                        </w:tc>
                        <w:tc>
                          <w:tcPr>
                            <w:tcW w:w="534" w:type="pct"/>
                            <w:tcBorders>
                              <w:top w:val="nil"/>
                              <w:left w:val="nil"/>
                              <w:bottom w:val="nil"/>
                              <w:right w:val="nil"/>
                            </w:tcBorders>
                            <w:hideMark/>
                          </w:tcPr>
                          <w:p w14:paraId="33ED6DE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1.8 </w:t>
                            </w:r>
                          </w:p>
                        </w:tc>
                        <w:tc>
                          <w:tcPr>
                            <w:tcW w:w="533" w:type="pct"/>
                            <w:tcBorders>
                              <w:top w:val="nil"/>
                              <w:left w:val="nil"/>
                              <w:bottom w:val="nil"/>
                              <w:right w:val="nil"/>
                            </w:tcBorders>
                            <w:hideMark/>
                          </w:tcPr>
                          <w:p w14:paraId="369E599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0.7 </w:t>
                            </w:r>
                          </w:p>
                        </w:tc>
                      </w:tr>
                      <w:tr w:rsidR="00BA0542" w:rsidRPr="00BA0542" w14:paraId="2D43A570" w14:textId="77777777" w:rsidTr="00BA0542">
                        <w:trPr>
                          <w:trHeight w:val="204"/>
                        </w:trPr>
                        <w:tc>
                          <w:tcPr>
                            <w:tcW w:w="1786" w:type="pct"/>
                            <w:tcBorders>
                              <w:top w:val="nil"/>
                              <w:left w:val="nil"/>
                              <w:bottom w:val="nil"/>
                              <w:right w:val="nil"/>
                            </w:tcBorders>
                            <w:noWrap/>
                            <w:hideMark/>
                          </w:tcPr>
                          <w:p w14:paraId="6866FCE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Depreciation &amp; Amort.</w:t>
                            </w:r>
                          </w:p>
                        </w:tc>
                        <w:tc>
                          <w:tcPr>
                            <w:tcW w:w="534" w:type="pct"/>
                            <w:tcBorders>
                              <w:top w:val="nil"/>
                              <w:left w:val="nil"/>
                              <w:bottom w:val="nil"/>
                              <w:right w:val="nil"/>
                            </w:tcBorders>
                            <w:hideMark/>
                          </w:tcPr>
                          <w:p w14:paraId="5201A48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2.4 </w:t>
                            </w:r>
                          </w:p>
                        </w:tc>
                        <w:tc>
                          <w:tcPr>
                            <w:tcW w:w="534" w:type="pct"/>
                            <w:tcBorders>
                              <w:top w:val="nil"/>
                              <w:left w:val="nil"/>
                              <w:bottom w:val="nil"/>
                              <w:right w:val="nil"/>
                            </w:tcBorders>
                            <w:hideMark/>
                          </w:tcPr>
                          <w:p w14:paraId="2412A59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2.5 </w:t>
                            </w:r>
                          </w:p>
                        </w:tc>
                        <w:tc>
                          <w:tcPr>
                            <w:tcW w:w="545" w:type="pct"/>
                            <w:tcBorders>
                              <w:top w:val="nil"/>
                              <w:left w:val="nil"/>
                              <w:bottom w:val="nil"/>
                              <w:right w:val="nil"/>
                            </w:tcBorders>
                            <w:hideMark/>
                          </w:tcPr>
                          <w:p w14:paraId="7A68638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11C031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1538D41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2.3 </w:t>
                            </w:r>
                          </w:p>
                        </w:tc>
                        <w:tc>
                          <w:tcPr>
                            <w:tcW w:w="533" w:type="pct"/>
                            <w:tcBorders>
                              <w:top w:val="nil"/>
                              <w:left w:val="nil"/>
                              <w:bottom w:val="nil"/>
                              <w:right w:val="nil"/>
                            </w:tcBorders>
                            <w:hideMark/>
                          </w:tcPr>
                          <w:p w14:paraId="402D849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2.2 </w:t>
                            </w:r>
                          </w:p>
                        </w:tc>
                      </w:tr>
                      <w:tr w:rsidR="00BA0542" w:rsidRPr="00BA0542" w14:paraId="7877FFEB" w14:textId="77777777" w:rsidTr="00BA0542">
                        <w:trPr>
                          <w:trHeight w:val="204"/>
                        </w:trPr>
                        <w:tc>
                          <w:tcPr>
                            <w:tcW w:w="1786" w:type="pct"/>
                            <w:tcBorders>
                              <w:top w:val="nil"/>
                              <w:left w:val="nil"/>
                              <w:bottom w:val="nil"/>
                              <w:right w:val="nil"/>
                            </w:tcBorders>
                            <w:noWrap/>
                            <w:hideMark/>
                          </w:tcPr>
                          <w:p w14:paraId="172E8FB5"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Amort. of Goodwill and Intangibles</w:t>
                            </w:r>
                          </w:p>
                        </w:tc>
                        <w:tc>
                          <w:tcPr>
                            <w:tcW w:w="534" w:type="pct"/>
                            <w:tcBorders>
                              <w:top w:val="nil"/>
                              <w:left w:val="nil"/>
                              <w:bottom w:val="nil"/>
                              <w:right w:val="nil"/>
                            </w:tcBorders>
                            <w:hideMark/>
                          </w:tcPr>
                          <w:p w14:paraId="704BDA4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2902F47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45" w:type="pct"/>
                            <w:tcBorders>
                              <w:top w:val="nil"/>
                              <w:left w:val="nil"/>
                              <w:bottom w:val="nil"/>
                              <w:right w:val="nil"/>
                            </w:tcBorders>
                            <w:hideMark/>
                          </w:tcPr>
                          <w:p w14:paraId="71689B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5510E8D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04C12CB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3" w:type="pct"/>
                            <w:tcBorders>
                              <w:top w:val="nil"/>
                              <w:left w:val="nil"/>
                              <w:bottom w:val="nil"/>
                              <w:right w:val="nil"/>
                            </w:tcBorders>
                            <w:hideMark/>
                          </w:tcPr>
                          <w:p w14:paraId="01DC38B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r>
                      <w:tr w:rsidR="00BA0542" w:rsidRPr="00BA0542" w14:paraId="55D32BF6" w14:textId="77777777" w:rsidTr="00BA0542">
                        <w:trPr>
                          <w:trHeight w:val="204"/>
                        </w:trPr>
                        <w:tc>
                          <w:tcPr>
                            <w:tcW w:w="1786" w:type="pct"/>
                            <w:tcBorders>
                              <w:top w:val="nil"/>
                              <w:left w:val="nil"/>
                              <w:bottom w:val="nil"/>
                              <w:right w:val="nil"/>
                            </w:tcBorders>
                            <w:noWrap/>
                            <w:hideMark/>
                          </w:tcPr>
                          <w:p w14:paraId="2EA1D2DC"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Depreciation &amp; Amort., Total</w:t>
                            </w:r>
                          </w:p>
                        </w:tc>
                        <w:tc>
                          <w:tcPr>
                            <w:tcW w:w="534" w:type="pct"/>
                            <w:tcBorders>
                              <w:top w:val="single" w:sz="4" w:space="0" w:color="000000"/>
                              <w:left w:val="nil"/>
                              <w:bottom w:val="nil"/>
                              <w:right w:val="nil"/>
                            </w:tcBorders>
                            <w:hideMark/>
                          </w:tcPr>
                          <w:p w14:paraId="11230F7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2.6 </w:t>
                            </w:r>
                          </w:p>
                        </w:tc>
                        <w:tc>
                          <w:tcPr>
                            <w:tcW w:w="534" w:type="pct"/>
                            <w:tcBorders>
                              <w:top w:val="single" w:sz="4" w:space="0" w:color="000000"/>
                              <w:left w:val="nil"/>
                              <w:bottom w:val="nil"/>
                              <w:right w:val="nil"/>
                            </w:tcBorders>
                            <w:hideMark/>
                          </w:tcPr>
                          <w:p w14:paraId="09156EB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2.8 </w:t>
                            </w:r>
                          </w:p>
                        </w:tc>
                        <w:tc>
                          <w:tcPr>
                            <w:tcW w:w="545" w:type="pct"/>
                            <w:tcBorders>
                              <w:top w:val="single" w:sz="4" w:space="0" w:color="000000"/>
                              <w:left w:val="nil"/>
                              <w:bottom w:val="nil"/>
                              <w:right w:val="nil"/>
                            </w:tcBorders>
                            <w:hideMark/>
                          </w:tcPr>
                          <w:p w14:paraId="164579E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c>
                          <w:tcPr>
                            <w:tcW w:w="534" w:type="pct"/>
                            <w:tcBorders>
                              <w:top w:val="single" w:sz="4" w:space="0" w:color="000000"/>
                              <w:left w:val="nil"/>
                              <w:bottom w:val="nil"/>
                              <w:right w:val="nil"/>
                            </w:tcBorders>
                            <w:hideMark/>
                          </w:tcPr>
                          <w:p w14:paraId="0262BD2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c>
                          <w:tcPr>
                            <w:tcW w:w="534" w:type="pct"/>
                            <w:tcBorders>
                              <w:top w:val="single" w:sz="4" w:space="0" w:color="000000"/>
                              <w:left w:val="nil"/>
                              <w:bottom w:val="nil"/>
                              <w:right w:val="nil"/>
                            </w:tcBorders>
                            <w:hideMark/>
                          </w:tcPr>
                          <w:p w14:paraId="20FF756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c>
                          <w:tcPr>
                            <w:tcW w:w="533" w:type="pct"/>
                            <w:tcBorders>
                              <w:top w:val="single" w:sz="4" w:space="0" w:color="000000"/>
                              <w:left w:val="nil"/>
                              <w:bottom w:val="nil"/>
                              <w:right w:val="nil"/>
                            </w:tcBorders>
                            <w:hideMark/>
                          </w:tcPr>
                          <w:p w14:paraId="0346FFE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r>
                      <w:tr w:rsidR="00BA0542" w:rsidRPr="00BA0542" w14:paraId="77D6EA2B" w14:textId="77777777" w:rsidTr="00BA0542">
                        <w:trPr>
                          <w:trHeight w:val="204"/>
                        </w:trPr>
                        <w:tc>
                          <w:tcPr>
                            <w:tcW w:w="1786" w:type="pct"/>
                            <w:tcBorders>
                              <w:top w:val="nil"/>
                              <w:left w:val="nil"/>
                              <w:bottom w:val="nil"/>
                              <w:right w:val="nil"/>
                            </w:tcBorders>
                            <w:noWrap/>
                            <w:hideMark/>
                          </w:tcPr>
                          <w:p w14:paraId="214A5251"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(Gain) Loss </w:t>
                            </w:r>
                            <w:r w:rsidRPr="00BA0542">
                              <w:rPr>
                                <w:rFonts w:ascii="Cambria'" w:eastAsia="Times New Roman" w:hAnsi="Cambria'" w:cs="Arial"/>
                                <w:color w:val="000000"/>
                                <w:kern w:val="0"/>
                                <w:sz w:val="14"/>
                                <w:szCs w:val="14"/>
                                <w:lang w:eastAsia="en-IN"/>
                                <w14:ligatures w14:val="none"/>
                              </w:rPr>
                              <w:t>From Sale Of Assets</w:t>
                            </w:r>
                          </w:p>
                        </w:tc>
                        <w:tc>
                          <w:tcPr>
                            <w:tcW w:w="534" w:type="pct"/>
                            <w:tcBorders>
                              <w:top w:val="nil"/>
                              <w:left w:val="nil"/>
                              <w:bottom w:val="nil"/>
                              <w:right w:val="nil"/>
                            </w:tcBorders>
                            <w:hideMark/>
                          </w:tcPr>
                          <w:p w14:paraId="3B449EA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5287537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2C9A04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2BAC720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119F5F3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2A14B7A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r>
                      <w:tr w:rsidR="00BA0542" w:rsidRPr="00BA0542" w14:paraId="605B806D" w14:textId="77777777" w:rsidTr="00BA0542">
                        <w:trPr>
                          <w:trHeight w:val="204"/>
                        </w:trPr>
                        <w:tc>
                          <w:tcPr>
                            <w:tcW w:w="1786" w:type="pct"/>
                            <w:tcBorders>
                              <w:top w:val="nil"/>
                              <w:left w:val="nil"/>
                              <w:bottom w:val="nil"/>
                              <w:right w:val="nil"/>
                            </w:tcBorders>
                            <w:noWrap/>
                            <w:hideMark/>
                          </w:tcPr>
                          <w:p w14:paraId="0AE265A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Asset </w:t>
                            </w:r>
                            <w:r w:rsidRPr="00BA0542">
                              <w:rPr>
                                <w:rFonts w:ascii="Cambria'" w:eastAsia="Times New Roman" w:hAnsi="Cambria'" w:cs="Arial"/>
                                <w:color w:val="000000"/>
                                <w:kern w:val="0"/>
                                <w:sz w:val="14"/>
                                <w:szCs w:val="14"/>
                                <w:lang w:eastAsia="en-IN"/>
                                <w14:ligatures w14:val="none"/>
                              </w:rPr>
                              <w:t>Writedown &amp; Restructuring Costs</w:t>
                            </w:r>
                          </w:p>
                        </w:tc>
                        <w:tc>
                          <w:tcPr>
                            <w:tcW w:w="534" w:type="pct"/>
                            <w:tcBorders>
                              <w:top w:val="nil"/>
                              <w:left w:val="nil"/>
                              <w:bottom w:val="nil"/>
                              <w:right w:val="nil"/>
                            </w:tcBorders>
                            <w:hideMark/>
                          </w:tcPr>
                          <w:p w14:paraId="2A62EFE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09AD6F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45" w:type="pct"/>
                            <w:tcBorders>
                              <w:top w:val="nil"/>
                              <w:left w:val="nil"/>
                              <w:bottom w:val="nil"/>
                              <w:right w:val="nil"/>
                            </w:tcBorders>
                            <w:hideMark/>
                          </w:tcPr>
                          <w:p w14:paraId="3F34F42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6D88629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243C6CC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3" w:type="pct"/>
                            <w:tcBorders>
                              <w:top w:val="nil"/>
                              <w:left w:val="nil"/>
                              <w:bottom w:val="nil"/>
                              <w:right w:val="nil"/>
                            </w:tcBorders>
                            <w:hideMark/>
                          </w:tcPr>
                          <w:p w14:paraId="3D25708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r>
                      <w:tr w:rsidR="00BA0542" w:rsidRPr="00BA0542" w14:paraId="1AB8058C" w14:textId="77777777" w:rsidTr="00BA0542">
                        <w:trPr>
                          <w:trHeight w:val="204"/>
                        </w:trPr>
                        <w:tc>
                          <w:tcPr>
                            <w:tcW w:w="1786" w:type="pct"/>
                            <w:tcBorders>
                              <w:top w:val="nil"/>
                              <w:left w:val="nil"/>
                              <w:bottom w:val="nil"/>
                              <w:right w:val="nil"/>
                            </w:tcBorders>
                            <w:noWrap/>
                            <w:hideMark/>
                          </w:tcPr>
                          <w:p w14:paraId="315AC01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Net (Increase)/Decrease in Loans Orig/Sold</w:t>
                            </w:r>
                          </w:p>
                        </w:tc>
                        <w:tc>
                          <w:tcPr>
                            <w:tcW w:w="534" w:type="pct"/>
                            <w:tcBorders>
                              <w:top w:val="nil"/>
                              <w:left w:val="nil"/>
                              <w:bottom w:val="nil"/>
                              <w:right w:val="nil"/>
                            </w:tcBorders>
                            <w:hideMark/>
                          </w:tcPr>
                          <w:p w14:paraId="018750A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F2DCF8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5B7FB5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4D6E688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FAC712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357D15B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7542C2E7" w14:textId="77777777" w:rsidTr="00BA0542">
                        <w:trPr>
                          <w:trHeight w:val="204"/>
                        </w:trPr>
                        <w:tc>
                          <w:tcPr>
                            <w:tcW w:w="1786" w:type="pct"/>
                            <w:tcBorders>
                              <w:top w:val="nil"/>
                              <w:left w:val="nil"/>
                              <w:bottom w:val="nil"/>
                              <w:right w:val="nil"/>
                            </w:tcBorders>
                            <w:noWrap/>
                            <w:hideMark/>
                          </w:tcPr>
                          <w:p w14:paraId="20B99870"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(Income) Loss on Equity Invest.</w:t>
                            </w:r>
                          </w:p>
                        </w:tc>
                        <w:tc>
                          <w:tcPr>
                            <w:tcW w:w="534" w:type="pct"/>
                            <w:tcBorders>
                              <w:top w:val="nil"/>
                              <w:left w:val="nil"/>
                              <w:bottom w:val="nil"/>
                              <w:right w:val="nil"/>
                            </w:tcBorders>
                            <w:hideMark/>
                          </w:tcPr>
                          <w:p w14:paraId="0B19CC9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77CA96C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3206DC3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4C3AB29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02E26D2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3" w:type="pct"/>
                            <w:tcBorders>
                              <w:top w:val="nil"/>
                              <w:left w:val="nil"/>
                              <w:bottom w:val="nil"/>
                              <w:right w:val="nil"/>
                            </w:tcBorders>
                            <w:hideMark/>
                          </w:tcPr>
                          <w:p w14:paraId="4382354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4C20B2B0" w14:textId="77777777" w:rsidTr="00BA0542">
                        <w:trPr>
                          <w:trHeight w:val="204"/>
                        </w:trPr>
                        <w:tc>
                          <w:tcPr>
                            <w:tcW w:w="1786" w:type="pct"/>
                            <w:tcBorders>
                              <w:top w:val="nil"/>
                              <w:left w:val="nil"/>
                              <w:bottom w:val="nil"/>
                              <w:right w:val="nil"/>
                            </w:tcBorders>
                            <w:noWrap/>
                            <w:hideMark/>
                          </w:tcPr>
                          <w:p w14:paraId="1D3C0E2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Net Cash From Discontinued Ops.</w:t>
                            </w:r>
                          </w:p>
                        </w:tc>
                        <w:tc>
                          <w:tcPr>
                            <w:tcW w:w="534" w:type="pct"/>
                            <w:tcBorders>
                              <w:top w:val="nil"/>
                              <w:left w:val="nil"/>
                              <w:bottom w:val="nil"/>
                              <w:right w:val="nil"/>
                            </w:tcBorders>
                            <w:hideMark/>
                          </w:tcPr>
                          <w:p w14:paraId="23F7E04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77641C7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56A6150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3C81356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43EAD9C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3" w:type="pct"/>
                            <w:tcBorders>
                              <w:top w:val="nil"/>
                              <w:left w:val="nil"/>
                              <w:bottom w:val="nil"/>
                              <w:right w:val="nil"/>
                            </w:tcBorders>
                            <w:hideMark/>
                          </w:tcPr>
                          <w:p w14:paraId="23B0AE7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0A96B7AD" w14:textId="77777777" w:rsidTr="00BA0542">
                        <w:trPr>
                          <w:trHeight w:val="204"/>
                        </w:trPr>
                        <w:tc>
                          <w:tcPr>
                            <w:tcW w:w="1786" w:type="pct"/>
                            <w:tcBorders>
                              <w:top w:val="nil"/>
                              <w:left w:val="nil"/>
                              <w:bottom w:val="nil"/>
                              <w:right w:val="nil"/>
                            </w:tcBorders>
                            <w:noWrap/>
                            <w:hideMark/>
                          </w:tcPr>
                          <w:p w14:paraId="1D73E60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Operating Activities</w:t>
                            </w:r>
                          </w:p>
                        </w:tc>
                        <w:tc>
                          <w:tcPr>
                            <w:tcW w:w="534" w:type="pct"/>
                            <w:tcBorders>
                              <w:top w:val="nil"/>
                              <w:left w:val="nil"/>
                              <w:bottom w:val="nil"/>
                              <w:right w:val="nil"/>
                            </w:tcBorders>
                            <w:hideMark/>
                          </w:tcPr>
                          <w:p w14:paraId="024C571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4" w:type="pct"/>
                            <w:tcBorders>
                              <w:top w:val="nil"/>
                              <w:left w:val="nil"/>
                              <w:bottom w:val="nil"/>
                              <w:right w:val="nil"/>
                            </w:tcBorders>
                            <w:hideMark/>
                          </w:tcPr>
                          <w:p w14:paraId="45B5B7D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45" w:type="pct"/>
                            <w:tcBorders>
                              <w:top w:val="nil"/>
                              <w:left w:val="nil"/>
                              <w:bottom w:val="nil"/>
                              <w:right w:val="nil"/>
                            </w:tcBorders>
                            <w:hideMark/>
                          </w:tcPr>
                          <w:p w14:paraId="675A8C9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7CFA93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149C47B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4A7877B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4DBE579A" w14:textId="77777777" w:rsidTr="00BA0542">
                        <w:trPr>
                          <w:trHeight w:val="204"/>
                        </w:trPr>
                        <w:tc>
                          <w:tcPr>
                            <w:tcW w:w="1786" w:type="pct"/>
                            <w:tcBorders>
                              <w:top w:val="nil"/>
                              <w:left w:val="nil"/>
                              <w:bottom w:val="nil"/>
                              <w:right w:val="nil"/>
                            </w:tcBorders>
                            <w:noWrap/>
                            <w:hideMark/>
                          </w:tcPr>
                          <w:p w14:paraId="531120C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Acc. Receivable</w:t>
                            </w:r>
                          </w:p>
                        </w:tc>
                        <w:tc>
                          <w:tcPr>
                            <w:tcW w:w="534" w:type="pct"/>
                            <w:tcBorders>
                              <w:top w:val="nil"/>
                              <w:left w:val="nil"/>
                              <w:bottom w:val="nil"/>
                              <w:right w:val="nil"/>
                            </w:tcBorders>
                            <w:hideMark/>
                          </w:tcPr>
                          <w:p w14:paraId="5323E76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23707A1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2D077B0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3076C6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1ED6490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3" w:type="pct"/>
                            <w:tcBorders>
                              <w:top w:val="nil"/>
                              <w:left w:val="nil"/>
                              <w:bottom w:val="nil"/>
                              <w:right w:val="nil"/>
                            </w:tcBorders>
                            <w:hideMark/>
                          </w:tcPr>
                          <w:p w14:paraId="1DBBEE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530A0FF8" w14:textId="77777777" w:rsidTr="00BA0542">
                        <w:trPr>
                          <w:trHeight w:val="204"/>
                        </w:trPr>
                        <w:tc>
                          <w:tcPr>
                            <w:tcW w:w="1786" w:type="pct"/>
                            <w:tcBorders>
                              <w:top w:val="nil"/>
                              <w:left w:val="nil"/>
                              <w:bottom w:val="nil"/>
                              <w:right w:val="nil"/>
                            </w:tcBorders>
                            <w:noWrap/>
                            <w:hideMark/>
                          </w:tcPr>
                          <w:p w14:paraId="1A3382DE"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Inventories</w:t>
                            </w:r>
                          </w:p>
                        </w:tc>
                        <w:tc>
                          <w:tcPr>
                            <w:tcW w:w="534" w:type="pct"/>
                            <w:tcBorders>
                              <w:top w:val="nil"/>
                              <w:left w:val="nil"/>
                              <w:bottom w:val="nil"/>
                              <w:right w:val="nil"/>
                            </w:tcBorders>
                            <w:hideMark/>
                          </w:tcPr>
                          <w:p w14:paraId="453042E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783AA5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412A2F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A6D63A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c>
                          <w:tcPr>
                            <w:tcW w:w="534" w:type="pct"/>
                            <w:tcBorders>
                              <w:top w:val="nil"/>
                              <w:left w:val="nil"/>
                              <w:bottom w:val="nil"/>
                              <w:right w:val="nil"/>
                            </w:tcBorders>
                            <w:hideMark/>
                          </w:tcPr>
                          <w:p w14:paraId="21948D7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5B0467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044772F7" w14:textId="77777777" w:rsidTr="00BA0542">
                        <w:trPr>
                          <w:trHeight w:val="204"/>
                        </w:trPr>
                        <w:tc>
                          <w:tcPr>
                            <w:tcW w:w="1786" w:type="pct"/>
                            <w:tcBorders>
                              <w:top w:val="nil"/>
                              <w:left w:val="nil"/>
                              <w:bottom w:val="nil"/>
                              <w:right w:val="nil"/>
                            </w:tcBorders>
                            <w:noWrap/>
                            <w:hideMark/>
                          </w:tcPr>
                          <w:p w14:paraId="441378CE"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Acc. Payable</w:t>
                            </w:r>
                          </w:p>
                        </w:tc>
                        <w:tc>
                          <w:tcPr>
                            <w:tcW w:w="534" w:type="pct"/>
                            <w:tcBorders>
                              <w:top w:val="nil"/>
                              <w:left w:val="nil"/>
                              <w:bottom w:val="nil"/>
                              <w:right w:val="nil"/>
                            </w:tcBorders>
                            <w:hideMark/>
                          </w:tcPr>
                          <w:p w14:paraId="3A0E5D4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1.0 </w:t>
                            </w:r>
                          </w:p>
                        </w:tc>
                        <w:tc>
                          <w:tcPr>
                            <w:tcW w:w="534" w:type="pct"/>
                            <w:tcBorders>
                              <w:top w:val="nil"/>
                              <w:left w:val="nil"/>
                              <w:bottom w:val="nil"/>
                              <w:right w:val="nil"/>
                            </w:tcBorders>
                            <w:hideMark/>
                          </w:tcPr>
                          <w:p w14:paraId="541CB8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6CEA1B5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C2799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1.1 </w:t>
                            </w:r>
                          </w:p>
                        </w:tc>
                        <w:tc>
                          <w:tcPr>
                            <w:tcW w:w="534" w:type="pct"/>
                            <w:tcBorders>
                              <w:top w:val="nil"/>
                              <w:left w:val="nil"/>
                              <w:bottom w:val="nil"/>
                              <w:right w:val="nil"/>
                            </w:tcBorders>
                            <w:hideMark/>
                          </w:tcPr>
                          <w:p w14:paraId="46271CE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c>
                          <w:tcPr>
                            <w:tcW w:w="533" w:type="pct"/>
                            <w:tcBorders>
                              <w:top w:val="nil"/>
                              <w:left w:val="nil"/>
                              <w:bottom w:val="nil"/>
                              <w:right w:val="nil"/>
                            </w:tcBorders>
                            <w:hideMark/>
                          </w:tcPr>
                          <w:p w14:paraId="658D998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r>
                      <w:tr w:rsidR="00BA0542" w:rsidRPr="00BA0542" w14:paraId="42075D37" w14:textId="77777777" w:rsidTr="00BA0542">
                        <w:trPr>
                          <w:trHeight w:val="204"/>
                        </w:trPr>
                        <w:tc>
                          <w:tcPr>
                            <w:tcW w:w="1786" w:type="pct"/>
                            <w:tcBorders>
                              <w:top w:val="nil"/>
                              <w:left w:val="nil"/>
                              <w:bottom w:val="nil"/>
                              <w:right w:val="nil"/>
                            </w:tcBorders>
                            <w:noWrap/>
                            <w:hideMark/>
                          </w:tcPr>
                          <w:p w14:paraId="4412139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Change in Other Net Operating Assets</w:t>
                            </w:r>
                          </w:p>
                        </w:tc>
                        <w:tc>
                          <w:tcPr>
                            <w:tcW w:w="534" w:type="pct"/>
                            <w:tcBorders>
                              <w:top w:val="nil"/>
                              <w:left w:val="nil"/>
                              <w:bottom w:val="nil"/>
                              <w:right w:val="nil"/>
                            </w:tcBorders>
                            <w:hideMark/>
                          </w:tcPr>
                          <w:p w14:paraId="0485977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4" w:type="pct"/>
                            <w:tcBorders>
                              <w:top w:val="nil"/>
                              <w:left w:val="nil"/>
                              <w:bottom w:val="nil"/>
                              <w:right w:val="nil"/>
                            </w:tcBorders>
                            <w:hideMark/>
                          </w:tcPr>
                          <w:p w14:paraId="1410786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45" w:type="pct"/>
                            <w:tcBorders>
                              <w:top w:val="nil"/>
                              <w:left w:val="nil"/>
                              <w:bottom w:val="nil"/>
                              <w:right w:val="nil"/>
                            </w:tcBorders>
                            <w:hideMark/>
                          </w:tcPr>
                          <w:p w14:paraId="56E744B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0144A0D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40DA0E1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3" w:type="pct"/>
                            <w:tcBorders>
                              <w:top w:val="nil"/>
                              <w:left w:val="nil"/>
                              <w:bottom w:val="nil"/>
                              <w:right w:val="nil"/>
                            </w:tcBorders>
                            <w:hideMark/>
                          </w:tcPr>
                          <w:p w14:paraId="085BBA5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4DE99D3D" w14:textId="77777777" w:rsidTr="00BA0542">
                        <w:trPr>
                          <w:trHeight w:val="204"/>
                        </w:trPr>
                        <w:tc>
                          <w:tcPr>
                            <w:tcW w:w="1786" w:type="pct"/>
                            <w:tcBorders>
                              <w:top w:val="nil"/>
                              <w:left w:val="nil"/>
                              <w:bottom w:val="nil"/>
                              <w:right w:val="nil"/>
                            </w:tcBorders>
                            <w:noWrap/>
                            <w:hideMark/>
                          </w:tcPr>
                          <w:p w14:paraId="2F8FCBC4"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Ops.</w:t>
                            </w:r>
                          </w:p>
                        </w:tc>
                        <w:tc>
                          <w:tcPr>
                            <w:tcW w:w="534" w:type="pct"/>
                            <w:tcBorders>
                              <w:top w:val="single" w:sz="4" w:space="0" w:color="000000"/>
                              <w:left w:val="nil"/>
                              <w:bottom w:val="nil"/>
                              <w:right w:val="nil"/>
                            </w:tcBorders>
                            <w:hideMark/>
                          </w:tcPr>
                          <w:p w14:paraId="3A88EE4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3.6 </w:t>
                            </w:r>
                          </w:p>
                        </w:tc>
                        <w:tc>
                          <w:tcPr>
                            <w:tcW w:w="534" w:type="pct"/>
                            <w:tcBorders>
                              <w:top w:val="single" w:sz="4" w:space="0" w:color="000000"/>
                              <w:left w:val="nil"/>
                              <w:bottom w:val="nil"/>
                              <w:right w:val="nil"/>
                            </w:tcBorders>
                            <w:hideMark/>
                          </w:tcPr>
                          <w:p w14:paraId="322AE07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4.2 </w:t>
                            </w:r>
                          </w:p>
                        </w:tc>
                        <w:tc>
                          <w:tcPr>
                            <w:tcW w:w="545" w:type="pct"/>
                            <w:tcBorders>
                              <w:top w:val="single" w:sz="4" w:space="0" w:color="000000"/>
                              <w:left w:val="nil"/>
                              <w:bottom w:val="nil"/>
                              <w:right w:val="nil"/>
                            </w:tcBorders>
                            <w:hideMark/>
                          </w:tcPr>
                          <w:p w14:paraId="31F2A6B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4.2 </w:t>
                            </w:r>
                          </w:p>
                        </w:tc>
                        <w:tc>
                          <w:tcPr>
                            <w:tcW w:w="534" w:type="pct"/>
                            <w:tcBorders>
                              <w:top w:val="single" w:sz="4" w:space="0" w:color="000000"/>
                              <w:left w:val="nil"/>
                              <w:bottom w:val="nil"/>
                              <w:right w:val="nil"/>
                            </w:tcBorders>
                            <w:hideMark/>
                          </w:tcPr>
                          <w:p w14:paraId="44F2F175"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4.5 </w:t>
                            </w:r>
                          </w:p>
                        </w:tc>
                        <w:tc>
                          <w:tcPr>
                            <w:tcW w:w="534" w:type="pct"/>
                            <w:tcBorders>
                              <w:top w:val="single" w:sz="4" w:space="0" w:color="000000"/>
                              <w:left w:val="nil"/>
                              <w:bottom w:val="nil"/>
                              <w:right w:val="nil"/>
                            </w:tcBorders>
                            <w:hideMark/>
                          </w:tcPr>
                          <w:p w14:paraId="3725DEB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5.1 </w:t>
                            </w:r>
                          </w:p>
                        </w:tc>
                        <w:tc>
                          <w:tcPr>
                            <w:tcW w:w="533" w:type="pct"/>
                            <w:tcBorders>
                              <w:top w:val="single" w:sz="4" w:space="0" w:color="000000"/>
                              <w:left w:val="nil"/>
                              <w:bottom w:val="nil"/>
                              <w:right w:val="nil"/>
                            </w:tcBorders>
                            <w:hideMark/>
                          </w:tcPr>
                          <w:p w14:paraId="42DDB15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4.3 </w:t>
                            </w:r>
                          </w:p>
                        </w:tc>
                      </w:tr>
                      <w:tr w:rsidR="00BA0542" w:rsidRPr="00BA0542" w14:paraId="407D5CC3" w14:textId="77777777" w:rsidTr="00BA0542">
                        <w:trPr>
                          <w:trHeight w:val="204"/>
                        </w:trPr>
                        <w:tc>
                          <w:tcPr>
                            <w:tcW w:w="1786" w:type="pct"/>
                            <w:tcBorders>
                              <w:top w:val="nil"/>
                              <w:left w:val="nil"/>
                              <w:bottom w:val="nil"/>
                              <w:right w:val="nil"/>
                            </w:tcBorders>
                            <w:noWrap/>
                            <w:hideMark/>
                          </w:tcPr>
                          <w:p w14:paraId="16421B4F"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Capital Expenditure</w:t>
                            </w:r>
                          </w:p>
                        </w:tc>
                        <w:tc>
                          <w:tcPr>
                            <w:tcW w:w="534" w:type="pct"/>
                            <w:tcBorders>
                              <w:top w:val="nil"/>
                              <w:left w:val="nil"/>
                              <w:bottom w:val="nil"/>
                              <w:right w:val="nil"/>
                            </w:tcBorders>
                            <w:hideMark/>
                          </w:tcPr>
                          <w:p w14:paraId="011E59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(1.9)  </w:t>
                            </w:r>
                          </w:p>
                        </w:tc>
                        <w:tc>
                          <w:tcPr>
                            <w:tcW w:w="534" w:type="pct"/>
                            <w:tcBorders>
                              <w:top w:val="nil"/>
                              <w:left w:val="nil"/>
                              <w:bottom w:val="nil"/>
                              <w:right w:val="nil"/>
                            </w:tcBorders>
                            <w:hideMark/>
                          </w:tcPr>
                          <w:p w14:paraId="0461243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c>
                          <w:tcPr>
                            <w:tcW w:w="545" w:type="pct"/>
                            <w:tcBorders>
                              <w:top w:val="nil"/>
                              <w:left w:val="nil"/>
                              <w:bottom w:val="nil"/>
                              <w:right w:val="nil"/>
                            </w:tcBorders>
                            <w:hideMark/>
                          </w:tcPr>
                          <w:p w14:paraId="1DB8458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c>
                          <w:tcPr>
                            <w:tcW w:w="534" w:type="pct"/>
                            <w:tcBorders>
                              <w:top w:val="nil"/>
                              <w:left w:val="nil"/>
                              <w:bottom w:val="nil"/>
                              <w:right w:val="nil"/>
                            </w:tcBorders>
                            <w:hideMark/>
                          </w:tcPr>
                          <w:p w14:paraId="41510E3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4" w:type="pct"/>
                            <w:tcBorders>
                              <w:top w:val="nil"/>
                              <w:left w:val="nil"/>
                              <w:bottom w:val="nil"/>
                              <w:right w:val="nil"/>
                            </w:tcBorders>
                            <w:hideMark/>
                          </w:tcPr>
                          <w:p w14:paraId="5D9A51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3" w:type="pct"/>
                            <w:tcBorders>
                              <w:top w:val="nil"/>
                              <w:left w:val="nil"/>
                              <w:bottom w:val="nil"/>
                              <w:right w:val="nil"/>
                            </w:tcBorders>
                            <w:hideMark/>
                          </w:tcPr>
                          <w:p w14:paraId="0440AEC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(1.8)  </w:t>
                            </w:r>
                          </w:p>
                        </w:tc>
                      </w:tr>
                      <w:tr w:rsidR="00BA0542" w:rsidRPr="00BA0542" w14:paraId="0D38EB9F" w14:textId="77777777" w:rsidTr="00BA0542">
                        <w:trPr>
                          <w:trHeight w:val="204"/>
                        </w:trPr>
                        <w:tc>
                          <w:tcPr>
                            <w:tcW w:w="1786" w:type="pct"/>
                            <w:tcBorders>
                              <w:top w:val="nil"/>
                              <w:left w:val="nil"/>
                              <w:bottom w:val="nil"/>
                              <w:right w:val="nil"/>
                            </w:tcBorders>
                            <w:noWrap/>
                            <w:hideMark/>
                          </w:tcPr>
                          <w:p w14:paraId="245C6A3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Sale of Property, Plant, and Equipment</w:t>
                            </w:r>
                          </w:p>
                        </w:tc>
                        <w:tc>
                          <w:tcPr>
                            <w:tcW w:w="534" w:type="pct"/>
                            <w:tcBorders>
                              <w:top w:val="nil"/>
                              <w:left w:val="nil"/>
                              <w:bottom w:val="nil"/>
                              <w:right w:val="nil"/>
                            </w:tcBorders>
                            <w:hideMark/>
                          </w:tcPr>
                          <w:p w14:paraId="0863EE3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7CB58D5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45" w:type="pct"/>
                            <w:tcBorders>
                              <w:top w:val="nil"/>
                              <w:left w:val="nil"/>
                              <w:bottom w:val="nil"/>
                              <w:right w:val="nil"/>
                            </w:tcBorders>
                            <w:hideMark/>
                          </w:tcPr>
                          <w:p w14:paraId="5BFC1DA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720A111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73E8A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3" w:type="pct"/>
                            <w:tcBorders>
                              <w:top w:val="nil"/>
                              <w:left w:val="nil"/>
                              <w:bottom w:val="nil"/>
                              <w:right w:val="nil"/>
                            </w:tcBorders>
                            <w:hideMark/>
                          </w:tcPr>
                          <w:p w14:paraId="0554471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r>
                      <w:tr w:rsidR="00BA0542" w:rsidRPr="00BA0542" w14:paraId="7D0A5FC9" w14:textId="77777777" w:rsidTr="00BA0542">
                        <w:trPr>
                          <w:trHeight w:val="204"/>
                        </w:trPr>
                        <w:tc>
                          <w:tcPr>
                            <w:tcW w:w="1786" w:type="pct"/>
                            <w:tcBorders>
                              <w:top w:val="nil"/>
                              <w:left w:val="nil"/>
                              <w:bottom w:val="nil"/>
                              <w:right w:val="nil"/>
                            </w:tcBorders>
                            <w:noWrap/>
                            <w:hideMark/>
                          </w:tcPr>
                          <w:p w14:paraId="5BB3DC32"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Cash Acquisitions</w:t>
                            </w:r>
                          </w:p>
                        </w:tc>
                        <w:tc>
                          <w:tcPr>
                            <w:tcW w:w="534" w:type="pct"/>
                            <w:tcBorders>
                              <w:top w:val="nil"/>
                              <w:left w:val="nil"/>
                              <w:bottom w:val="nil"/>
                              <w:right w:val="nil"/>
                            </w:tcBorders>
                            <w:hideMark/>
                          </w:tcPr>
                          <w:p w14:paraId="1E13552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6B6EE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45" w:type="pct"/>
                            <w:tcBorders>
                              <w:top w:val="nil"/>
                              <w:left w:val="nil"/>
                              <w:bottom w:val="nil"/>
                              <w:right w:val="nil"/>
                            </w:tcBorders>
                            <w:hideMark/>
                          </w:tcPr>
                          <w:p w14:paraId="12E567A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05C5160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(1.0)  </w:t>
                            </w:r>
                          </w:p>
                        </w:tc>
                        <w:tc>
                          <w:tcPr>
                            <w:tcW w:w="534" w:type="pct"/>
                            <w:tcBorders>
                              <w:top w:val="nil"/>
                              <w:left w:val="nil"/>
                              <w:bottom w:val="nil"/>
                              <w:right w:val="nil"/>
                            </w:tcBorders>
                            <w:hideMark/>
                          </w:tcPr>
                          <w:p w14:paraId="74EBE20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184A7F8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(1.4)  </w:t>
                            </w:r>
                          </w:p>
                        </w:tc>
                      </w:tr>
                      <w:tr w:rsidR="00BA0542" w:rsidRPr="00BA0542" w14:paraId="546E48ED" w14:textId="77777777" w:rsidTr="00BA0542">
                        <w:trPr>
                          <w:trHeight w:val="204"/>
                        </w:trPr>
                        <w:tc>
                          <w:tcPr>
                            <w:tcW w:w="1786" w:type="pct"/>
                            <w:tcBorders>
                              <w:top w:val="nil"/>
                              <w:left w:val="nil"/>
                              <w:bottom w:val="nil"/>
                              <w:right w:val="nil"/>
                            </w:tcBorders>
                            <w:noWrap/>
                            <w:hideMark/>
                          </w:tcPr>
                          <w:p w14:paraId="12099FC1"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Divestitures</w:t>
                            </w:r>
                          </w:p>
                        </w:tc>
                        <w:tc>
                          <w:tcPr>
                            <w:tcW w:w="534" w:type="pct"/>
                            <w:tcBorders>
                              <w:top w:val="nil"/>
                              <w:left w:val="nil"/>
                              <w:bottom w:val="nil"/>
                              <w:right w:val="nil"/>
                            </w:tcBorders>
                            <w:hideMark/>
                          </w:tcPr>
                          <w:p w14:paraId="16425A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0AA219F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45" w:type="pct"/>
                            <w:tcBorders>
                              <w:top w:val="nil"/>
                              <w:left w:val="nil"/>
                              <w:bottom w:val="nil"/>
                              <w:right w:val="nil"/>
                            </w:tcBorders>
                            <w:hideMark/>
                          </w:tcPr>
                          <w:p w14:paraId="07CB6BC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21F38B7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173A0E9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1.2 </w:t>
                            </w:r>
                          </w:p>
                        </w:tc>
                        <w:tc>
                          <w:tcPr>
                            <w:tcW w:w="533" w:type="pct"/>
                            <w:tcBorders>
                              <w:top w:val="nil"/>
                              <w:left w:val="nil"/>
                              <w:bottom w:val="nil"/>
                              <w:right w:val="nil"/>
                            </w:tcBorders>
                            <w:hideMark/>
                          </w:tcPr>
                          <w:p w14:paraId="294EF08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r>
                      <w:tr w:rsidR="00BA0542" w:rsidRPr="00BA0542" w14:paraId="05B01F84" w14:textId="77777777" w:rsidTr="00BA0542">
                        <w:trPr>
                          <w:trHeight w:val="204"/>
                        </w:trPr>
                        <w:tc>
                          <w:tcPr>
                            <w:tcW w:w="1786" w:type="pct"/>
                            <w:tcBorders>
                              <w:top w:val="nil"/>
                              <w:left w:val="nil"/>
                              <w:bottom w:val="nil"/>
                              <w:right w:val="nil"/>
                            </w:tcBorders>
                            <w:noWrap/>
                            <w:hideMark/>
                          </w:tcPr>
                          <w:p w14:paraId="25F09CCB"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Invest. in Marketable &amp; Equity Securt.</w:t>
                            </w:r>
                          </w:p>
                        </w:tc>
                        <w:tc>
                          <w:tcPr>
                            <w:tcW w:w="534" w:type="pct"/>
                            <w:tcBorders>
                              <w:top w:val="nil"/>
                              <w:left w:val="nil"/>
                              <w:bottom w:val="nil"/>
                              <w:right w:val="nil"/>
                            </w:tcBorders>
                            <w:hideMark/>
                          </w:tcPr>
                          <w:p w14:paraId="1ABBD2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32840EF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45" w:type="pct"/>
                            <w:tcBorders>
                              <w:top w:val="nil"/>
                              <w:left w:val="nil"/>
                              <w:bottom w:val="nil"/>
                              <w:right w:val="nil"/>
                            </w:tcBorders>
                            <w:hideMark/>
                          </w:tcPr>
                          <w:p w14:paraId="0F3EE72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7B35CF2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5A59EAA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3" w:type="pct"/>
                            <w:tcBorders>
                              <w:top w:val="nil"/>
                              <w:left w:val="nil"/>
                              <w:bottom w:val="nil"/>
                              <w:right w:val="nil"/>
                            </w:tcBorders>
                            <w:hideMark/>
                          </w:tcPr>
                          <w:p w14:paraId="468C0BD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r>
                      <w:tr w:rsidR="00BA0542" w:rsidRPr="00BA0542" w14:paraId="7E366E77" w14:textId="77777777" w:rsidTr="00BA0542">
                        <w:trPr>
                          <w:trHeight w:val="204"/>
                        </w:trPr>
                        <w:tc>
                          <w:tcPr>
                            <w:tcW w:w="1786" w:type="pct"/>
                            <w:tcBorders>
                              <w:top w:val="nil"/>
                              <w:left w:val="nil"/>
                              <w:bottom w:val="nil"/>
                              <w:right w:val="nil"/>
                            </w:tcBorders>
                            <w:noWrap/>
                            <w:hideMark/>
                          </w:tcPr>
                          <w:p w14:paraId="50B5B29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Investing Activities</w:t>
                            </w:r>
                          </w:p>
                        </w:tc>
                        <w:tc>
                          <w:tcPr>
                            <w:tcW w:w="534" w:type="pct"/>
                            <w:tcBorders>
                              <w:top w:val="nil"/>
                              <w:left w:val="nil"/>
                              <w:bottom w:val="nil"/>
                              <w:right w:val="nil"/>
                            </w:tcBorders>
                            <w:hideMark/>
                          </w:tcPr>
                          <w:p w14:paraId="6591281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0.0 </w:t>
                            </w:r>
                          </w:p>
                        </w:tc>
                        <w:tc>
                          <w:tcPr>
                            <w:tcW w:w="534" w:type="pct"/>
                            <w:tcBorders>
                              <w:top w:val="nil"/>
                              <w:left w:val="nil"/>
                              <w:bottom w:val="nil"/>
                              <w:right w:val="nil"/>
                            </w:tcBorders>
                            <w:hideMark/>
                          </w:tcPr>
                          <w:p w14:paraId="0CBAEC8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45" w:type="pct"/>
                            <w:tcBorders>
                              <w:top w:val="nil"/>
                              <w:left w:val="nil"/>
                              <w:bottom w:val="nil"/>
                              <w:right w:val="nil"/>
                            </w:tcBorders>
                            <w:hideMark/>
                          </w:tcPr>
                          <w:p w14:paraId="7A1063B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61CE1C3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c>
                          <w:tcPr>
                            <w:tcW w:w="534" w:type="pct"/>
                            <w:tcBorders>
                              <w:top w:val="nil"/>
                              <w:left w:val="nil"/>
                              <w:bottom w:val="nil"/>
                              <w:right w:val="nil"/>
                            </w:tcBorders>
                            <w:hideMark/>
                          </w:tcPr>
                          <w:p w14:paraId="3B1CBDB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33" w:type="pct"/>
                            <w:tcBorders>
                              <w:top w:val="nil"/>
                              <w:left w:val="nil"/>
                              <w:bottom w:val="nil"/>
                              <w:right w:val="nil"/>
                            </w:tcBorders>
                            <w:hideMark/>
                          </w:tcPr>
                          <w:p w14:paraId="58A6487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22D87929" w14:textId="77777777" w:rsidTr="00BA0542">
                        <w:trPr>
                          <w:trHeight w:val="204"/>
                        </w:trPr>
                        <w:tc>
                          <w:tcPr>
                            <w:tcW w:w="1786" w:type="pct"/>
                            <w:tcBorders>
                              <w:top w:val="nil"/>
                              <w:left w:val="nil"/>
                              <w:bottom w:val="nil"/>
                              <w:right w:val="nil"/>
                            </w:tcBorders>
                            <w:noWrap/>
                            <w:hideMark/>
                          </w:tcPr>
                          <w:p w14:paraId="0938D3C1"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Investing</w:t>
                            </w:r>
                          </w:p>
                        </w:tc>
                        <w:tc>
                          <w:tcPr>
                            <w:tcW w:w="534" w:type="pct"/>
                            <w:tcBorders>
                              <w:top w:val="single" w:sz="4" w:space="0" w:color="000000"/>
                              <w:left w:val="nil"/>
                              <w:bottom w:val="nil"/>
                              <w:right w:val="nil"/>
                            </w:tcBorders>
                            <w:hideMark/>
                          </w:tcPr>
                          <w:p w14:paraId="642044C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(1.1)  </w:t>
                            </w:r>
                          </w:p>
                        </w:tc>
                        <w:tc>
                          <w:tcPr>
                            <w:tcW w:w="534" w:type="pct"/>
                            <w:tcBorders>
                              <w:top w:val="single" w:sz="4" w:space="0" w:color="000000"/>
                              <w:left w:val="nil"/>
                              <w:bottom w:val="nil"/>
                              <w:right w:val="nil"/>
                            </w:tcBorders>
                            <w:hideMark/>
                          </w:tcPr>
                          <w:p w14:paraId="44FBE3A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45" w:type="pct"/>
                            <w:tcBorders>
                              <w:top w:val="single" w:sz="4" w:space="0" w:color="000000"/>
                              <w:left w:val="nil"/>
                              <w:bottom w:val="nil"/>
                              <w:right w:val="nil"/>
                            </w:tcBorders>
                            <w:hideMark/>
                          </w:tcPr>
                          <w:p w14:paraId="0E58870F"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(1.5)  </w:t>
                            </w:r>
                          </w:p>
                        </w:tc>
                        <w:tc>
                          <w:tcPr>
                            <w:tcW w:w="534" w:type="pct"/>
                            <w:tcBorders>
                              <w:top w:val="single" w:sz="4" w:space="0" w:color="000000"/>
                              <w:left w:val="nil"/>
                              <w:bottom w:val="nil"/>
                              <w:right w:val="nil"/>
                            </w:tcBorders>
                            <w:hideMark/>
                          </w:tcPr>
                          <w:p w14:paraId="75420FA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34" w:type="pct"/>
                            <w:tcBorders>
                              <w:top w:val="single" w:sz="4" w:space="0" w:color="000000"/>
                              <w:left w:val="nil"/>
                              <w:bottom w:val="nil"/>
                              <w:right w:val="nil"/>
                            </w:tcBorders>
                            <w:hideMark/>
                          </w:tcPr>
                          <w:p w14:paraId="02608020"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(0.8)  </w:t>
                            </w:r>
                          </w:p>
                        </w:tc>
                        <w:tc>
                          <w:tcPr>
                            <w:tcW w:w="533" w:type="pct"/>
                            <w:tcBorders>
                              <w:top w:val="single" w:sz="4" w:space="0" w:color="000000"/>
                              <w:left w:val="nil"/>
                              <w:bottom w:val="nil"/>
                              <w:right w:val="nil"/>
                            </w:tcBorders>
                            <w:hideMark/>
                          </w:tcPr>
                          <w:p w14:paraId="4B1FED1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(2.5)  </w:t>
                            </w:r>
                          </w:p>
                        </w:tc>
                      </w:tr>
                      <w:tr w:rsidR="00BA0542" w:rsidRPr="00BA0542" w14:paraId="559001AA" w14:textId="77777777" w:rsidTr="00BA0542">
                        <w:trPr>
                          <w:trHeight w:val="204"/>
                        </w:trPr>
                        <w:tc>
                          <w:tcPr>
                            <w:tcW w:w="1786" w:type="pct"/>
                            <w:tcBorders>
                              <w:top w:val="nil"/>
                              <w:left w:val="nil"/>
                              <w:bottom w:val="nil"/>
                              <w:right w:val="nil"/>
                            </w:tcBorders>
                            <w:noWrap/>
                            <w:hideMark/>
                          </w:tcPr>
                          <w:p w14:paraId="65ACDB8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Long-Term Debt Issued</w:t>
                            </w:r>
                          </w:p>
                        </w:tc>
                        <w:tc>
                          <w:tcPr>
                            <w:tcW w:w="534" w:type="pct"/>
                            <w:tcBorders>
                              <w:top w:val="nil"/>
                              <w:left w:val="nil"/>
                              <w:bottom w:val="nil"/>
                              <w:right w:val="nil"/>
                            </w:tcBorders>
                            <w:hideMark/>
                          </w:tcPr>
                          <w:p w14:paraId="336ECEB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1.2 </w:t>
                            </w:r>
                          </w:p>
                        </w:tc>
                        <w:tc>
                          <w:tcPr>
                            <w:tcW w:w="534" w:type="pct"/>
                            <w:tcBorders>
                              <w:top w:val="nil"/>
                              <w:left w:val="nil"/>
                              <w:bottom w:val="nil"/>
                              <w:right w:val="nil"/>
                            </w:tcBorders>
                            <w:hideMark/>
                          </w:tcPr>
                          <w:p w14:paraId="3CFE1CC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1.5 </w:t>
                            </w:r>
                          </w:p>
                        </w:tc>
                        <w:tc>
                          <w:tcPr>
                            <w:tcW w:w="545" w:type="pct"/>
                            <w:tcBorders>
                              <w:top w:val="nil"/>
                              <w:left w:val="nil"/>
                              <w:bottom w:val="nil"/>
                              <w:right w:val="nil"/>
                            </w:tcBorders>
                            <w:hideMark/>
                          </w:tcPr>
                          <w:p w14:paraId="7BA3ACC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0.3 </w:t>
                            </w:r>
                          </w:p>
                        </w:tc>
                        <w:tc>
                          <w:tcPr>
                            <w:tcW w:w="534" w:type="pct"/>
                            <w:tcBorders>
                              <w:top w:val="nil"/>
                              <w:left w:val="nil"/>
                              <w:bottom w:val="nil"/>
                              <w:right w:val="nil"/>
                            </w:tcBorders>
                            <w:hideMark/>
                          </w:tcPr>
                          <w:p w14:paraId="512832F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3.6 </w:t>
                            </w:r>
                          </w:p>
                        </w:tc>
                        <w:tc>
                          <w:tcPr>
                            <w:tcW w:w="534" w:type="pct"/>
                            <w:tcBorders>
                              <w:top w:val="nil"/>
                              <w:left w:val="nil"/>
                              <w:bottom w:val="nil"/>
                              <w:right w:val="nil"/>
                            </w:tcBorders>
                            <w:hideMark/>
                          </w:tcPr>
                          <w:p w14:paraId="0E393F4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1.6 </w:t>
                            </w:r>
                          </w:p>
                        </w:tc>
                        <w:tc>
                          <w:tcPr>
                            <w:tcW w:w="533" w:type="pct"/>
                            <w:tcBorders>
                              <w:top w:val="nil"/>
                              <w:left w:val="nil"/>
                              <w:bottom w:val="nil"/>
                              <w:right w:val="nil"/>
                            </w:tcBorders>
                            <w:hideMark/>
                          </w:tcPr>
                          <w:p w14:paraId="453D23B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2.8 </w:t>
                            </w:r>
                          </w:p>
                        </w:tc>
                      </w:tr>
                      <w:tr w:rsidR="00BA0542" w:rsidRPr="00BA0542" w14:paraId="3FE45545" w14:textId="77777777" w:rsidTr="00BA0542">
                        <w:trPr>
                          <w:trHeight w:val="204"/>
                        </w:trPr>
                        <w:tc>
                          <w:tcPr>
                            <w:tcW w:w="1786" w:type="pct"/>
                            <w:tcBorders>
                              <w:top w:val="nil"/>
                              <w:left w:val="nil"/>
                              <w:bottom w:val="nil"/>
                              <w:right w:val="nil"/>
                            </w:tcBorders>
                            <w:noWrap/>
                            <w:hideMark/>
                          </w:tcPr>
                          <w:p w14:paraId="109CBCF7"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Debt Issued</w:t>
                            </w:r>
                          </w:p>
                        </w:tc>
                        <w:tc>
                          <w:tcPr>
                            <w:tcW w:w="534" w:type="pct"/>
                            <w:tcBorders>
                              <w:top w:val="single" w:sz="4" w:space="0" w:color="000000"/>
                              <w:left w:val="nil"/>
                              <w:bottom w:val="nil"/>
                              <w:right w:val="nil"/>
                            </w:tcBorders>
                            <w:hideMark/>
                          </w:tcPr>
                          <w:p w14:paraId="6809F9E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1.2 </w:t>
                            </w:r>
                          </w:p>
                        </w:tc>
                        <w:tc>
                          <w:tcPr>
                            <w:tcW w:w="534" w:type="pct"/>
                            <w:tcBorders>
                              <w:top w:val="single" w:sz="4" w:space="0" w:color="000000"/>
                              <w:left w:val="nil"/>
                              <w:bottom w:val="nil"/>
                              <w:right w:val="nil"/>
                            </w:tcBorders>
                            <w:hideMark/>
                          </w:tcPr>
                          <w:p w14:paraId="61C569F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1.5 </w:t>
                            </w:r>
                          </w:p>
                        </w:tc>
                        <w:tc>
                          <w:tcPr>
                            <w:tcW w:w="545" w:type="pct"/>
                            <w:tcBorders>
                              <w:top w:val="single" w:sz="4" w:space="0" w:color="000000"/>
                              <w:left w:val="nil"/>
                              <w:bottom w:val="nil"/>
                              <w:right w:val="nil"/>
                            </w:tcBorders>
                            <w:hideMark/>
                          </w:tcPr>
                          <w:p w14:paraId="6D7EE80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0.3 </w:t>
                            </w:r>
                          </w:p>
                        </w:tc>
                        <w:tc>
                          <w:tcPr>
                            <w:tcW w:w="534" w:type="pct"/>
                            <w:tcBorders>
                              <w:top w:val="single" w:sz="4" w:space="0" w:color="000000"/>
                              <w:left w:val="nil"/>
                              <w:bottom w:val="nil"/>
                              <w:right w:val="nil"/>
                            </w:tcBorders>
                            <w:hideMark/>
                          </w:tcPr>
                          <w:p w14:paraId="3898DA7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3.6 </w:t>
                            </w:r>
                          </w:p>
                        </w:tc>
                        <w:tc>
                          <w:tcPr>
                            <w:tcW w:w="534" w:type="pct"/>
                            <w:tcBorders>
                              <w:top w:val="single" w:sz="4" w:space="0" w:color="000000"/>
                              <w:left w:val="nil"/>
                              <w:bottom w:val="nil"/>
                              <w:right w:val="nil"/>
                            </w:tcBorders>
                            <w:hideMark/>
                          </w:tcPr>
                          <w:p w14:paraId="5B02EE3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1.6 </w:t>
                            </w:r>
                          </w:p>
                        </w:tc>
                        <w:tc>
                          <w:tcPr>
                            <w:tcW w:w="533" w:type="pct"/>
                            <w:tcBorders>
                              <w:top w:val="single" w:sz="4" w:space="0" w:color="000000"/>
                              <w:left w:val="nil"/>
                              <w:bottom w:val="nil"/>
                              <w:right w:val="nil"/>
                            </w:tcBorders>
                            <w:hideMark/>
                          </w:tcPr>
                          <w:p w14:paraId="1A7970AD"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2.8 </w:t>
                            </w:r>
                          </w:p>
                        </w:tc>
                      </w:tr>
                      <w:tr w:rsidR="00BA0542" w:rsidRPr="00BA0542" w14:paraId="02358F49" w14:textId="77777777" w:rsidTr="00BA0542">
                        <w:trPr>
                          <w:trHeight w:val="204"/>
                        </w:trPr>
                        <w:tc>
                          <w:tcPr>
                            <w:tcW w:w="1786" w:type="pct"/>
                            <w:tcBorders>
                              <w:top w:val="nil"/>
                              <w:left w:val="nil"/>
                              <w:bottom w:val="nil"/>
                              <w:right w:val="nil"/>
                            </w:tcBorders>
                            <w:noWrap/>
                            <w:hideMark/>
                          </w:tcPr>
                          <w:p w14:paraId="35A8094A"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Long-Term Debt Repaid</w:t>
                            </w:r>
                          </w:p>
                        </w:tc>
                        <w:tc>
                          <w:tcPr>
                            <w:tcW w:w="534" w:type="pct"/>
                            <w:tcBorders>
                              <w:top w:val="nil"/>
                              <w:left w:val="nil"/>
                              <w:bottom w:val="nil"/>
                              <w:right w:val="nil"/>
                            </w:tcBorders>
                            <w:hideMark/>
                          </w:tcPr>
                          <w:p w14:paraId="0A7931D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(2.7)  </w:t>
                            </w:r>
                          </w:p>
                        </w:tc>
                        <w:tc>
                          <w:tcPr>
                            <w:tcW w:w="534" w:type="pct"/>
                            <w:tcBorders>
                              <w:top w:val="nil"/>
                              <w:left w:val="nil"/>
                              <w:bottom w:val="nil"/>
                              <w:right w:val="nil"/>
                            </w:tcBorders>
                            <w:hideMark/>
                          </w:tcPr>
                          <w:p w14:paraId="6679529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(2.3)  </w:t>
                            </w:r>
                          </w:p>
                        </w:tc>
                        <w:tc>
                          <w:tcPr>
                            <w:tcW w:w="545" w:type="pct"/>
                            <w:tcBorders>
                              <w:top w:val="nil"/>
                              <w:left w:val="nil"/>
                              <w:bottom w:val="nil"/>
                              <w:right w:val="nil"/>
                            </w:tcBorders>
                            <w:hideMark/>
                          </w:tcPr>
                          <w:p w14:paraId="5762CDD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(2.0)  </w:t>
                            </w:r>
                          </w:p>
                        </w:tc>
                        <w:tc>
                          <w:tcPr>
                            <w:tcW w:w="534" w:type="pct"/>
                            <w:tcBorders>
                              <w:top w:val="nil"/>
                              <w:left w:val="nil"/>
                              <w:bottom w:val="nil"/>
                              <w:right w:val="nil"/>
                            </w:tcBorders>
                            <w:hideMark/>
                          </w:tcPr>
                          <w:p w14:paraId="047E85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(2.1)  </w:t>
                            </w:r>
                          </w:p>
                        </w:tc>
                        <w:tc>
                          <w:tcPr>
                            <w:tcW w:w="534" w:type="pct"/>
                            <w:tcBorders>
                              <w:top w:val="nil"/>
                              <w:left w:val="nil"/>
                              <w:bottom w:val="nil"/>
                              <w:right w:val="nil"/>
                            </w:tcBorders>
                            <w:hideMark/>
                          </w:tcPr>
                          <w:p w14:paraId="04DADA8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(2.9)  </w:t>
                            </w:r>
                          </w:p>
                        </w:tc>
                        <w:tc>
                          <w:tcPr>
                            <w:tcW w:w="533" w:type="pct"/>
                            <w:tcBorders>
                              <w:top w:val="nil"/>
                              <w:left w:val="nil"/>
                              <w:bottom w:val="nil"/>
                              <w:right w:val="nil"/>
                            </w:tcBorders>
                            <w:hideMark/>
                          </w:tcPr>
                          <w:p w14:paraId="5AFEF623"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(2.4)  </w:t>
                            </w:r>
                          </w:p>
                        </w:tc>
                      </w:tr>
                      <w:tr w:rsidR="00BA0542" w:rsidRPr="00BA0542" w14:paraId="181370A9" w14:textId="77777777" w:rsidTr="00BA0542">
                        <w:trPr>
                          <w:trHeight w:val="204"/>
                        </w:trPr>
                        <w:tc>
                          <w:tcPr>
                            <w:tcW w:w="1786" w:type="pct"/>
                            <w:tcBorders>
                              <w:top w:val="nil"/>
                              <w:left w:val="nil"/>
                              <w:bottom w:val="nil"/>
                              <w:right w:val="nil"/>
                            </w:tcBorders>
                            <w:noWrap/>
                            <w:hideMark/>
                          </w:tcPr>
                          <w:p w14:paraId="5BC68C94"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Debt Repaid</w:t>
                            </w:r>
                          </w:p>
                        </w:tc>
                        <w:tc>
                          <w:tcPr>
                            <w:tcW w:w="534" w:type="pct"/>
                            <w:tcBorders>
                              <w:top w:val="single" w:sz="4" w:space="0" w:color="000000"/>
                              <w:left w:val="nil"/>
                              <w:bottom w:val="nil"/>
                              <w:right w:val="nil"/>
                            </w:tcBorders>
                            <w:hideMark/>
                          </w:tcPr>
                          <w:p w14:paraId="6B0BF84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(2.7)  </w:t>
                            </w:r>
                          </w:p>
                        </w:tc>
                        <w:tc>
                          <w:tcPr>
                            <w:tcW w:w="534" w:type="pct"/>
                            <w:tcBorders>
                              <w:top w:val="single" w:sz="4" w:space="0" w:color="000000"/>
                              <w:left w:val="nil"/>
                              <w:bottom w:val="nil"/>
                              <w:right w:val="nil"/>
                            </w:tcBorders>
                            <w:hideMark/>
                          </w:tcPr>
                          <w:p w14:paraId="4540F64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(2.3)  </w:t>
                            </w:r>
                          </w:p>
                        </w:tc>
                        <w:tc>
                          <w:tcPr>
                            <w:tcW w:w="545" w:type="pct"/>
                            <w:tcBorders>
                              <w:top w:val="single" w:sz="4" w:space="0" w:color="000000"/>
                              <w:left w:val="nil"/>
                              <w:bottom w:val="nil"/>
                              <w:right w:val="nil"/>
                            </w:tcBorders>
                            <w:hideMark/>
                          </w:tcPr>
                          <w:p w14:paraId="683552C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(2.0)  </w:t>
                            </w:r>
                          </w:p>
                        </w:tc>
                        <w:tc>
                          <w:tcPr>
                            <w:tcW w:w="534" w:type="pct"/>
                            <w:tcBorders>
                              <w:top w:val="single" w:sz="4" w:space="0" w:color="000000"/>
                              <w:left w:val="nil"/>
                              <w:bottom w:val="nil"/>
                              <w:right w:val="nil"/>
                            </w:tcBorders>
                            <w:hideMark/>
                          </w:tcPr>
                          <w:p w14:paraId="60B519E5"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(2.1)  </w:t>
                            </w:r>
                          </w:p>
                        </w:tc>
                        <w:tc>
                          <w:tcPr>
                            <w:tcW w:w="534" w:type="pct"/>
                            <w:tcBorders>
                              <w:top w:val="single" w:sz="4" w:space="0" w:color="000000"/>
                              <w:left w:val="nil"/>
                              <w:bottom w:val="nil"/>
                              <w:right w:val="nil"/>
                            </w:tcBorders>
                            <w:hideMark/>
                          </w:tcPr>
                          <w:p w14:paraId="1EAF473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(2.9)  </w:t>
                            </w:r>
                          </w:p>
                        </w:tc>
                        <w:tc>
                          <w:tcPr>
                            <w:tcW w:w="533" w:type="pct"/>
                            <w:tcBorders>
                              <w:top w:val="single" w:sz="4" w:space="0" w:color="000000"/>
                              <w:left w:val="nil"/>
                              <w:bottom w:val="nil"/>
                              <w:right w:val="nil"/>
                            </w:tcBorders>
                            <w:hideMark/>
                          </w:tcPr>
                          <w:p w14:paraId="454C382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(2.4)  </w:t>
                            </w:r>
                          </w:p>
                        </w:tc>
                      </w:tr>
                      <w:tr w:rsidR="00BA0542" w:rsidRPr="00BA0542" w14:paraId="498F3572" w14:textId="77777777" w:rsidTr="00BA0542">
                        <w:trPr>
                          <w:trHeight w:val="204"/>
                        </w:trPr>
                        <w:tc>
                          <w:tcPr>
                            <w:tcW w:w="1786" w:type="pct"/>
                            <w:tcBorders>
                              <w:top w:val="nil"/>
                              <w:left w:val="nil"/>
                              <w:bottom w:val="nil"/>
                              <w:right w:val="nil"/>
                            </w:tcBorders>
                            <w:noWrap/>
                            <w:hideMark/>
                          </w:tcPr>
                          <w:p w14:paraId="3CD5CF39"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Repurchase of Common Stock</w:t>
                            </w:r>
                          </w:p>
                        </w:tc>
                        <w:tc>
                          <w:tcPr>
                            <w:tcW w:w="534" w:type="pct"/>
                            <w:tcBorders>
                              <w:top w:val="nil"/>
                              <w:left w:val="nil"/>
                              <w:bottom w:val="nil"/>
                              <w:right w:val="nil"/>
                            </w:tcBorders>
                            <w:hideMark/>
                          </w:tcPr>
                          <w:p w14:paraId="717B90A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w:t>
                            </w:r>
                          </w:p>
                        </w:tc>
                        <w:tc>
                          <w:tcPr>
                            <w:tcW w:w="534" w:type="pct"/>
                            <w:tcBorders>
                              <w:top w:val="nil"/>
                              <w:left w:val="nil"/>
                              <w:bottom w:val="nil"/>
                              <w:right w:val="nil"/>
                            </w:tcBorders>
                            <w:hideMark/>
                          </w:tcPr>
                          <w:p w14:paraId="2C69336E"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w:t>
                            </w:r>
                          </w:p>
                        </w:tc>
                        <w:tc>
                          <w:tcPr>
                            <w:tcW w:w="545" w:type="pct"/>
                            <w:tcBorders>
                              <w:top w:val="nil"/>
                              <w:left w:val="nil"/>
                              <w:bottom w:val="nil"/>
                              <w:right w:val="nil"/>
                            </w:tcBorders>
                            <w:hideMark/>
                          </w:tcPr>
                          <w:p w14:paraId="5AE6D80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64F97E6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4" w:type="pct"/>
                            <w:tcBorders>
                              <w:top w:val="nil"/>
                              <w:left w:val="nil"/>
                              <w:bottom w:val="nil"/>
                              <w:right w:val="nil"/>
                            </w:tcBorders>
                            <w:hideMark/>
                          </w:tcPr>
                          <w:p w14:paraId="5273C9D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(0.8)  </w:t>
                            </w:r>
                          </w:p>
                        </w:tc>
                        <w:tc>
                          <w:tcPr>
                            <w:tcW w:w="533" w:type="pct"/>
                            <w:tcBorders>
                              <w:top w:val="nil"/>
                              <w:left w:val="nil"/>
                              <w:bottom w:val="nil"/>
                              <w:right w:val="nil"/>
                            </w:tcBorders>
                            <w:hideMark/>
                          </w:tcPr>
                          <w:p w14:paraId="3F12A6A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(0.7)  </w:t>
                            </w:r>
                          </w:p>
                        </w:tc>
                      </w:tr>
                      <w:tr w:rsidR="00BA0542" w:rsidRPr="00BA0542" w14:paraId="6BEFEC32" w14:textId="77777777" w:rsidTr="00BA0542">
                        <w:trPr>
                          <w:trHeight w:val="204"/>
                        </w:trPr>
                        <w:tc>
                          <w:tcPr>
                            <w:tcW w:w="1786" w:type="pct"/>
                            <w:tcBorders>
                              <w:top w:val="nil"/>
                              <w:left w:val="nil"/>
                              <w:bottom w:val="nil"/>
                              <w:right w:val="nil"/>
                            </w:tcBorders>
                            <w:noWrap/>
                            <w:hideMark/>
                          </w:tcPr>
                          <w:p w14:paraId="160230C8"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Common Dividends Paid</w:t>
                            </w:r>
                          </w:p>
                        </w:tc>
                        <w:tc>
                          <w:tcPr>
                            <w:tcW w:w="534" w:type="pct"/>
                            <w:tcBorders>
                              <w:top w:val="nil"/>
                              <w:left w:val="nil"/>
                              <w:bottom w:val="nil"/>
                              <w:right w:val="nil"/>
                            </w:tcBorders>
                            <w:hideMark/>
                          </w:tcPr>
                          <w:p w14:paraId="6D161E61"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04985226"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45" w:type="pct"/>
                            <w:tcBorders>
                              <w:top w:val="nil"/>
                              <w:left w:val="nil"/>
                              <w:bottom w:val="nil"/>
                              <w:right w:val="nil"/>
                            </w:tcBorders>
                            <w:hideMark/>
                          </w:tcPr>
                          <w:p w14:paraId="6294264A"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688DBE5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4" w:type="pct"/>
                            <w:tcBorders>
                              <w:top w:val="nil"/>
                              <w:left w:val="nil"/>
                              <w:bottom w:val="nil"/>
                              <w:right w:val="nil"/>
                            </w:tcBorders>
                            <w:hideMark/>
                          </w:tcPr>
                          <w:p w14:paraId="20CC3187"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5494CFAC"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r>
                      <w:tr w:rsidR="00BA0542" w:rsidRPr="00BA0542" w14:paraId="0CB532F6" w14:textId="77777777" w:rsidTr="00BA0542">
                        <w:trPr>
                          <w:trHeight w:val="204"/>
                        </w:trPr>
                        <w:tc>
                          <w:tcPr>
                            <w:tcW w:w="1786" w:type="pct"/>
                            <w:tcBorders>
                              <w:top w:val="nil"/>
                              <w:left w:val="nil"/>
                              <w:bottom w:val="nil"/>
                              <w:right w:val="nil"/>
                            </w:tcBorders>
                            <w:noWrap/>
                            <w:hideMark/>
                          </w:tcPr>
                          <w:p w14:paraId="6E453DE3"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Total Dividends Paid</w:t>
                            </w:r>
                          </w:p>
                        </w:tc>
                        <w:tc>
                          <w:tcPr>
                            <w:tcW w:w="534" w:type="pct"/>
                            <w:tcBorders>
                              <w:top w:val="single" w:sz="4" w:space="0" w:color="000000"/>
                              <w:left w:val="nil"/>
                              <w:bottom w:val="nil"/>
                              <w:right w:val="nil"/>
                            </w:tcBorders>
                            <w:hideMark/>
                          </w:tcPr>
                          <w:p w14:paraId="716413E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(0.1)  </w:t>
                            </w:r>
                          </w:p>
                        </w:tc>
                        <w:tc>
                          <w:tcPr>
                            <w:tcW w:w="534" w:type="pct"/>
                            <w:tcBorders>
                              <w:top w:val="single" w:sz="4" w:space="0" w:color="000000"/>
                              <w:left w:val="nil"/>
                              <w:bottom w:val="nil"/>
                              <w:right w:val="nil"/>
                            </w:tcBorders>
                            <w:hideMark/>
                          </w:tcPr>
                          <w:p w14:paraId="275BF75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(0.1)  </w:t>
                            </w:r>
                          </w:p>
                        </w:tc>
                        <w:tc>
                          <w:tcPr>
                            <w:tcW w:w="545" w:type="pct"/>
                            <w:tcBorders>
                              <w:top w:val="single" w:sz="4" w:space="0" w:color="000000"/>
                              <w:left w:val="nil"/>
                              <w:bottom w:val="nil"/>
                              <w:right w:val="nil"/>
                            </w:tcBorders>
                            <w:hideMark/>
                          </w:tcPr>
                          <w:p w14:paraId="0E2D3CB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4" w:type="pct"/>
                            <w:tcBorders>
                              <w:top w:val="single" w:sz="4" w:space="0" w:color="000000"/>
                              <w:left w:val="nil"/>
                              <w:bottom w:val="nil"/>
                              <w:right w:val="nil"/>
                            </w:tcBorders>
                            <w:hideMark/>
                          </w:tcPr>
                          <w:p w14:paraId="787E3BF2"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4" w:type="pct"/>
                            <w:tcBorders>
                              <w:top w:val="single" w:sz="4" w:space="0" w:color="000000"/>
                              <w:left w:val="nil"/>
                              <w:bottom w:val="nil"/>
                              <w:right w:val="nil"/>
                            </w:tcBorders>
                            <w:hideMark/>
                          </w:tcPr>
                          <w:p w14:paraId="1DCEB77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(0.4)  </w:t>
                            </w:r>
                          </w:p>
                        </w:tc>
                        <w:tc>
                          <w:tcPr>
                            <w:tcW w:w="533" w:type="pct"/>
                            <w:tcBorders>
                              <w:top w:val="single" w:sz="4" w:space="0" w:color="000000"/>
                              <w:left w:val="nil"/>
                              <w:bottom w:val="nil"/>
                              <w:right w:val="nil"/>
                            </w:tcBorders>
                            <w:hideMark/>
                          </w:tcPr>
                          <w:p w14:paraId="1E611026"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(0.6)  </w:t>
                            </w:r>
                          </w:p>
                        </w:tc>
                      </w:tr>
                      <w:tr w:rsidR="00BA0542" w:rsidRPr="00BA0542" w14:paraId="1BC3F2B7" w14:textId="77777777" w:rsidTr="00BA0542">
                        <w:trPr>
                          <w:trHeight w:val="204"/>
                        </w:trPr>
                        <w:tc>
                          <w:tcPr>
                            <w:tcW w:w="1786" w:type="pct"/>
                            <w:tcBorders>
                              <w:top w:val="nil"/>
                              <w:left w:val="nil"/>
                              <w:bottom w:val="nil"/>
                              <w:right w:val="nil"/>
                            </w:tcBorders>
                            <w:noWrap/>
                            <w:hideMark/>
                          </w:tcPr>
                          <w:p w14:paraId="1E70C0D7"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Other Financing Activities</w:t>
                            </w:r>
                          </w:p>
                        </w:tc>
                        <w:tc>
                          <w:tcPr>
                            <w:tcW w:w="534" w:type="pct"/>
                            <w:tcBorders>
                              <w:top w:val="nil"/>
                              <w:left w:val="nil"/>
                              <w:bottom w:val="nil"/>
                              <w:right w:val="nil"/>
                            </w:tcBorders>
                            <w:hideMark/>
                          </w:tcPr>
                          <w:p w14:paraId="66A2B7C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0B71CFB9"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c>
                          <w:tcPr>
                            <w:tcW w:w="545" w:type="pct"/>
                            <w:tcBorders>
                              <w:top w:val="nil"/>
                              <w:left w:val="nil"/>
                              <w:bottom w:val="nil"/>
                              <w:right w:val="nil"/>
                            </w:tcBorders>
                            <w:hideMark/>
                          </w:tcPr>
                          <w:p w14:paraId="283AB20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6ECD0E8F"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34" w:type="pct"/>
                            <w:tcBorders>
                              <w:top w:val="nil"/>
                              <w:left w:val="nil"/>
                              <w:bottom w:val="nil"/>
                              <w:right w:val="nil"/>
                            </w:tcBorders>
                            <w:hideMark/>
                          </w:tcPr>
                          <w:p w14:paraId="4BB4777D"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6558D3D8"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(0.2)  </w:t>
                            </w:r>
                          </w:p>
                        </w:tc>
                      </w:tr>
                      <w:tr w:rsidR="00BA0542" w:rsidRPr="00BA0542" w14:paraId="0C0B4223" w14:textId="77777777" w:rsidTr="00BA0542">
                        <w:trPr>
                          <w:trHeight w:val="204"/>
                        </w:trPr>
                        <w:tc>
                          <w:tcPr>
                            <w:tcW w:w="1786" w:type="pct"/>
                            <w:tcBorders>
                              <w:top w:val="nil"/>
                              <w:left w:val="nil"/>
                              <w:bottom w:val="nil"/>
                              <w:right w:val="nil"/>
                            </w:tcBorders>
                            <w:noWrap/>
                            <w:hideMark/>
                          </w:tcPr>
                          <w:p w14:paraId="474329E0"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Cash from Financing</w:t>
                            </w:r>
                          </w:p>
                        </w:tc>
                        <w:tc>
                          <w:tcPr>
                            <w:tcW w:w="534" w:type="pct"/>
                            <w:tcBorders>
                              <w:top w:val="single" w:sz="4" w:space="0" w:color="000000"/>
                              <w:left w:val="nil"/>
                              <w:bottom w:val="nil"/>
                              <w:right w:val="nil"/>
                            </w:tcBorders>
                            <w:hideMark/>
                          </w:tcPr>
                          <w:p w14:paraId="76AA5694"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(2.2)  </w:t>
                            </w:r>
                          </w:p>
                        </w:tc>
                        <w:tc>
                          <w:tcPr>
                            <w:tcW w:w="534" w:type="pct"/>
                            <w:tcBorders>
                              <w:top w:val="single" w:sz="4" w:space="0" w:color="000000"/>
                              <w:left w:val="nil"/>
                              <w:bottom w:val="nil"/>
                              <w:right w:val="nil"/>
                            </w:tcBorders>
                            <w:hideMark/>
                          </w:tcPr>
                          <w:p w14:paraId="7FC874A8"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(1.4)  </w:t>
                            </w:r>
                          </w:p>
                        </w:tc>
                        <w:tc>
                          <w:tcPr>
                            <w:tcW w:w="545" w:type="pct"/>
                            <w:tcBorders>
                              <w:top w:val="single" w:sz="4" w:space="0" w:color="000000"/>
                              <w:left w:val="nil"/>
                              <w:bottom w:val="nil"/>
                              <w:right w:val="nil"/>
                            </w:tcBorders>
                            <w:hideMark/>
                          </w:tcPr>
                          <w:p w14:paraId="48304BD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(3.5)  </w:t>
                            </w:r>
                          </w:p>
                        </w:tc>
                        <w:tc>
                          <w:tcPr>
                            <w:tcW w:w="534" w:type="pct"/>
                            <w:tcBorders>
                              <w:top w:val="single" w:sz="4" w:space="0" w:color="000000"/>
                              <w:left w:val="nil"/>
                              <w:bottom w:val="nil"/>
                              <w:right w:val="nil"/>
                            </w:tcBorders>
                            <w:hideMark/>
                          </w:tcPr>
                          <w:p w14:paraId="7FDA45DA"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(0.3)  </w:t>
                            </w:r>
                          </w:p>
                        </w:tc>
                        <w:tc>
                          <w:tcPr>
                            <w:tcW w:w="534" w:type="pct"/>
                            <w:tcBorders>
                              <w:top w:val="single" w:sz="4" w:space="0" w:color="000000"/>
                              <w:left w:val="nil"/>
                              <w:bottom w:val="nil"/>
                              <w:right w:val="nil"/>
                            </w:tcBorders>
                            <w:hideMark/>
                          </w:tcPr>
                          <w:p w14:paraId="73B6B8B9"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(3.0)  </w:t>
                            </w:r>
                          </w:p>
                        </w:tc>
                        <w:tc>
                          <w:tcPr>
                            <w:tcW w:w="533" w:type="pct"/>
                            <w:tcBorders>
                              <w:top w:val="single" w:sz="4" w:space="0" w:color="000000"/>
                              <w:left w:val="nil"/>
                              <w:bottom w:val="nil"/>
                              <w:right w:val="nil"/>
                            </w:tcBorders>
                            <w:hideMark/>
                          </w:tcPr>
                          <w:p w14:paraId="43D98D37"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(1.1)  </w:t>
                            </w:r>
                          </w:p>
                        </w:tc>
                      </w:tr>
                      <w:tr w:rsidR="00BA0542" w:rsidRPr="00BA0542" w14:paraId="6D3BD81E" w14:textId="77777777" w:rsidTr="00BA0542">
                        <w:trPr>
                          <w:trHeight w:val="204"/>
                        </w:trPr>
                        <w:tc>
                          <w:tcPr>
                            <w:tcW w:w="1786" w:type="pct"/>
                            <w:tcBorders>
                              <w:top w:val="nil"/>
                              <w:left w:val="nil"/>
                              <w:bottom w:val="nil"/>
                              <w:right w:val="nil"/>
                            </w:tcBorders>
                            <w:noWrap/>
                            <w:hideMark/>
                          </w:tcPr>
                          <w:p w14:paraId="26F4F350" w14:textId="77777777" w:rsidR="00BA0542" w:rsidRPr="00BA0542" w:rsidRDefault="00BA0542" w:rsidP="00BA0542">
                            <w:pPr>
                              <w:spacing w:after="0" w:line="240" w:lineRule="auto"/>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Foreign Exchange Rate Adj.</w:t>
                            </w:r>
                          </w:p>
                        </w:tc>
                        <w:tc>
                          <w:tcPr>
                            <w:tcW w:w="534" w:type="pct"/>
                            <w:tcBorders>
                              <w:top w:val="nil"/>
                              <w:left w:val="nil"/>
                              <w:bottom w:val="nil"/>
                              <w:right w:val="nil"/>
                            </w:tcBorders>
                            <w:hideMark/>
                          </w:tcPr>
                          <w:p w14:paraId="1E26F930"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(0.1)  </w:t>
                            </w:r>
                          </w:p>
                        </w:tc>
                        <w:tc>
                          <w:tcPr>
                            <w:tcW w:w="534" w:type="pct"/>
                            <w:tcBorders>
                              <w:top w:val="nil"/>
                              <w:left w:val="nil"/>
                              <w:bottom w:val="nil"/>
                              <w:right w:val="nil"/>
                            </w:tcBorders>
                            <w:hideMark/>
                          </w:tcPr>
                          <w:p w14:paraId="583277F5"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(0.6)  </w:t>
                            </w:r>
                          </w:p>
                        </w:tc>
                        <w:tc>
                          <w:tcPr>
                            <w:tcW w:w="545" w:type="pct"/>
                            <w:tcBorders>
                              <w:top w:val="nil"/>
                              <w:left w:val="nil"/>
                              <w:bottom w:val="nil"/>
                              <w:right w:val="nil"/>
                            </w:tcBorders>
                            <w:hideMark/>
                          </w:tcPr>
                          <w:p w14:paraId="2330E3D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25A0C5C2"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 </w:t>
                            </w:r>
                          </w:p>
                        </w:tc>
                        <w:tc>
                          <w:tcPr>
                            <w:tcW w:w="534" w:type="pct"/>
                            <w:tcBorders>
                              <w:top w:val="nil"/>
                              <w:left w:val="nil"/>
                              <w:bottom w:val="nil"/>
                              <w:right w:val="nil"/>
                            </w:tcBorders>
                            <w:hideMark/>
                          </w:tcPr>
                          <w:p w14:paraId="23CF6E7B"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(0.4)  </w:t>
                            </w:r>
                          </w:p>
                        </w:tc>
                        <w:tc>
                          <w:tcPr>
                            <w:tcW w:w="533" w:type="pct"/>
                            <w:tcBorders>
                              <w:top w:val="nil"/>
                              <w:left w:val="nil"/>
                              <w:bottom w:val="nil"/>
                              <w:right w:val="nil"/>
                            </w:tcBorders>
                            <w:hideMark/>
                          </w:tcPr>
                          <w:p w14:paraId="67CE37B4" w14:textId="77777777" w:rsidR="00BA0542" w:rsidRPr="00BA0542" w:rsidRDefault="00BA0542" w:rsidP="00BA0542">
                            <w:pPr>
                              <w:spacing w:after="0" w:line="240" w:lineRule="auto"/>
                              <w:jc w:val="right"/>
                              <w:rPr>
                                <w:rFonts w:ascii="Cambria'" w:eastAsia="Times New Roman" w:hAnsi="Cambria'" w:cs="Arial"/>
                                <w:color w:val="000000"/>
                                <w:kern w:val="0"/>
                                <w:sz w:val="14"/>
                                <w:szCs w:val="14"/>
                                <w:lang w:eastAsia="en-IN"/>
                                <w14:ligatures w14:val="none"/>
                              </w:rPr>
                            </w:pPr>
                            <w:r w:rsidRPr="00BA0542">
                              <w:rPr>
                                <w:rFonts w:ascii="Cambria'" w:eastAsia="Times New Roman" w:hAnsi="Cambria'" w:cs="Arial"/>
                                <w:color w:val="000000"/>
                                <w:kern w:val="0"/>
                                <w:sz w:val="14"/>
                                <w:szCs w:val="14"/>
                                <w:lang w:eastAsia="en-IN"/>
                                <w14:ligatures w14:val="none"/>
                              </w:rPr>
                              <w:t xml:space="preserve">          (0.5)  </w:t>
                            </w:r>
                          </w:p>
                        </w:tc>
                      </w:tr>
                      <w:tr w:rsidR="00BA0542" w:rsidRPr="00BA0542" w14:paraId="743F1D05" w14:textId="77777777" w:rsidTr="00BA0542">
                        <w:trPr>
                          <w:trHeight w:val="204"/>
                        </w:trPr>
                        <w:tc>
                          <w:tcPr>
                            <w:tcW w:w="1786" w:type="pct"/>
                            <w:tcBorders>
                              <w:top w:val="nil"/>
                              <w:left w:val="nil"/>
                              <w:bottom w:val="nil"/>
                              <w:right w:val="nil"/>
                            </w:tcBorders>
                            <w:noWrap/>
                            <w:hideMark/>
                          </w:tcPr>
                          <w:p w14:paraId="2BDEEE09" w14:textId="77777777" w:rsidR="00BA0542" w:rsidRPr="00BA0542" w:rsidRDefault="00BA0542" w:rsidP="00BA0542">
                            <w:pPr>
                              <w:spacing w:after="0" w:line="240" w:lineRule="auto"/>
                              <w:rPr>
                                <w:rFonts w:ascii="Cambria'" w:eastAsia="Times New Roman" w:hAnsi="Cambria'" w:cs="Arial"/>
                                <w:b/>
                                <w:bCs/>
                                <w:color w:val="000000"/>
                                <w:kern w:val="0"/>
                                <w:sz w:val="14"/>
                                <w:szCs w:val="14"/>
                                <w:lang w:eastAsia="en-IN"/>
                                <w14:ligatures w14:val="none"/>
                              </w:rPr>
                            </w:pPr>
                            <w:r w:rsidRPr="00BA0542">
                              <w:rPr>
                                <w:rFonts w:ascii="Cambria'" w:eastAsia="Times New Roman" w:hAnsi="Cambria'" w:cs="Arial"/>
                                <w:b/>
                                <w:bCs/>
                                <w:color w:val="000000"/>
                                <w:kern w:val="0"/>
                                <w:sz w:val="14"/>
                                <w:szCs w:val="14"/>
                                <w:lang w:eastAsia="en-IN"/>
                                <w14:ligatures w14:val="none"/>
                              </w:rPr>
                              <w:t xml:space="preserve">  Net Change in Cash</w:t>
                            </w:r>
                          </w:p>
                        </w:tc>
                        <w:tc>
                          <w:tcPr>
                            <w:tcW w:w="534" w:type="pct"/>
                            <w:tcBorders>
                              <w:top w:val="single" w:sz="4" w:space="0" w:color="000000"/>
                              <w:left w:val="nil"/>
                              <w:bottom w:val="nil"/>
                              <w:right w:val="nil"/>
                            </w:tcBorders>
                            <w:hideMark/>
                          </w:tcPr>
                          <w:p w14:paraId="225EA1EB"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0.2 </w:t>
                            </w:r>
                          </w:p>
                        </w:tc>
                        <w:tc>
                          <w:tcPr>
                            <w:tcW w:w="534" w:type="pct"/>
                            <w:tcBorders>
                              <w:top w:val="single" w:sz="4" w:space="0" w:color="000000"/>
                              <w:left w:val="nil"/>
                              <w:bottom w:val="nil"/>
                              <w:right w:val="nil"/>
                            </w:tcBorders>
                            <w:hideMark/>
                          </w:tcPr>
                          <w:p w14:paraId="23767543"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 </w:t>
                            </w:r>
                          </w:p>
                        </w:tc>
                        <w:tc>
                          <w:tcPr>
                            <w:tcW w:w="545" w:type="pct"/>
                            <w:tcBorders>
                              <w:top w:val="single" w:sz="4" w:space="0" w:color="000000"/>
                              <w:left w:val="nil"/>
                              <w:bottom w:val="nil"/>
                              <w:right w:val="nil"/>
                            </w:tcBorders>
                            <w:hideMark/>
                          </w:tcPr>
                          <w:p w14:paraId="127D4A5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(0.8)  </w:t>
                            </w:r>
                          </w:p>
                        </w:tc>
                        <w:tc>
                          <w:tcPr>
                            <w:tcW w:w="534" w:type="pct"/>
                            <w:tcBorders>
                              <w:top w:val="single" w:sz="4" w:space="0" w:color="000000"/>
                              <w:left w:val="nil"/>
                              <w:bottom w:val="nil"/>
                              <w:right w:val="nil"/>
                            </w:tcBorders>
                            <w:hideMark/>
                          </w:tcPr>
                          <w:p w14:paraId="6B9A55AE"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1.9 </w:t>
                            </w:r>
                          </w:p>
                        </w:tc>
                        <w:tc>
                          <w:tcPr>
                            <w:tcW w:w="534" w:type="pct"/>
                            <w:tcBorders>
                              <w:top w:val="single" w:sz="4" w:space="0" w:color="000000"/>
                              <w:left w:val="nil"/>
                              <w:bottom w:val="nil"/>
                              <w:right w:val="nil"/>
                            </w:tcBorders>
                            <w:hideMark/>
                          </w:tcPr>
                          <w:p w14:paraId="1AD5DF23"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0.9 </w:t>
                            </w:r>
                          </w:p>
                        </w:tc>
                        <w:tc>
                          <w:tcPr>
                            <w:tcW w:w="533" w:type="pct"/>
                            <w:tcBorders>
                              <w:top w:val="single" w:sz="4" w:space="0" w:color="000000"/>
                              <w:left w:val="nil"/>
                              <w:bottom w:val="nil"/>
                              <w:right w:val="nil"/>
                            </w:tcBorders>
                            <w:hideMark/>
                          </w:tcPr>
                          <w:p w14:paraId="19DDFCFC" w14:textId="77777777" w:rsidR="00BA0542" w:rsidRPr="00BA0542" w:rsidRDefault="00BA0542" w:rsidP="00BA0542">
                            <w:pPr>
                              <w:spacing w:after="0" w:line="240" w:lineRule="auto"/>
                              <w:jc w:val="right"/>
                              <w:rPr>
                                <w:rFonts w:ascii="Cambria'" w:eastAsia="Times New Roman" w:hAnsi="Cambria'" w:cs="Arial"/>
                                <w:b/>
                                <w:bCs/>
                                <w:color w:val="000000"/>
                                <w:kern w:val="0"/>
                                <w:sz w:val="14"/>
                                <w:szCs w:val="14"/>
                                <w:u w:val="double"/>
                                <w:lang w:eastAsia="en-IN"/>
                                <w14:ligatures w14:val="none"/>
                              </w:rPr>
                            </w:pPr>
                            <w:r w:rsidRPr="00BA0542">
                              <w:rPr>
                                <w:rFonts w:ascii="Cambria'" w:eastAsia="Times New Roman" w:hAnsi="Cambria'" w:cs="Arial"/>
                                <w:b/>
                                <w:bCs/>
                                <w:color w:val="000000"/>
                                <w:kern w:val="0"/>
                                <w:sz w:val="14"/>
                                <w:szCs w:val="14"/>
                                <w:u w:val="double"/>
                                <w:lang w:eastAsia="en-IN"/>
                                <w14:ligatures w14:val="none"/>
                              </w:rPr>
                              <w:t xml:space="preserve">             0.3 </w:t>
                            </w:r>
                          </w:p>
                        </w:tc>
                      </w:tr>
                    </w:tbl>
                    <w:p w14:paraId="77E3A135" w14:textId="337F214A" w:rsidR="00BA0542" w:rsidRDefault="00BA0542"/>
                  </w:txbxContent>
                </v:textbox>
                <w10:wrap type="square" anchorx="margin"/>
              </v:shape>
            </w:pict>
          </mc:Fallback>
        </mc:AlternateContent>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9B3690" w:rsidRPr="00456405">
        <w:rPr>
          <w:rFonts w:ascii="Cambria" w:hAnsi="Cambria"/>
          <w:b/>
          <w:bCs/>
          <w:sz w:val="24"/>
          <w:szCs w:val="24"/>
        </w:rPr>
        <w:br/>
      </w:r>
      <w:r w:rsidR="002A3247" w:rsidRPr="00456405">
        <w:rPr>
          <w:rFonts w:ascii="Cambria" w:hAnsi="Cambria"/>
          <w:b/>
          <w:bCs/>
          <w:sz w:val="24"/>
          <w:szCs w:val="24"/>
        </w:rPr>
        <w:br/>
      </w:r>
      <w:r w:rsidR="00C974E3" w:rsidRPr="00456405">
        <w:rPr>
          <w:rFonts w:ascii="Cambria" w:hAnsi="Cambria"/>
          <w:b/>
          <w:bCs/>
          <w:noProof/>
          <w:sz w:val="24"/>
          <w:szCs w:val="24"/>
        </w:rPr>
        <w:lastRenderedPageBreak/>
        <mc:AlternateContent>
          <mc:Choice Requires="wps">
            <w:drawing>
              <wp:anchor distT="45720" distB="45720" distL="114300" distR="114300" simplePos="0" relativeHeight="251751424" behindDoc="0" locked="0" layoutInCell="1" allowOverlap="1" wp14:anchorId="176A1542" wp14:editId="4CA08165">
                <wp:simplePos x="0" y="0"/>
                <wp:positionH relativeFrom="column">
                  <wp:posOffset>99060</wp:posOffset>
                </wp:positionH>
                <wp:positionV relativeFrom="paragraph">
                  <wp:posOffset>0</wp:posOffset>
                </wp:positionV>
                <wp:extent cx="3566160" cy="457200"/>
                <wp:effectExtent l="0" t="0" r="0" b="0"/>
                <wp:wrapSquare wrapText="bothSides"/>
                <wp:docPr id="991273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457200"/>
                        </a:xfrm>
                        <a:prstGeom prst="rect">
                          <a:avLst/>
                        </a:prstGeom>
                        <a:solidFill>
                          <a:srgbClr val="FFFFFF"/>
                        </a:solidFill>
                        <a:ln w="9525">
                          <a:noFill/>
                          <a:miter lim="800000"/>
                          <a:headEnd/>
                          <a:tailEnd/>
                        </a:ln>
                      </wps:spPr>
                      <wps:txbx>
                        <w:txbxContent>
                          <w:p w14:paraId="31399854" w14:textId="52C4BA31" w:rsidR="00C974E3" w:rsidRDefault="00C974E3">
                            <w:r>
                              <w:rPr>
                                <w:rFonts w:ascii="Cambria" w:hAnsi="Cambria"/>
                                <w:b/>
                                <w:bCs/>
                                <w:sz w:val="24"/>
                                <w:szCs w:val="24"/>
                              </w:rPr>
                              <w:t>5. Magazine Luiza Financial Statements</w:t>
                            </w:r>
                            <w:r>
                              <w:rPr>
                                <w:rFonts w:ascii="Cambria" w:hAnsi="Cambria"/>
                                <w:b/>
                                <w:bCs/>
                                <w:sz w:val="24"/>
                                <w:szCs w:val="24"/>
                              </w:rPr>
                              <w:tab/>
                            </w:r>
                            <w:r>
                              <w:rPr>
                                <w:rFonts w:ascii="Cambria" w:hAnsi="Cambria"/>
                                <w:b/>
                                <w:bCs/>
                                <w:sz w:val="24"/>
                                <w:szCs w:val="24"/>
                              </w:rPr>
                              <w:tab/>
                            </w:r>
                            <w:r>
                              <w:rPr>
                                <w:rFonts w:ascii="Cambria" w:hAnsi="Cambria"/>
                                <w:b/>
                                <w:bCs/>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1542" id="_x0000_s1066" type="#_x0000_t202" style="position:absolute;left:0;text-align:left;margin-left:7.8pt;margin-top:0;width:280.8pt;height:3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" stroked="f">
                <v:textbox>
                  <w:txbxContent>
                    <w:p w14:paraId="31399854" w14:textId="52C4BA31" w:rsidR="00C974E3" w:rsidRDefault="00C974E3">
                      <w:r>
                        <w:rPr>
                          <w:rFonts w:ascii="Cambria" w:hAnsi="Cambria"/>
                          <w:b/>
                          <w:bCs/>
                          <w:sz w:val="24"/>
                          <w:szCs w:val="24"/>
                        </w:rPr>
                        <w:t>5. Magazine Luiza Financial Statements</w:t>
                      </w:r>
                      <w:r>
                        <w:rPr>
                          <w:rFonts w:ascii="Cambria" w:hAnsi="Cambria"/>
                          <w:b/>
                          <w:bCs/>
                          <w:sz w:val="24"/>
                          <w:szCs w:val="24"/>
                        </w:rPr>
                        <w:tab/>
                      </w:r>
                      <w:r>
                        <w:rPr>
                          <w:rFonts w:ascii="Cambria" w:hAnsi="Cambria"/>
                          <w:b/>
                          <w:bCs/>
                          <w:sz w:val="24"/>
                          <w:szCs w:val="24"/>
                        </w:rPr>
                        <w:tab/>
                      </w:r>
                      <w:r>
                        <w:rPr>
                          <w:rFonts w:ascii="Cambria" w:hAnsi="Cambria"/>
                          <w:b/>
                          <w:bCs/>
                          <w:sz w:val="24"/>
                          <w:szCs w:val="24"/>
                        </w:rPr>
                        <w:br/>
                      </w:r>
                    </w:p>
                  </w:txbxContent>
                </v:textbox>
                <w10:wrap type="square"/>
              </v:shape>
            </w:pict>
          </mc:Fallback>
        </mc:AlternateContent>
      </w:r>
      <w:r w:rsidR="0055289D" w:rsidRPr="00456405">
        <w:rPr>
          <w:rFonts w:ascii="Cambria" w:hAnsi="Cambria"/>
          <w:b/>
          <w:bCs/>
          <w:noProof/>
          <w:sz w:val="24"/>
          <w:szCs w:val="24"/>
        </w:rPr>
        <mc:AlternateContent>
          <mc:Choice Requires="wps">
            <w:drawing>
              <wp:anchor distT="45720" distB="45720" distL="114300" distR="114300" simplePos="0" relativeHeight="251737088" behindDoc="0" locked="0" layoutInCell="1" allowOverlap="1" wp14:anchorId="17A746F1" wp14:editId="6BAD444B">
                <wp:simplePos x="0" y="0"/>
                <wp:positionH relativeFrom="margin">
                  <wp:align>right</wp:align>
                </wp:positionH>
                <wp:positionV relativeFrom="paragraph">
                  <wp:posOffset>411480</wp:posOffset>
                </wp:positionV>
                <wp:extent cx="6172200" cy="1404620"/>
                <wp:effectExtent l="0" t="0" r="0" b="6350"/>
                <wp:wrapSquare wrapText="bothSides"/>
                <wp:docPr id="1266598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noFill/>
                          <a:miter lim="800000"/>
                          <a:headEnd/>
                          <a:tailEnd/>
                        </a:ln>
                      </wps:spPr>
                      <wps:txbx>
                        <w:txbxContent>
                          <w:tbl>
                            <w:tblPr>
                              <w:tblW w:w="4992" w:type="pct"/>
                              <w:tblLook w:val="04A0" w:firstRow="1" w:lastRow="0" w:firstColumn="1" w:lastColumn="0" w:noHBand="0" w:noVBand="1"/>
                            </w:tblPr>
                            <w:tblGrid>
                              <w:gridCol w:w="3292"/>
                              <w:gridCol w:w="1021"/>
                              <w:gridCol w:w="1021"/>
                              <w:gridCol w:w="1021"/>
                              <w:gridCol w:w="1021"/>
                              <w:gridCol w:w="1021"/>
                              <w:gridCol w:w="1021"/>
                            </w:tblGrid>
                            <w:tr w:rsidR="0055289D" w:rsidRPr="0055289D" w14:paraId="0A3C7083" w14:textId="77777777" w:rsidTr="0055289D">
                              <w:trPr>
                                <w:trHeight w:val="336"/>
                              </w:trPr>
                              <w:tc>
                                <w:tcPr>
                                  <w:tcW w:w="4458" w:type="pct"/>
                                  <w:gridSpan w:val="6"/>
                                  <w:tcBorders>
                                    <w:top w:val="nil"/>
                                    <w:left w:val="nil"/>
                                    <w:bottom w:val="nil"/>
                                    <w:right w:val="nil"/>
                                  </w:tcBorders>
                                  <w:noWrap/>
                                  <w:vAlign w:val="bottom"/>
                                  <w:hideMark/>
                                </w:tcPr>
                                <w:p w14:paraId="4F3CE761"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Magazine Luiza S.A. (</w:t>
                                  </w:r>
                                  <w:r w:rsidRPr="0055289D">
                                    <w:rPr>
                                      <w:rFonts w:ascii="Cambria" w:eastAsia="Times New Roman" w:hAnsi="Cambria" w:cs="Arial"/>
                                      <w:b/>
                                      <w:bCs/>
                                      <w:color w:val="000000"/>
                                      <w:kern w:val="0"/>
                                      <w:sz w:val="14"/>
                                      <w:szCs w:val="14"/>
                                      <w:lang w:eastAsia="en-IN"/>
                                      <w14:ligatures w14:val="none"/>
                                    </w:rPr>
                                    <w:t>BOVESPA:MGLU3) &gt; Financials &gt; Ratios</w:t>
                                  </w:r>
                                </w:p>
                              </w:tc>
                              <w:tc>
                                <w:tcPr>
                                  <w:tcW w:w="542" w:type="pct"/>
                                  <w:tcBorders>
                                    <w:top w:val="nil"/>
                                    <w:left w:val="nil"/>
                                    <w:bottom w:val="nil"/>
                                    <w:right w:val="nil"/>
                                  </w:tcBorders>
                                  <w:noWrap/>
                                  <w:vAlign w:val="bottom"/>
                                  <w:hideMark/>
                                </w:tcPr>
                                <w:p w14:paraId="6E85488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r>
                            <w:tr w:rsidR="0055289D" w:rsidRPr="0055289D" w14:paraId="528510A1" w14:textId="77777777" w:rsidTr="0055289D">
                              <w:trPr>
                                <w:trHeight w:val="204"/>
                              </w:trPr>
                              <w:tc>
                                <w:tcPr>
                                  <w:tcW w:w="1748" w:type="pct"/>
                                  <w:tcBorders>
                                    <w:top w:val="nil"/>
                                    <w:left w:val="nil"/>
                                    <w:bottom w:val="nil"/>
                                    <w:right w:val="nil"/>
                                  </w:tcBorders>
                                  <w:shd w:val="clear" w:color="000000" w:fill="003366"/>
                                  <w:noWrap/>
                                  <w:vAlign w:val="bottom"/>
                                  <w:hideMark/>
                                </w:tcPr>
                                <w:p w14:paraId="4BB502AB"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Ratios</w:t>
                                  </w:r>
                                </w:p>
                              </w:tc>
                              <w:tc>
                                <w:tcPr>
                                  <w:tcW w:w="542" w:type="pct"/>
                                  <w:tcBorders>
                                    <w:top w:val="nil"/>
                                    <w:left w:val="nil"/>
                                    <w:bottom w:val="nil"/>
                                    <w:right w:val="nil"/>
                                  </w:tcBorders>
                                  <w:shd w:val="clear" w:color="000000" w:fill="003366"/>
                                  <w:noWrap/>
                                  <w:vAlign w:val="bottom"/>
                                  <w:hideMark/>
                                </w:tcPr>
                                <w:p w14:paraId="7A3432FC"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3F94D7B8"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4C249685"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32AF3CA4"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07B62EA2"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7327A22A"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r>
                            <w:tr w:rsidR="0055289D" w:rsidRPr="0055289D" w14:paraId="5837DC21" w14:textId="77777777" w:rsidTr="0055289D">
                              <w:trPr>
                                <w:trHeight w:val="816"/>
                              </w:trPr>
                              <w:tc>
                                <w:tcPr>
                                  <w:tcW w:w="1748" w:type="pct"/>
                                  <w:tcBorders>
                                    <w:top w:val="nil"/>
                                    <w:left w:val="nil"/>
                                    <w:bottom w:val="nil"/>
                                    <w:right w:val="nil"/>
                                  </w:tcBorders>
                                  <w:shd w:val="clear" w:color="000000" w:fill="F0F0DC"/>
                                  <w:vAlign w:val="bottom"/>
                                  <w:hideMark/>
                                </w:tcPr>
                                <w:p w14:paraId="55DBD591"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For the Fiscal Period Ending</w:t>
                                  </w:r>
                                </w:p>
                              </w:tc>
                              <w:tc>
                                <w:tcPr>
                                  <w:tcW w:w="542" w:type="pct"/>
                                  <w:tcBorders>
                                    <w:top w:val="nil"/>
                                    <w:left w:val="nil"/>
                                    <w:bottom w:val="nil"/>
                                    <w:right w:val="nil"/>
                                  </w:tcBorders>
                                  <w:shd w:val="clear" w:color="000000" w:fill="F0F0DC"/>
                                  <w:vAlign w:val="bottom"/>
                                  <w:hideMark/>
                                </w:tcPr>
                                <w:p w14:paraId="6D9CF6C9"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Dec-31-2019</w:t>
                                  </w:r>
                                </w:p>
                              </w:tc>
                              <w:tc>
                                <w:tcPr>
                                  <w:tcW w:w="542" w:type="pct"/>
                                  <w:tcBorders>
                                    <w:top w:val="nil"/>
                                    <w:left w:val="nil"/>
                                    <w:bottom w:val="nil"/>
                                    <w:right w:val="nil"/>
                                  </w:tcBorders>
                                  <w:shd w:val="clear" w:color="000000" w:fill="F0F0DC"/>
                                  <w:vAlign w:val="bottom"/>
                                  <w:hideMark/>
                                </w:tcPr>
                                <w:p w14:paraId="39B4786D"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Dec-31-2020</w:t>
                                  </w:r>
                                </w:p>
                              </w:tc>
                              <w:tc>
                                <w:tcPr>
                                  <w:tcW w:w="542" w:type="pct"/>
                                  <w:tcBorders>
                                    <w:top w:val="nil"/>
                                    <w:left w:val="nil"/>
                                    <w:bottom w:val="nil"/>
                                    <w:right w:val="nil"/>
                                  </w:tcBorders>
                                  <w:shd w:val="clear" w:color="000000" w:fill="F0F0DC"/>
                                  <w:vAlign w:val="bottom"/>
                                  <w:hideMark/>
                                </w:tcPr>
                                <w:p w14:paraId="5B7CCDBB"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Dec-31-2021</w:t>
                                  </w:r>
                                </w:p>
                              </w:tc>
                              <w:tc>
                                <w:tcPr>
                                  <w:tcW w:w="542" w:type="pct"/>
                                  <w:tcBorders>
                                    <w:top w:val="nil"/>
                                    <w:left w:val="nil"/>
                                    <w:bottom w:val="nil"/>
                                    <w:right w:val="nil"/>
                                  </w:tcBorders>
                                  <w:shd w:val="clear" w:color="000000" w:fill="F0F0DC"/>
                                  <w:vAlign w:val="bottom"/>
                                  <w:hideMark/>
                                </w:tcPr>
                                <w:p w14:paraId="5DED5A7F"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Dec-31-2022</w:t>
                                  </w:r>
                                </w:p>
                              </w:tc>
                              <w:tc>
                                <w:tcPr>
                                  <w:tcW w:w="542" w:type="pct"/>
                                  <w:tcBorders>
                                    <w:top w:val="nil"/>
                                    <w:left w:val="nil"/>
                                    <w:bottom w:val="nil"/>
                                    <w:right w:val="nil"/>
                                  </w:tcBorders>
                                  <w:shd w:val="clear" w:color="000000" w:fill="F0F0DC"/>
                                  <w:vAlign w:val="bottom"/>
                                  <w:hideMark/>
                                </w:tcPr>
                                <w:p w14:paraId="75B592A0"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Dec-31-2023</w:t>
                                  </w:r>
                                </w:p>
                              </w:tc>
                              <w:tc>
                                <w:tcPr>
                                  <w:tcW w:w="542" w:type="pct"/>
                                  <w:tcBorders>
                                    <w:top w:val="nil"/>
                                    <w:left w:val="nil"/>
                                    <w:bottom w:val="nil"/>
                                    <w:right w:val="nil"/>
                                  </w:tcBorders>
                                  <w:shd w:val="clear" w:color="000000" w:fill="F0F0DC"/>
                                  <w:vAlign w:val="bottom"/>
                                  <w:hideMark/>
                                </w:tcPr>
                                <w:p w14:paraId="51C6F1D2"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LTM</w:t>
                                  </w:r>
                                  <w:r w:rsidRPr="0055289D">
                                    <w:rPr>
                                      <w:rFonts w:ascii="Cambria" w:eastAsia="Times New Roman" w:hAnsi="Cambria" w:cs="Arial"/>
                                      <w:b/>
                                      <w:bCs/>
                                      <w:color w:val="000000"/>
                                      <w:kern w:val="0"/>
                                      <w:sz w:val="14"/>
                                      <w:szCs w:val="14"/>
                                      <w:lang w:eastAsia="en-IN"/>
                                      <w14:ligatures w14:val="none"/>
                                    </w:rPr>
                                    <w:br/>
                                    <w:t>12 months</w:t>
                                  </w:r>
                                  <w:r w:rsidRPr="0055289D">
                                    <w:rPr>
                                      <w:rFonts w:ascii="Cambria" w:eastAsia="Times New Roman" w:hAnsi="Cambria" w:cs="Arial"/>
                                      <w:b/>
                                      <w:bCs/>
                                      <w:color w:val="000000"/>
                                      <w:kern w:val="0"/>
                                      <w:sz w:val="14"/>
                                      <w:szCs w:val="14"/>
                                      <w:lang w:eastAsia="en-IN"/>
                                      <w14:ligatures w14:val="none"/>
                                    </w:rPr>
                                    <w:br/>
                                    <w:t>Sep-30-2024</w:t>
                                  </w:r>
                                </w:p>
                              </w:tc>
                            </w:tr>
                            <w:tr w:rsidR="0055289D" w:rsidRPr="0055289D" w14:paraId="18CD4B2D" w14:textId="77777777" w:rsidTr="0055289D">
                              <w:trPr>
                                <w:trHeight w:val="204"/>
                              </w:trPr>
                              <w:tc>
                                <w:tcPr>
                                  <w:tcW w:w="1748" w:type="pct"/>
                                  <w:tcBorders>
                                    <w:top w:val="nil"/>
                                    <w:left w:val="nil"/>
                                    <w:bottom w:val="nil"/>
                                    <w:right w:val="nil"/>
                                  </w:tcBorders>
                                  <w:noWrap/>
                                  <w:hideMark/>
                                </w:tcPr>
                                <w:p w14:paraId="7204CBD5"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Profitability</w:t>
                                  </w:r>
                                </w:p>
                              </w:tc>
                              <w:tc>
                                <w:tcPr>
                                  <w:tcW w:w="542" w:type="pct"/>
                                  <w:tcBorders>
                                    <w:top w:val="nil"/>
                                    <w:left w:val="nil"/>
                                    <w:bottom w:val="nil"/>
                                    <w:right w:val="nil"/>
                                  </w:tcBorders>
                                  <w:noWrap/>
                                  <w:hideMark/>
                                </w:tcPr>
                                <w:p w14:paraId="3D0C8F2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25DCD736"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438F8C1"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8ABB830"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EC5EC7E"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A0E7C8E"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B5DABB6" w14:textId="77777777" w:rsidTr="0055289D">
                              <w:trPr>
                                <w:trHeight w:val="204"/>
                              </w:trPr>
                              <w:tc>
                                <w:tcPr>
                                  <w:tcW w:w="1748" w:type="pct"/>
                                  <w:tcBorders>
                                    <w:top w:val="nil"/>
                                    <w:left w:val="nil"/>
                                    <w:bottom w:val="nil"/>
                                    <w:right w:val="nil"/>
                                  </w:tcBorders>
                                  <w:noWrap/>
                                  <w:hideMark/>
                                </w:tcPr>
                                <w:p w14:paraId="16C9ACEE"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Assets %</w:t>
                                  </w:r>
                                </w:p>
                              </w:tc>
                              <w:tc>
                                <w:tcPr>
                                  <w:tcW w:w="542" w:type="pct"/>
                                  <w:tcBorders>
                                    <w:top w:val="nil"/>
                                    <w:left w:val="nil"/>
                                    <w:bottom w:val="nil"/>
                                    <w:right w:val="nil"/>
                                  </w:tcBorders>
                                  <w:hideMark/>
                                </w:tcPr>
                                <w:p w14:paraId="51FBE70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c>
                                <w:tcPr>
                                  <w:tcW w:w="542" w:type="pct"/>
                                  <w:tcBorders>
                                    <w:top w:val="nil"/>
                                    <w:left w:val="nil"/>
                                    <w:bottom w:val="nil"/>
                                    <w:right w:val="nil"/>
                                  </w:tcBorders>
                                  <w:hideMark/>
                                </w:tcPr>
                                <w:p w14:paraId="47DBA73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 </w:t>
                                  </w:r>
                                </w:p>
                              </w:tc>
                              <w:tc>
                                <w:tcPr>
                                  <w:tcW w:w="542" w:type="pct"/>
                                  <w:tcBorders>
                                    <w:top w:val="nil"/>
                                    <w:left w:val="nil"/>
                                    <w:bottom w:val="nil"/>
                                    <w:right w:val="nil"/>
                                  </w:tcBorders>
                                  <w:hideMark/>
                                </w:tcPr>
                                <w:p w14:paraId="50AB3D2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0.2% </w:t>
                                  </w:r>
                                </w:p>
                              </w:tc>
                              <w:tc>
                                <w:tcPr>
                                  <w:tcW w:w="542" w:type="pct"/>
                                  <w:tcBorders>
                                    <w:top w:val="nil"/>
                                    <w:left w:val="nil"/>
                                    <w:bottom w:val="nil"/>
                                    <w:right w:val="nil"/>
                                  </w:tcBorders>
                                  <w:hideMark/>
                                </w:tcPr>
                                <w:p w14:paraId="5456D0C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 </w:t>
                                  </w:r>
                                </w:p>
                              </w:tc>
                              <w:tc>
                                <w:tcPr>
                                  <w:tcW w:w="542" w:type="pct"/>
                                  <w:tcBorders>
                                    <w:top w:val="nil"/>
                                    <w:left w:val="nil"/>
                                    <w:bottom w:val="nil"/>
                                    <w:right w:val="nil"/>
                                  </w:tcBorders>
                                  <w:hideMark/>
                                </w:tcPr>
                                <w:p w14:paraId="2194053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(0.8%) </w:t>
                                  </w:r>
                                </w:p>
                              </w:tc>
                              <w:tc>
                                <w:tcPr>
                                  <w:tcW w:w="542" w:type="pct"/>
                                  <w:tcBorders>
                                    <w:top w:val="nil"/>
                                    <w:left w:val="nil"/>
                                    <w:bottom w:val="nil"/>
                                    <w:right w:val="nil"/>
                                  </w:tcBorders>
                                  <w:hideMark/>
                                </w:tcPr>
                                <w:p w14:paraId="4698B4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 </w:t>
                                  </w:r>
                                </w:p>
                              </w:tc>
                            </w:tr>
                            <w:tr w:rsidR="0055289D" w:rsidRPr="0055289D" w14:paraId="2407B00C" w14:textId="77777777" w:rsidTr="0055289D">
                              <w:trPr>
                                <w:trHeight w:val="204"/>
                              </w:trPr>
                              <w:tc>
                                <w:tcPr>
                                  <w:tcW w:w="1748" w:type="pct"/>
                                  <w:tcBorders>
                                    <w:top w:val="nil"/>
                                    <w:left w:val="nil"/>
                                    <w:bottom w:val="nil"/>
                                    <w:right w:val="nil"/>
                                  </w:tcBorders>
                                  <w:noWrap/>
                                  <w:hideMark/>
                                </w:tcPr>
                                <w:p w14:paraId="039153A4"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Capital %</w:t>
                                  </w:r>
                                </w:p>
                              </w:tc>
                              <w:tc>
                                <w:tcPr>
                                  <w:tcW w:w="542" w:type="pct"/>
                                  <w:tcBorders>
                                    <w:top w:val="nil"/>
                                    <w:left w:val="nil"/>
                                    <w:bottom w:val="nil"/>
                                    <w:right w:val="nil"/>
                                  </w:tcBorders>
                                  <w:hideMark/>
                                </w:tcPr>
                                <w:p w14:paraId="79426B0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7.9% </w:t>
                                  </w:r>
                                </w:p>
                              </w:tc>
                              <w:tc>
                                <w:tcPr>
                                  <w:tcW w:w="542" w:type="pct"/>
                                  <w:tcBorders>
                                    <w:top w:val="nil"/>
                                    <w:left w:val="nil"/>
                                    <w:bottom w:val="nil"/>
                                    <w:right w:val="nil"/>
                                  </w:tcBorders>
                                  <w:hideMark/>
                                </w:tcPr>
                                <w:p w14:paraId="0411E5E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3.5% </w:t>
                                  </w:r>
                                </w:p>
                              </w:tc>
                              <w:tc>
                                <w:tcPr>
                                  <w:tcW w:w="542" w:type="pct"/>
                                  <w:tcBorders>
                                    <w:top w:val="nil"/>
                                    <w:left w:val="nil"/>
                                    <w:bottom w:val="nil"/>
                                    <w:right w:val="nil"/>
                                  </w:tcBorders>
                                  <w:hideMark/>
                                </w:tcPr>
                                <w:p w14:paraId="3DAEC06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0.4% </w:t>
                                  </w:r>
                                </w:p>
                              </w:tc>
                              <w:tc>
                                <w:tcPr>
                                  <w:tcW w:w="542" w:type="pct"/>
                                  <w:tcBorders>
                                    <w:top w:val="nil"/>
                                    <w:left w:val="nil"/>
                                    <w:bottom w:val="nil"/>
                                    <w:right w:val="nil"/>
                                  </w:tcBorders>
                                  <w:hideMark/>
                                </w:tcPr>
                                <w:p w14:paraId="7417898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 </w:t>
                                  </w:r>
                                </w:p>
                              </w:tc>
                              <w:tc>
                                <w:tcPr>
                                  <w:tcW w:w="542" w:type="pct"/>
                                  <w:tcBorders>
                                    <w:top w:val="nil"/>
                                    <w:left w:val="nil"/>
                                    <w:bottom w:val="nil"/>
                                    <w:right w:val="nil"/>
                                  </w:tcBorders>
                                  <w:hideMark/>
                                </w:tcPr>
                                <w:p w14:paraId="4602F7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 </w:t>
                                  </w:r>
                                </w:p>
                              </w:tc>
                              <w:tc>
                                <w:tcPr>
                                  <w:tcW w:w="542" w:type="pct"/>
                                  <w:tcBorders>
                                    <w:top w:val="nil"/>
                                    <w:left w:val="nil"/>
                                    <w:bottom w:val="nil"/>
                                    <w:right w:val="nil"/>
                                  </w:tcBorders>
                                  <w:hideMark/>
                                </w:tcPr>
                                <w:p w14:paraId="7AD04C2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r>
                            <w:tr w:rsidR="0055289D" w:rsidRPr="0055289D" w14:paraId="6F22E66C" w14:textId="77777777" w:rsidTr="0055289D">
                              <w:trPr>
                                <w:trHeight w:val="204"/>
                              </w:trPr>
                              <w:tc>
                                <w:tcPr>
                                  <w:tcW w:w="1748" w:type="pct"/>
                                  <w:tcBorders>
                                    <w:top w:val="nil"/>
                                    <w:left w:val="nil"/>
                                    <w:bottom w:val="nil"/>
                                    <w:right w:val="nil"/>
                                  </w:tcBorders>
                                  <w:noWrap/>
                                  <w:hideMark/>
                                </w:tcPr>
                                <w:p w14:paraId="55F9715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Equity %</w:t>
                                  </w:r>
                                </w:p>
                              </w:tc>
                              <w:tc>
                                <w:tcPr>
                                  <w:tcW w:w="542" w:type="pct"/>
                                  <w:tcBorders>
                                    <w:top w:val="nil"/>
                                    <w:left w:val="nil"/>
                                    <w:bottom w:val="nil"/>
                                    <w:right w:val="nil"/>
                                  </w:tcBorders>
                                  <w:hideMark/>
                                </w:tcPr>
                                <w:p w14:paraId="5D7DB3D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18.7% </w:t>
                                  </w:r>
                                </w:p>
                              </w:tc>
                              <w:tc>
                                <w:tcPr>
                                  <w:tcW w:w="542" w:type="pct"/>
                                  <w:tcBorders>
                                    <w:top w:val="nil"/>
                                    <w:left w:val="nil"/>
                                    <w:bottom w:val="nil"/>
                                    <w:right w:val="nil"/>
                                  </w:tcBorders>
                                  <w:hideMark/>
                                </w:tcPr>
                                <w:p w14:paraId="3A689FB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 </w:t>
                                  </w:r>
                                </w:p>
                              </w:tc>
                              <w:tc>
                                <w:tcPr>
                                  <w:tcW w:w="542" w:type="pct"/>
                                  <w:tcBorders>
                                    <w:top w:val="nil"/>
                                    <w:left w:val="nil"/>
                                    <w:bottom w:val="nil"/>
                                    <w:right w:val="nil"/>
                                  </w:tcBorders>
                                  <w:hideMark/>
                                </w:tcPr>
                                <w:p w14:paraId="5AC3DE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6.4% </w:t>
                                  </w:r>
                                </w:p>
                              </w:tc>
                              <w:tc>
                                <w:tcPr>
                                  <w:tcW w:w="542" w:type="pct"/>
                                  <w:tcBorders>
                                    <w:top w:val="nil"/>
                                    <w:left w:val="nil"/>
                                    <w:bottom w:val="nil"/>
                                    <w:right w:val="nil"/>
                                  </w:tcBorders>
                                  <w:hideMark/>
                                </w:tcPr>
                                <w:p w14:paraId="274889C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24DAE04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(9.7%) </w:t>
                                  </w:r>
                                </w:p>
                              </w:tc>
                              <w:tc>
                                <w:tcPr>
                                  <w:tcW w:w="542" w:type="pct"/>
                                  <w:tcBorders>
                                    <w:top w:val="nil"/>
                                    <w:left w:val="nil"/>
                                    <w:bottom w:val="nil"/>
                                    <w:right w:val="nil"/>
                                  </w:tcBorders>
                                  <w:hideMark/>
                                </w:tcPr>
                                <w:p w14:paraId="7BD9D73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 </w:t>
                                  </w:r>
                                </w:p>
                              </w:tc>
                            </w:tr>
                            <w:tr w:rsidR="0055289D" w:rsidRPr="0055289D" w14:paraId="5F58540B" w14:textId="77777777" w:rsidTr="0055289D">
                              <w:trPr>
                                <w:trHeight w:val="204"/>
                              </w:trPr>
                              <w:tc>
                                <w:tcPr>
                                  <w:tcW w:w="1748" w:type="pct"/>
                                  <w:tcBorders>
                                    <w:top w:val="nil"/>
                                    <w:left w:val="nil"/>
                                    <w:bottom w:val="nil"/>
                                    <w:right w:val="nil"/>
                                  </w:tcBorders>
                                  <w:noWrap/>
                                  <w:hideMark/>
                                </w:tcPr>
                                <w:p w14:paraId="28EE9DF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Common Equity %</w:t>
                                  </w:r>
                                </w:p>
                              </w:tc>
                              <w:tc>
                                <w:tcPr>
                                  <w:tcW w:w="542" w:type="pct"/>
                                  <w:tcBorders>
                                    <w:top w:val="nil"/>
                                    <w:left w:val="nil"/>
                                    <w:bottom w:val="nil"/>
                                    <w:right w:val="nil"/>
                                  </w:tcBorders>
                                  <w:hideMark/>
                                </w:tcPr>
                                <w:p w14:paraId="652EF9C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18.7% </w:t>
                                  </w:r>
                                </w:p>
                              </w:tc>
                              <w:tc>
                                <w:tcPr>
                                  <w:tcW w:w="542" w:type="pct"/>
                                  <w:tcBorders>
                                    <w:top w:val="nil"/>
                                    <w:left w:val="nil"/>
                                    <w:bottom w:val="nil"/>
                                    <w:right w:val="nil"/>
                                  </w:tcBorders>
                                  <w:hideMark/>
                                </w:tcPr>
                                <w:p w14:paraId="56301F9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 </w:t>
                                  </w:r>
                                </w:p>
                              </w:tc>
                              <w:tc>
                                <w:tcPr>
                                  <w:tcW w:w="542" w:type="pct"/>
                                  <w:tcBorders>
                                    <w:top w:val="nil"/>
                                    <w:left w:val="nil"/>
                                    <w:bottom w:val="nil"/>
                                    <w:right w:val="nil"/>
                                  </w:tcBorders>
                                  <w:hideMark/>
                                </w:tcPr>
                                <w:p w14:paraId="0F39438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6.4% </w:t>
                                  </w:r>
                                </w:p>
                              </w:tc>
                              <w:tc>
                                <w:tcPr>
                                  <w:tcW w:w="542" w:type="pct"/>
                                  <w:tcBorders>
                                    <w:top w:val="nil"/>
                                    <w:left w:val="nil"/>
                                    <w:bottom w:val="nil"/>
                                    <w:right w:val="nil"/>
                                  </w:tcBorders>
                                  <w:hideMark/>
                                </w:tcPr>
                                <w:p w14:paraId="22E000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067AA8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(9.7%) </w:t>
                                  </w:r>
                                </w:p>
                              </w:tc>
                              <w:tc>
                                <w:tcPr>
                                  <w:tcW w:w="542" w:type="pct"/>
                                  <w:tcBorders>
                                    <w:top w:val="nil"/>
                                    <w:left w:val="nil"/>
                                    <w:bottom w:val="nil"/>
                                    <w:right w:val="nil"/>
                                  </w:tcBorders>
                                  <w:hideMark/>
                                </w:tcPr>
                                <w:p w14:paraId="2A998A3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 </w:t>
                                  </w:r>
                                </w:p>
                              </w:tc>
                            </w:tr>
                            <w:tr w:rsidR="0055289D" w:rsidRPr="0055289D" w14:paraId="2C547EBC" w14:textId="77777777" w:rsidTr="0055289D">
                              <w:trPr>
                                <w:trHeight w:val="204"/>
                              </w:trPr>
                              <w:tc>
                                <w:tcPr>
                                  <w:tcW w:w="1748" w:type="pct"/>
                                  <w:tcBorders>
                                    <w:top w:val="nil"/>
                                    <w:left w:val="nil"/>
                                    <w:bottom w:val="nil"/>
                                    <w:right w:val="nil"/>
                                  </w:tcBorders>
                                  <w:noWrap/>
                                  <w:hideMark/>
                                </w:tcPr>
                                <w:p w14:paraId="5A9D11B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Margin Analysis</w:t>
                                  </w:r>
                                </w:p>
                              </w:tc>
                              <w:tc>
                                <w:tcPr>
                                  <w:tcW w:w="542" w:type="pct"/>
                                  <w:tcBorders>
                                    <w:top w:val="nil"/>
                                    <w:left w:val="nil"/>
                                    <w:bottom w:val="nil"/>
                                    <w:right w:val="nil"/>
                                  </w:tcBorders>
                                  <w:noWrap/>
                                  <w:hideMark/>
                                </w:tcPr>
                                <w:p w14:paraId="56BCC27D"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227E13AC"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59C5744A"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070B2DAD"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52E403D0"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07324B9"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102B0F48" w14:textId="77777777" w:rsidTr="0055289D">
                              <w:trPr>
                                <w:trHeight w:val="204"/>
                              </w:trPr>
                              <w:tc>
                                <w:tcPr>
                                  <w:tcW w:w="1748" w:type="pct"/>
                                  <w:tcBorders>
                                    <w:top w:val="nil"/>
                                    <w:left w:val="nil"/>
                                    <w:bottom w:val="nil"/>
                                    <w:right w:val="nil"/>
                                  </w:tcBorders>
                                  <w:noWrap/>
                                  <w:hideMark/>
                                </w:tcPr>
                                <w:p w14:paraId="408ECE9C"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Gross Margin %</w:t>
                                  </w:r>
                                </w:p>
                              </w:tc>
                              <w:tc>
                                <w:tcPr>
                                  <w:tcW w:w="542" w:type="pct"/>
                                  <w:tcBorders>
                                    <w:top w:val="nil"/>
                                    <w:left w:val="nil"/>
                                    <w:bottom w:val="nil"/>
                                    <w:right w:val="nil"/>
                                  </w:tcBorders>
                                  <w:hideMark/>
                                </w:tcPr>
                                <w:p w14:paraId="4199081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27.9% </w:t>
                                  </w:r>
                                </w:p>
                              </w:tc>
                              <w:tc>
                                <w:tcPr>
                                  <w:tcW w:w="542" w:type="pct"/>
                                  <w:tcBorders>
                                    <w:top w:val="nil"/>
                                    <w:left w:val="nil"/>
                                    <w:bottom w:val="nil"/>
                                    <w:right w:val="nil"/>
                                  </w:tcBorders>
                                  <w:hideMark/>
                                </w:tcPr>
                                <w:p w14:paraId="26D951B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25.8% </w:t>
                                  </w:r>
                                </w:p>
                              </w:tc>
                              <w:tc>
                                <w:tcPr>
                                  <w:tcW w:w="542" w:type="pct"/>
                                  <w:tcBorders>
                                    <w:top w:val="nil"/>
                                    <w:left w:val="nil"/>
                                    <w:bottom w:val="nil"/>
                                    <w:right w:val="nil"/>
                                  </w:tcBorders>
                                  <w:hideMark/>
                                </w:tcPr>
                                <w:p w14:paraId="7A21E6F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24.1% </w:t>
                                  </w:r>
                                </w:p>
                              </w:tc>
                              <w:tc>
                                <w:tcPr>
                                  <w:tcW w:w="542" w:type="pct"/>
                                  <w:tcBorders>
                                    <w:top w:val="nil"/>
                                    <w:left w:val="nil"/>
                                    <w:bottom w:val="nil"/>
                                    <w:right w:val="nil"/>
                                  </w:tcBorders>
                                  <w:hideMark/>
                                </w:tcPr>
                                <w:p w14:paraId="01A6CF7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28.0% </w:t>
                                  </w:r>
                                </w:p>
                              </w:tc>
                              <w:tc>
                                <w:tcPr>
                                  <w:tcW w:w="542" w:type="pct"/>
                                  <w:tcBorders>
                                    <w:top w:val="nil"/>
                                    <w:left w:val="nil"/>
                                    <w:bottom w:val="nil"/>
                                    <w:right w:val="nil"/>
                                  </w:tcBorders>
                                  <w:hideMark/>
                                </w:tcPr>
                                <w:p w14:paraId="7771455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27.6% </w:t>
                                  </w:r>
                                </w:p>
                              </w:tc>
                              <w:tc>
                                <w:tcPr>
                                  <w:tcW w:w="542" w:type="pct"/>
                                  <w:tcBorders>
                                    <w:top w:val="nil"/>
                                    <w:left w:val="nil"/>
                                    <w:bottom w:val="nil"/>
                                    <w:right w:val="nil"/>
                                  </w:tcBorders>
                                  <w:hideMark/>
                                </w:tcPr>
                                <w:p w14:paraId="4F7D2CC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30.6% </w:t>
                                  </w:r>
                                </w:p>
                              </w:tc>
                            </w:tr>
                            <w:tr w:rsidR="0055289D" w:rsidRPr="0055289D" w14:paraId="5CE6FE3C" w14:textId="77777777" w:rsidTr="0055289D">
                              <w:trPr>
                                <w:trHeight w:val="204"/>
                              </w:trPr>
                              <w:tc>
                                <w:tcPr>
                                  <w:tcW w:w="1748" w:type="pct"/>
                                  <w:tcBorders>
                                    <w:top w:val="nil"/>
                                    <w:left w:val="nil"/>
                                    <w:bottom w:val="nil"/>
                                    <w:right w:val="nil"/>
                                  </w:tcBorders>
                                  <w:noWrap/>
                                  <w:hideMark/>
                                </w:tcPr>
                                <w:p w14:paraId="5EF5F9D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SG&amp;A Margin %</w:t>
                                  </w:r>
                                </w:p>
                              </w:tc>
                              <w:tc>
                                <w:tcPr>
                                  <w:tcW w:w="542" w:type="pct"/>
                                  <w:tcBorders>
                                    <w:top w:val="nil"/>
                                    <w:left w:val="nil"/>
                                    <w:bottom w:val="nil"/>
                                    <w:right w:val="nil"/>
                                  </w:tcBorders>
                                  <w:hideMark/>
                                </w:tcPr>
                                <w:p w14:paraId="1D7ED89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20.8% </w:t>
                                  </w:r>
                                </w:p>
                              </w:tc>
                              <w:tc>
                                <w:tcPr>
                                  <w:tcW w:w="542" w:type="pct"/>
                                  <w:tcBorders>
                                    <w:top w:val="nil"/>
                                    <w:left w:val="nil"/>
                                    <w:bottom w:val="nil"/>
                                    <w:right w:val="nil"/>
                                  </w:tcBorders>
                                  <w:hideMark/>
                                </w:tcPr>
                                <w:p w14:paraId="2648F69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20.8% </w:t>
                                  </w:r>
                                </w:p>
                              </w:tc>
                              <w:tc>
                                <w:tcPr>
                                  <w:tcW w:w="542" w:type="pct"/>
                                  <w:tcBorders>
                                    <w:top w:val="nil"/>
                                    <w:left w:val="nil"/>
                                    <w:bottom w:val="nil"/>
                                    <w:right w:val="nil"/>
                                  </w:tcBorders>
                                  <w:hideMark/>
                                </w:tcPr>
                                <w:p w14:paraId="582A07B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21.0% </w:t>
                                  </w:r>
                                </w:p>
                              </w:tc>
                              <w:tc>
                                <w:tcPr>
                                  <w:tcW w:w="542" w:type="pct"/>
                                  <w:tcBorders>
                                    <w:top w:val="nil"/>
                                    <w:left w:val="nil"/>
                                    <w:bottom w:val="nil"/>
                                    <w:right w:val="nil"/>
                                  </w:tcBorders>
                                  <w:hideMark/>
                                </w:tcPr>
                                <w:p w14:paraId="5F766B5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21.7% </w:t>
                                  </w:r>
                                </w:p>
                              </w:tc>
                              <w:tc>
                                <w:tcPr>
                                  <w:tcW w:w="542" w:type="pct"/>
                                  <w:tcBorders>
                                    <w:top w:val="nil"/>
                                    <w:left w:val="nil"/>
                                    <w:bottom w:val="nil"/>
                                    <w:right w:val="nil"/>
                                  </w:tcBorders>
                                  <w:hideMark/>
                                </w:tcPr>
                                <w:p w14:paraId="5D00D87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22.7% </w:t>
                                  </w:r>
                                </w:p>
                              </w:tc>
                              <w:tc>
                                <w:tcPr>
                                  <w:tcW w:w="542" w:type="pct"/>
                                  <w:tcBorders>
                                    <w:top w:val="nil"/>
                                    <w:left w:val="nil"/>
                                    <w:bottom w:val="nil"/>
                                    <w:right w:val="nil"/>
                                  </w:tcBorders>
                                  <w:hideMark/>
                                </w:tcPr>
                                <w:p w14:paraId="047D7B1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22.4% </w:t>
                                  </w:r>
                                </w:p>
                              </w:tc>
                            </w:tr>
                            <w:tr w:rsidR="0055289D" w:rsidRPr="0055289D" w14:paraId="312D7967" w14:textId="77777777" w:rsidTr="0055289D">
                              <w:trPr>
                                <w:trHeight w:val="204"/>
                              </w:trPr>
                              <w:tc>
                                <w:tcPr>
                                  <w:tcW w:w="1748" w:type="pct"/>
                                  <w:tcBorders>
                                    <w:top w:val="nil"/>
                                    <w:left w:val="nil"/>
                                    <w:bottom w:val="nil"/>
                                    <w:right w:val="nil"/>
                                  </w:tcBorders>
                                  <w:noWrap/>
                                  <w:hideMark/>
                                </w:tcPr>
                                <w:p w14:paraId="24B4337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 Margin %</w:t>
                                  </w:r>
                                </w:p>
                              </w:tc>
                              <w:tc>
                                <w:tcPr>
                                  <w:tcW w:w="542" w:type="pct"/>
                                  <w:tcBorders>
                                    <w:top w:val="nil"/>
                                    <w:left w:val="nil"/>
                                    <w:bottom w:val="nil"/>
                                    <w:right w:val="nil"/>
                                  </w:tcBorders>
                                  <w:hideMark/>
                                </w:tcPr>
                                <w:p w14:paraId="3026424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4.8% </w:t>
                                  </w:r>
                                </w:p>
                              </w:tc>
                              <w:tc>
                                <w:tcPr>
                                  <w:tcW w:w="542" w:type="pct"/>
                                  <w:tcBorders>
                                    <w:top w:val="nil"/>
                                    <w:left w:val="nil"/>
                                    <w:bottom w:val="nil"/>
                                    <w:right w:val="nil"/>
                                  </w:tcBorders>
                                  <w:hideMark/>
                                </w:tcPr>
                                <w:p w14:paraId="46C8870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2.9% </w:t>
                                  </w:r>
                                </w:p>
                              </w:tc>
                              <w:tc>
                                <w:tcPr>
                                  <w:tcW w:w="542" w:type="pct"/>
                                  <w:tcBorders>
                                    <w:top w:val="nil"/>
                                    <w:left w:val="nil"/>
                                    <w:bottom w:val="nil"/>
                                    <w:right w:val="nil"/>
                                  </w:tcBorders>
                                  <w:hideMark/>
                                </w:tcPr>
                                <w:p w14:paraId="15F152C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0.9% </w:t>
                                  </w:r>
                                </w:p>
                              </w:tc>
                              <w:tc>
                                <w:tcPr>
                                  <w:tcW w:w="542" w:type="pct"/>
                                  <w:tcBorders>
                                    <w:top w:val="nil"/>
                                    <w:left w:val="nil"/>
                                    <w:bottom w:val="nil"/>
                                    <w:right w:val="nil"/>
                                  </w:tcBorders>
                                  <w:hideMark/>
                                </w:tcPr>
                                <w:p w14:paraId="6601E6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3.3% </w:t>
                                  </w:r>
                                </w:p>
                              </w:tc>
                              <w:tc>
                                <w:tcPr>
                                  <w:tcW w:w="542" w:type="pct"/>
                                  <w:tcBorders>
                                    <w:top w:val="nil"/>
                                    <w:left w:val="nil"/>
                                    <w:bottom w:val="nil"/>
                                    <w:right w:val="nil"/>
                                  </w:tcBorders>
                                  <w:hideMark/>
                                </w:tcPr>
                                <w:p w14:paraId="71E726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(0.5%) </w:t>
                                  </w:r>
                                </w:p>
                              </w:tc>
                              <w:tc>
                                <w:tcPr>
                                  <w:tcW w:w="542" w:type="pct"/>
                                  <w:tcBorders>
                                    <w:top w:val="nil"/>
                                    <w:left w:val="nil"/>
                                    <w:bottom w:val="nil"/>
                                    <w:right w:val="nil"/>
                                  </w:tcBorders>
                                  <w:hideMark/>
                                </w:tcPr>
                                <w:p w14:paraId="4BC3CA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4.7% </w:t>
                                  </w:r>
                                </w:p>
                              </w:tc>
                            </w:tr>
                            <w:tr w:rsidR="0055289D" w:rsidRPr="0055289D" w14:paraId="43A2ED95" w14:textId="77777777" w:rsidTr="0055289D">
                              <w:trPr>
                                <w:trHeight w:val="204"/>
                              </w:trPr>
                              <w:tc>
                                <w:tcPr>
                                  <w:tcW w:w="1748" w:type="pct"/>
                                  <w:tcBorders>
                                    <w:top w:val="nil"/>
                                    <w:left w:val="nil"/>
                                    <w:bottom w:val="nil"/>
                                    <w:right w:val="nil"/>
                                  </w:tcBorders>
                                  <w:noWrap/>
                                  <w:hideMark/>
                                </w:tcPr>
                                <w:p w14:paraId="3897271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EBITA Margin %</w:t>
                                  </w:r>
                                </w:p>
                              </w:tc>
                              <w:tc>
                                <w:tcPr>
                                  <w:tcW w:w="542" w:type="pct"/>
                                  <w:tcBorders>
                                    <w:top w:val="nil"/>
                                    <w:left w:val="nil"/>
                                    <w:bottom w:val="nil"/>
                                    <w:right w:val="nil"/>
                                  </w:tcBorders>
                                  <w:hideMark/>
                                </w:tcPr>
                                <w:p w14:paraId="19C4039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c>
                                <w:tcPr>
                                  <w:tcW w:w="542" w:type="pct"/>
                                  <w:tcBorders>
                                    <w:top w:val="nil"/>
                                    <w:left w:val="nil"/>
                                    <w:bottom w:val="nil"/>
                                    <w:right w:val="nil"/>
                                  </w:tcBorders>
                                  <w:hideMark/>
                                </w:tcPr>
                                <w:p w14:paraId="0FCB587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2.3% </w:t>
                                  </w:r>
                                </w:p>
                              </w:tc>
                              <w:tc>
                                <w:tcPr>
                                  <w:tcW w:w="542" w:type="pct"/>
                                  <w:tcBorders>
                                    <w:top w:val="nil"/>
                                    <w:left w:val="nil"/>
                                    <w:bottom w:val="nil"/>
                                    <w:right w:val="nil"/>
                                  </w:tcBorders>
                                  <w:hideMark/>
                                </w:tcPr>
                                <w:p w14:paraId="070E343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0.4% </w:t>
                                  </w:r>
                                </w:p>
                              </w:tc>
                              <w:tc>
                                <w:tcPr>
                                  <w:tcW w:w="542" w:type="pct"/>
                                  <w:tcBorders>
                                    <w:top w:val="nil"/>
                                    <w:left w:val="nil"/>
                                    <w:bottom w:val="nil"/>
                                    <w:right w:val="nil"/>
                                  </w:tcBorders>
                                  <w:hideMark/>
                                </w:tcPr>
                                <w:p w14:paraId="46F6BB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 </w:t>
                                  </w:r>
                                </w:p>
                              </w:tc>
                              <w:tc>
                                <w:tcPr>
                                  <w:tcW w:w="542" w:type="pct"/>
                                  <w:tcBorders>
                                    <w:top w:val="nil"/>
                                    <w:left w:val="nil"/>
                                    <w:bottom w:val="nil"/>
                                    <w:right w:val="nil"/>
                                  </w:tcBorders>
                                  <w:hideMark/>
                                </w:tcPr>
                                <w:p w14:paraId="02864E0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(1.2%) </w:t>
                                  </w:r>
                                </w:p>
                              </w:tc>
                              <w:tc>
                                <w:tcPr>
                                  <w:tcW w:w="542" w:type="pct"/>
                                  <w:tcBorders>
                                    <w:top w:val="nil"/>
                                    <w:left w:val="nil"/>
                                    <w:bottom w:val="nil"/>
                                    <w:right w:val="nil"/>
                                  </w:tcBorders>
                                  <w:hideMark/>
                                </w:tcPr>
                                <w:p w14:paraId="756BCCF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4.0% </w:t>
                                  </w:r>
                                </w:p>
                              </w:tc>
                            </w:tr>
                            <w:tr w:rsidR="0055289D" w:rsidRPr="0055289D" w14:paraId="359BA8FC" w14:textId="77777777" w:rsidTr="0055289D">
                              <w:trPr>
                                <w:trHeight w:val="204"/>
                              </w:trPr>
                              <w:tc>
                                <w:tcPr>
                                  <w:tcW w:w="1748" w:type="pct"/>
                                  <w:tcBorders>
                                    <w:top w:val="nil"/>
                                    <w:left w:val="nil"/>
                                    <w:bottom w:val="nil"/>
                                    <w:right w:val="nil"/>
                                  </w:tcBorders>
                                  <w:noWrap/>
                                  <w:hideMark/>
                                </w:tcPr>
                                <w:p w14:paraId="5C81536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 Margin %</w:t>
                                  </w:r>
                                </w:p>
                              </w:tc>
                              <w:tc>
                                <w:tcPr>
                                  <w:tcW w:w="542" w:type="pct"/>
                                  <w:tcBorders>
                                    <w:top w:val="nil"/>
                                    <w:left w:val="nil"/>
                                    <w:bottom w:val="nil"/>
                                    <w:right w:val="nil"/>
                                  </w:tcBorders>
                                  <w:hideMark/>
                                </w:tcPr>
                                <w:p w14:paraId="6869944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c>
                                <w:tcPr>
                                  <w:tcW w:w="542" w:type="pct"/>
                                  <w:tcBorders>
                                    <w:top w:val="nil"/>
                                    <w:left w:val="nil"/>
                                    <w:bottom w:val="nil"/>
                                    <w:right w:val="nil"/>
                                  </w:tcBorders>
                                  <w:hideMark/>
                                </w:tcPr>
                                <w:p w14:paraId="356B077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 </w:t>
                                  </w:r>
                                </w:p>
                              </w:tc>
                              <w:tc>
                                <w:tcPr>
                                  <w:tcW w:w="542" w:type="pct"/>
                                  <w:tcBorders>
                                    <w:top w:val="nil"/>
                                    <w:left w:val="nil"/>
                                    <w:bottom w:val="nil"/>
                                    <w:right w:val="nil"/>
                                  </w:tcBorders>
                                  <w:hideMark/>
                                </w:tcPr>
                                <w:p w14:paraId="6609601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0.3% </w:t>
                                  </w:r>
                                </w:p>
                              </w:tc>
                              <w:tc>
                                <w:tcPr>
                                  <w:tcW w:w="542" w:type="pct"/>
                                  <w:tcBorders>
                                    <w:top w:val="nil"/>
                                    <w:left w:val="nil"/>
                                    <w:bottom w:val="nil"/>
                                    <w:right w:val="nil"/>
                                  </w:tcBorders>
                                  <w:hideMark/>
                                </w:tcPr>
                                <w:p w14:paraId="10B8AE6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 </w:t>
                                  </w:r>
                                </w:p>
                              </w:tc>
                              <w:tc>
                                <w:tcPr>
                                  <w:tcW w:w="542" w:type="pct"/>
                                  <w:tcBorders>
                                    <w:top w:val="nil"/>
                                    <w:left w:val="nil"/>
                                    <w:bottom w:val="nil"/>
                                    <w:right w:val="nil"/>
                                  </w:tcBorders>
                                  <w:hideMark/>
                                </w:tcPr>
                                <w:p w14:paraId="18082B1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0C6910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r>
                            <w:tr w:rsidR="0055289D" w:rsidRPr="0055289D" w14:paraId="319E5DFE" w14:textId="77777777" w:rsidTr="0055289D">
                              <w:trPr>
                                <w:trHeight w:val="204"/>
                              </w:trPr>
                              <w:tc>
                                <w:tcPr>
                                  <w:tcW w:w="1748" w:type="pct"/>
                                  <w:tcBorders>
                                    <w:top w:val="nil"/>
                                    <w:left w:val="nil"/>
                                    <w:bottom w:val="nil"/>
                                    <w:right w:val="nil"/>
                                  </w:tcBorders>
                                  <w:noWrap/>
                                  <w:hideMark/>
                                </w:tcPr>
                                <w:p w14:paraId="2FAEA8D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Earnings from Cont. Ops Margin %</w:t>
                                  </w:r>
                                </w:p>
                              </w:tc>
                              <w:tc>
                                <w:tcPr>
                                  <w:tcW w:w="542" w:type="pct"/>
                                  <w:tcBorders>
                                    <w:top w:val="nil"/>
                                    <w:left w:val="nil"/>
                                    <w:bottom w:val="nil"/>
                                    <w:right w:val="nil"/>
                                  </w:tcBorders>
                                  <w:hideMark/>
                                </w:tcPr>
                                <w:p w14:paraId="5A8FD2B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5A92859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421B37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293ADC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5229CB5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286B260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64B7E93C" w14:textId="77777777" w:rsidTr="0055289D">
                              <w:trPr>
                                <w:trHeight w:val="204"/>
                              </w:trPr>
                              <w:tc>
                                <w:tcPr>
                                  <w:tcW w:w="1748" w:type="pct"/>
                                  <w:tcBorders>
                                    <w:top w:val="nil"/>
                                    <w:left w:val="nil"/>
                                    <w:bottom w:val="nil"/>
                                    <w:right w:val="nil"/>
                                  </w:tcBorders>
                                  <w:noWrap/>
                                  <w:hideMark/>
                                </w:tcPr>
                                <w:p w14:paraId="23889A6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Income Margin %</w:t>
                                  </w:r>
                                </w:p>
                              </w:tc>
                              <w:tc>
                                <w:tcPr>
                                  <w:tcW w:w="542" w:type="pct"/>
                                  <w:tcBorders>
                                    <w:top w:val="nil"/>
                                    <w:left w:val="nil"/>
                                    <w:bottom w:val="nil"/>
                                    <w:right w:val="nil"/>
                                  </w:tcBorders>
                                  <w:hideMark/>
                                </w:tcPr>
                                <w:p w14:paraId="4A979BE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354417B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104F004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41C9949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6D56D3B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370563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7CEBA9C3" w14:textId="77777777" w:rsidTr="0055289D">
                              <w:trPr>
                                <w:trHeight w:val="204"/>
                              </w:trPr>
                              <w:tc>
                                <w:tcPr>
                                  <w:tcW w:w="1748" w:type="pct"/>
                                  <w:tcBorders>
                                    <w:top w:val="nil"/>
                                    <w:left w:val="nil"/>
                                    <w:bottom w:val="nil"/>
                                    <w:right w:val="nil"/>
                                  </w:tcBorders>
                                  <w:noWrap/>
                                  <w:hideMark/>
                                </w:tcPr>
                                <w:p w14:paraId="7E7B883F"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Income Avail. for Common Margin %</w:t>
                                  </w:r>
                                </w:p>
                              </w:tc>
                              <w:tc>
                                <w:tcPr>
                                  <w:tcW w:w="542" w:type="pct"/>
                                  <w:tcBorders>
                                    <w:top w:val="nil"/>
                                    <w:left w:val="nil"/>
                                    <w:bottom w:val="nil"/>
                                    <w:right w:val="nil"/>
                                  </w:tcBorders>
                                  <w:hideMark/>
                                </w:tcPr>
                                <w:p w14:paraId="6426D6D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410CDCF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2586721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31D374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1836DE9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0C06D37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39BEC4FB" w14:textId="77777777" w:rsidTr="0055289D">
                              <w:trPr>
                                <w:trHeight w:val="204"/>
                              </w:trPr>
                              <w:tc>
                                <w:tcPr>
                                  <w:tcW w:w="1748" w:type="pct"/>
                                  <w:tcBorders>
                                    <w:top w:val="nil"/>
                                    <w:left w:val="nil"/>
                                    <w:bottom w:val="nil"/>
                                    <w:right w:val="nil"/>
                                  </w:tcBorders>
                                  <w:noWrap/>
                                  <w:hideMark/>
                                </w:tcPr>
                                <w:p w14:paraId="77DC91C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Normalized Net Income Margin %</w:t>
                                  </w:r>
                                </w:p>
                              </w:tc>
                              <w:tc>
                                <w:tcPr>
                                  <w:tcW w:w="542" w:type="pct"/>
                                  <w:tcBorders>
                                    <w:top w:val="nil"/>
                                    <w:left w:val="nil"/>
                                    <w:bottom w:val="nil"/>
                                    <w:right w:val="nil"/>
                                  </w:tcBorders>
                                  <w:hideMark/>
                                </w:tcPr>
                                <w:p w14:paraId="63D072F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2.5% </w:t>
                                  </w:r>
                                </w:p>
                              </w:tc>
                              <w:tc>
                                <w:tcPr>
                                  <w:tcW w:w="542" w:type="pct"/>
                                  <w:tcBorders>
                                    <w:top w:val="nil"/>
                                    <w:left w:val="nil"/>
                                    <w:bottom w:val="nil"/>
                                    <w:right w:val="nil"/>
                                  </w:tcBorders>
                                  <w:hideMark/>
                                </w:tcPr>
                                <w:p w14:paraId="4ED6CC6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0.7% </w:t>
                                  </w:r>
                                </w:p>
                              </w:tc>
                              <w:tc>
                                <w:tcPr>
                                  <w:tcW w:w="542" w:type="pct"/>
                                  <w:tcBorders>
                                    <w:top w:val="nil"/>
                                    <w:left w:val="nil"/>
                                    <w:bottom w:val="nil"/>
                                    <w:right w:val="nil"/>
                                  </w:tcBorders>
                                  <w:hideMark/>
                                </w:tcPr>
                                <w:p w14:paraId="216BD25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(0.9%) </w:t>
                                  </w:r>
                                </w:p>
                              </w:tc>
                              <w:tc>
                                <w:tcPr>
                                  <w:tcW w:w="542" w:type="pct"/>
                                  <w:tcBorders>
                                    <w:top w:val="nil"/>
                                    <w:left w:val="nil"/>
                                    <w:bottom w:val="nil"/>
                                    <w:right w:val="nil"/>
                                  </w:tcBorders>
                                  <w:hideMark/>
                                </w:tcPr>
                                <w:p w14:paraId="4070844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 </w:t>
                                  </w:r>
                                </w:p>
                              </w:tc>
                              <w:tc>
                                <w:tcPr>
                                  <w:tcW w:w="542" w:type="pct"/>
                                  <w:tcBorders>
                                    <w:top w:val="nil"/>
                                    <w:left w:val="nil"/>
                                    <w:bottom w:val="nil"/>
                                    <w:right w:val="nil"/>
                                  </w:tcBorders>
                                  <w:hideMark/>
                                </w:tcPr>
                                <w:p w14:paraId="378EA41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c>
                                <w:tcPr>
                                  <w:tcW w:w="542" w:type="pct"/>
                                  <w:tcBorders>
                                    <w:top w:val="nil"/>
                                    <w:left w:val="nil"/>
                                    <w:bottom w:val="nil"/>
                                    <w:right w:val="nil"/>
                                  </w:tcBorders>
                                  <w:hideMark/>
                                </w:tcPr>
                                <w:p w14:paraId="763A68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0.3% </w:t>
                                  </w:r>
                                </w:p>
                              </w:tc>
                            </w:tr>
                            <w:tr w:rsidR="0055289D" w:rsidRPr="0055289D" w14:paraId="262E227F" w14:textId="77777777" w:rsidTr="0055289D">
                              <w:trPr>
                                <w:trHeight w:val="204"/>
                              </w:trPr>
                              <w:tc>
                                <w:tcPr>
                                  <w:tcW w:w="1748" w:type="pct"/>
                                  <w:tcBorders>
                                    <w:top w:val="nil"/>
                                    <w:left w:val="nil"/>
                                    <w:bottom w:val="nil"/>
                                    <w:right w:val="nil"/>
                                  </w:tcBorders>
                                  <w:noWrap/>
                                  <w:hideMark/>
                                </w:tcPr>
                                <w:p w14:paraId="6697A7B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Levered Free Cash Flow Margin %</w:t>
                                  </w:r>
                                </w:p>
                              </w:tc>
                              <w:tc>
                                <w:tcPr>
                                  <w:tcW w:w="542" w:type="pct"/>
                                  <w:tcBorders>
                                    <w:top w:val="nil"/>
                                    <w:left w:val="nil"/>
                                    <w:bottom w:val="nil"/>
                                    <w:right w:val="nil"/>
                                  </w:tcBorders>
                                  <w:hideMark/>
                                </w:tcPr>
                                <w:p w14:paraId="630A5C8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0.8% </w:t>
                                  </w:r>
                                </w:p>
                              </w:tc>
                              <w:tc>
                                <w:tcPr>
                                  <w:tcW w:w="542" w:type="pct"/>
                                  <w:tcBorders>
                                    <w:top w:val="nil"/>
                                    <w:left w:val="nil"/>
                                    <w:bottom w:val="nil"/>
                                    <w:right w:val="nil"/>
                                  </w:tcBorders>
                                  <w:hideMark/>
                                </w:tcPr>
                                <w:p w14:paraId="1F8D0F6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(5.4%) </w:t>
                                  </w:r>
                                </w:p>
                              </w:tc>
                              <w:tc>
                                <w:tcPr>
                                  <w:tcW w:w="542" w:type="pct"/>
                                  <w:tcBorders>
                                    <w:top w:val="nil"/>
                                    <w:left w:val="nil"/>
                                    <w:bottom w:val="nil"/>
                                    <w:right w:val="nil"/>
                                  </w:tcBorders>
                                  <w:hideMark/>
                                </w:tcPr>
                                <w:p w14:paraId="019479C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(11.1%) </w:t>
                                  </w:r>
                                </w:p>
                              </w:tc>
                              <w:tc>
                                <w:tcPr>
                                  <w:tcW w:w="542" w:type="pct"/>
                                  <w:tcBorders>
                                    <w:top w:val="nil"/>
                                    <w:left w:val="nil"/>
                                    <w:bottom w:val="nil"/>
                                    <w:right w:val="nil"/>
                                  </w:tcBorders>
                                  <w:hideMark/>
                                </w:tcPr>
                                <w:p w14:paraId="381154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3.9% </w:t>
                                  </w:r>
                                </w:p>
                              </w:tc>
                              <w:tc>
                                <w:tcPr>
                                  <w:tcW w:w="542" w:type="pct"/>
                                  <w:tcBorders>
                                    <w:top w:val="nil"/>
                                    <w:left w:val="nil"/>
                                    <w:bottom w:val="nil"/>
                                    <w:right w:val="nil"/>
                                  </w:tcBorders>
                                  <w:hideMark/>
                                </w:tcPr>
                                <w:p w14:paraId="0BDE31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 </w:t>
                                  </w:r>
                                </w:p>
                              </w:tc>
                              <w:tc>
                                <w:tcPr>
                                  <w:tcW w:w="542" w:type="pct"/>
                                  <w:tcBorders>
                                    <w:top w:val="nil"/>
                                    <w:left w:val="nil"/>
                                    <w:bottom w:val="nil"/>
                                    <w:right w:val="nil"/>
                                  </w:tcBorders>
                                  <w:hideMark/>
                                </w:tcPr>
                                <w:p w14:paraId="6624A0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 </w:t>
                                  </w:r>
                                </w:p>
                              </w:tc>
                            </w:tr>
                            <w:tr w:rsidR="0055289D" w:rsidRPr="0055289D" w14:paraId="0958D71D" w14:textId="77777777" w:rsidTr="0055289D">
                              <w:trPr>
                                <w:trHeight w:val="204"/>
                              </w:trPr>
                              <w:tc>
                                <w:tcPr>
                                  <w:tcW w:w="1748" w:type="pct"/>
                                  <w:tcBorders>
                                    <w:top w:val="nil"/>
                                    <w:left w:val="nil"/>
                                    <w:bottom w:val="nil"/>
                                    <w:right w:val="nil"/>
                                  </w:tcBorders>
                                  <w:noWrap/>
                                  <w:hideMark/>
                                </w:tcPr>
                                <w:p w14:paraId="52EE2D5D"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Unlevered Free Cash Flow Margin %</w:t>
                                  </w:r>
                                </w:p>
                              </w:tc>
                              <w:tc>
                                <w:tcPr>
                                  <w:tcW w:w="542" w:type="pct"/>
                                  <w:tcBorders>
                                    <w:top w:val="nil"/>
                                    <w:left w:val="nil"/>
                                    <w:bottom w:val="nil"/>
                                    <w:right w:val="nil"/>
                                  </w:tcBorders>
                                  <w:hideMark/>
                                </w:tcPr>
                                <w:p w14:paraId="164F30B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 </w:t>
                                  </w:r>
                                </w:p>
                              </w:tc>
                              <w:tc>
                                <w:tcPr>
                                  <w:tcW w:w="542" w:type="pct"/>
                                  <w:tcBorders>
                                    <w:top w:val="nil"/>
                                    <w:left w:val="nil"/>
                                    <w:bottom w:val="nil"/>
                                    <w:right w:val="nil"/>
                                  </w:tcBorders>
                                  <w:hideMark/>
                                </w:tcPr>
                                <w:p w14:paraId="770C8D7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(4.8%) </w:t>
                                  </w:r>
                                </w:p>
                              </w:tc>
                              <w:tc>
                                <w:tcPr>
                                  <w:tcW w:w="542" w:type="pct"/>
                                  <w:tcBorders>
                                    <w:top w:val="nil"/>
                                    <w:left w:val="nil"/>
                                    <w:bottom w:val="nil"/>
                                    <w:right w:val="nil"/>
                                  </w:tcBorders>
                                  <w:hideMark/>
                                </w:tcPr>
                                <w:p w14:paraId="379C9FF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(10.3%) </w:t>
                                  </w:r>
                                </w:p>
                              </w:tc>
                              <w:tc>
                                <w:tcPr>
                                  <w:tcW w:w="542" w:type="pct"/>
                                  <w:tcBorders>
                                    <w:top w:val="nil"/>
                                    <w:left w:val="nil"/>
                                    <w:bottom w:val="nil"/>
                                    <w:right w:val="nil"/>
                                  </w:tcBorders>
                                  <w:hideMark/>
                                </w:tcPr>
                                <w:p w14:paraId="0EB0CEE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6.1% </w:t>
                                  </w:r>
                                </w:p>
                              </w:tc>
                              <w:tc>
                                <w:tcPr>
                                  <w:tcW w:w="542" w:type="pct"/>
                                  <w:tcBorders>
                                    <w:top w:val="nil"/>
                                    <w:left w:val="nil"/>
                                    <w:bottom w:val="nil"/>
                                    <w:right w:val="nil"/>
                                  </w:tcBorders>
                                  <w:hideMark/>
                                </w:tcPr>
                                <w:p w14:paraId="2FFEFC9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9.4% </w:t>
                                  </w:r>
                                </w:p>
                              </w:tc>
                              <w:tc>
                                <w:tcPr>
                                  <w:tcW w:w="542" w:type="pct"/>
                                  <w:tcBorders>
                                    <w:top w:val="nil"/>
                                    <w:left w:val="nil"/>
                                    <w:bottom w:val="nil"/>
                                    <w:right w:val="nil"/>
                                  </w:tcBorders>
                                  <w:hideMark/>
                                </w:tcPr>
                                <w:p w14:paraId="642C0F6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r>
                            <w:tr w:rsidR="0055289D" w:rsidRPr="0055289D" w14:paraId="0E7B1925" w14:textId="77777777" w:rsidTr="0055289D">
                              <w:trPr>
                                <w:trHeight w:val="204"/>
                              </w:trPr>
                              <w:tc>
                                <w:tcPr>
                                  <w:tcW w:w="1748" w:type="pct"/>
                                  <w:tcBorders>
                                    <w:top w:val="nil"/>
                                    <w:left w:val="nil"/>
                                    <w:bottom w:val="nil"/>
                                    <w:right w:val="nil"/>
                                  </w:tcBorders>
                                  <w:noWrap/>
                                  <w:hideMark/>
                                </w:tcPr>
                                <w:p w14:paraId="3041397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Asset Turnover</w:t>
                                  </w:r>
                                </w:p>
                              </w:tc>
                              <w:tc>
                                <w:tcPr>
                                  <w:tcW w:w="542" w:type="pct"/>
                                  <w:tcBorders>
                                    <w:top w:val="nil"/>
                                    <w:left w:val="nil"/>
                                    <w:bottom w:val="nil"/>
                                    <w:right w:val="nil"/>
                                  </w:tcBorders>
                                  <w:noWrap/>
                                  <w:hideMark/>
                                </w:tcPr>
                                <w:p w14:paraId="51458FF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74B02654"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4BB688B"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44A6521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BA7518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CEEC15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57D23239" w14:textId="77777777" w:rsidTr="0055289D">
                              <w:trPr>
                                <w:trHeight w:val="204"/>
                              </w:trPr>
                              <w:tc>
                                <w:tcPr>
                                  <w:tcW w:w="1748" w:type="pct"/>
                                  <w:tcBorders>
                                    <w:top w:val="nil"/>
                                    <w:left w:val="nil"/>
                                    <w:bottom w:val="nil"/>
                                    <w:right w:val="nil"/>
                                  </w:tcBorders>
                                  <w:noWrap/>
                                  <w:hideMark/>
                                </w:tcPr>
                                <w:p w14:paraId="2380565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Asset Turnover</w:t>
                                  </w:r>
                                </w:p>
                              </w:tc>
                              <w:tc>
                                <w:tcPr>
                                  <w:tcW w:w="542" w:type="pct"/>
                                  <w:tcBorders>
                                    <w:top w:val="nil"/>
                                    <w:left w:val="nil"/>
                                    <w:bottom w:val="nil"/>
                                    <w:right w:val="nil"/>
                                  </w:tcBorders>
                                  <w:hideMark/>
                                </w:tcPr>
                                <w:p w14:paraId="0D7C2BE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1.4x</w:t>
                                  </w:r>
                                </w:p>
                              </w:tc>
                              <w:tc>
                                <w:tcPr>
                                  <w:tcW w:w="542" w:type="pct"/>
                                  <w:tcBorders>
                                    <w:top w:val="nil"/>
                                    <w:left w:val="nil"/>
                                    <w:bottom w:val="nil"/>
                                    <w:right w:val="nil"/>
                                  </w:tcBorders>
                                  <w:hideMark/>
                                </w:tcPr>
                                <w:p w14:paraId="6FAD2BE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1.3x</w:t>
                                  </w:r>
                                </w:p>
                              </w:tc>
                              <w:tc>
                                <w:tcPr>
                                  <w:tcW w:w="542" w:type="pct"/>
                                  <w:tcBorders>
                                    <w:top w:val="nil"/>
                                    <w:left w:val="nil"/>
                                    <w:bottom w:val="nil"/>
                                    <w:right w:val="nil"/>
                                  </w:tcBorders>
                                  <w:hideMark/>
                                </w:tcPr>
                                <w:p w14:paraId="61797DA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0CD74A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3A4C969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27392F2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r>
                            <w:tr w:rsidR="0055289D" w:rsidRPr="0055289D" w14:paraId="4CA1DCBC" w14:textId="77777777" w:rsidTr="0055289D">
                              <w:trPr>
                                <w:trHeight w:val="204"/>
                              </w:trPr>
                              <w:tc>
                                <w:tcPr>
                                  <w:tcW w:w="1748" w:type="pct"/>
                                  <w:tcBorders>
                                    <w:top w:val="nil"/>
                                    <w:left w:val="nil"/>
                                    <w:bottom w:val="nil"/>
                                    <w:right w:val="nil"/>
                                  </w:tcBorders>
                                  <w:noWrap/>
                                  <w:hideMark/>
                                </w:tcPr>
                                <w:p w14:paraId="35DD8CC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Fixed Asset Turnover</w:t>
                                  </w:r>
                                </w:p>
                              </w:tc>
                              <w:tc>
                                <w:tcPr>
                                  <w:tcW w:w="542" w:type="pct"/>
                                  <w:tcBorders>
                                    <w:top w:val="nil"/>
                                    <w:left w:val="nil"/>
                                    <w:bottom w:val="nil"/>
                                    <w:right w:val="nil"/>
                                  </w:tcBorders>
                                  <w:hideMark/>
                                </w:tcPr>
                                <w:p w14:paraId="0F6D65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9.7x</w:t>
                                  </w:r>
                                </w:p>
                              </w:tc>
                              <w:tc>
                                <w:tcPr>
                                  <w:tcW w:w="542" w:type="pct"/>
                                  <w:tcBorders>
                                    <w:top w:val="nil"/>
                                    <w:left w:val="nil"/>
                                    <w:bottom w:val="nil"/>
                                    <w:right w:val="nil"/>
                                  </w:tcBorders>
                                  <w:hideMark/>
                                </w:tcPr>
                                <w:p w14:paraId="72E0E76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8.2x</w:t>
                                  </w:r>
                                </w:p>
                              </w:tc>
                              <w:tc>
                                <w:tcPr>
                                  <w:tcW w:w="542" w:type="pct"/>
                                  <w:tcBorders>
                                    <w:top w:val="nil"/>
                                    <w:left w:val="nil"/>
                                    <w:bottom w:val="nil"/>
                                    <w:right w:val="nil"/>
                                  </w:tcBorders>
                                  <w:hideMark/>
                                </w:tcPr>
                                <w:p w14:paraId="391ADF7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7.8x</w:t>
                                  </w:r>
                                </w:p>
                              </w:tc>
                              <w:tc>
                                <w:tcPr>
                                  <w:tcW w:w="542" w:type="pct"/>
                                  <w:tcBorders>
                                    <w:top w:val="nil"/>
                                    <w:left w:val="nil"/>
                                    <w:bottom w:val="nil"/>
                                    <w:right w:val="nil"/>
                                  </w:tcBorders>
                                  <w:hideMark/>
                                </w:tcPr>
                                <w:p w14:paraId="56FBD22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15B976D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0711B03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7.3x</w:t>
                                  </w:r>
                                </w:p>
                              </w:tc>
                            </w:tr>
                            <w:tr w:rsidR="0055289D" w:rsidRPr="0055289D" w14:paraId="54B13F8E" w14:textId="77777777" w:rsidTr="0055289D">
                              <w:trPr>
                                <w:trHeight w:val="204"/>
                              </w:trPr>
                              <w:tc>
                                <w:tcPr>
                                  <w:tcW w:w="1748" w:type="pct"/>
                                  <w:tcBorders>
                                    <w:top w:val="nil"/>
                                    <w:left w:val="nil"/>
                                    <w:bottom w:val="nil"/>
                                    <w:right w:val="nil"/>
                                  </w:tcBorders>
                                  <w:noWrap/>
                                  <w:hideMark/>
                                </w:tcPr>
                                <w:p w14:paraId="789DFF52"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Accounts Receivable Turnover</w:t>
                                  </w:r>
                                </w:p>
                              </w:tc>
                              <w:tc>
                                <w:tcPr>
                                  <w:tcW w:w="542" w:type="pct"/>
                                  <w:tcBorders>
                                    <w:top w:val="nil"/>
                                    <w:left w:val="nil"/>
                                    <w:bottom w:val="nil"/>
                                    <w:right w:val="nil"/>
                                  </w:tcBorders>
                                  <w:hideMark/>
                                </w:tcPr>
                                <w:p w14:paraId="6058E3A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7.2x</w:t>
                                  </w:r>
                                </w:p>
                              </w:tc>
                              <w:tc>
                                <w:tcPr>
                                  <w:tcW w:w="542" w:type="pct"/>
                                  <w:tcBorders>
                                    <w:top w:val="nil"/>
                                    <w:left w:val="nil"/>
                                    <w:bottom w:val="nil"/>
                                    <w:right w:val="nil"/>
                                  </w:tcBorders>
                                  <w:hideMark/>
                                </w:tcPr>
                                <w:p w14:paraId="4D214E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5.6x</w:t>
                                  </w:r>
                                </w:p>
                              </w:tc>
                              <w:tc>
                                <w:tcPr>
                                  <w:tcW w:w="542" w:type="pct"/>
                                  <w:tcBorders>
                                    <w:top w:val="nil"/>
                                    <w:left w:val="nil"/>
                                    <w:bottom w:val="nil"/>
                                    <w:right w:val="nil"/>
                                  </w:tcBorders>
                                  <w:hideMark/>
                                </w:tcPr>
                                <w:p w14:paraId="11C431B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4.3x</w:t>
                                  </w:r>
                                </w:p>
                              </w:tc>
                              <w:tc>
                                <w:tcPr>
                                  <w:tcW w:w="542" w:type="pct"/>
                                  <w:tcBorders>
                                    <w:top w:val="nil"/>
                                    <w:left w:val="nil"/>
                                    <w:bottom w:val="nil"/>
                                    <w:right w:val="nil"/>
                                  </w:tcBorders>
                                  <w:hideMark/>
                                </w:tcPr>
                                <w:p w14:paraId="2EB3F6F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4.0x</w:t>
                                  </w:r>
                                </w:p>
                              </w:tc>
                              <w:tc>
                                <w:tcPr>
                                  <w:tcW w:w="542" w:type="pct"/>
                                  <w:tcBorders>
                                    <w:top w:val="nil"/>
                                    <w:left w:val="nil"/>
                                    <w:bottom w:val="nil"/>
                                    <w:right w:val="nil"/>
                                  </w:tcBorders>
                                  <w:hideMark/>
                                </w:tcPr>
                                <w:p w14:paraId="4917735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4.5x</w:t>
                                  </w:r>
                                </w:p>
                              </w:tc>
                              <w:tc>
                                <w:tcPr>
                                  <w:tcW w:w="542" w:type="pct"/>
                                  <w:tcBorders>
                                    <w:top w:val="nil"/>
                                    <w:left w:val="nil"/>
                                    <w:bottom w:val="nil"/>
                                    <w:right w:val="nil"/>
                                  </w:tcBorders>
                                  <w:hideMark/>
                                </w:tcPr>
                                <w:p w14:paraId="23B0E79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6.0x</w:t>
                                  </w:r>
                                </w:p>
                              </w:tc>
                            </w:tr>
                            <w:tr w:rsidR="0055289D" w:rsidRPr="0055289D" w14:paraId="57970246" w14:textId="77777777" w:rsidTr="0055289D">
                              <w:trPr>
                                <w:trHeight w:val="204"/>
                              </w:trPr>
                              <w:tc>
                                <w:tcPr>
                                  <w:tcW w:w="1748" w:type="pct"/>
                                  <w:tcBorders>
                                    <w:top w:val="nil"/>
                                    <w:left w:val="nil"/>
                                    <w:bottom w:val="nil"/>
                                    <w:right w:val="nil"/>
                                  </w:tcBorders>
                                  <w:noWrap/>
                                  <w:hideMark/>
                                </w:tcPr>
                                <w:p w14:paraId="2EE0112A"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Inventory Turnover</w:t>
                                  </w:r>
                                </w:p>
                              </w:tc>
                              <w:tc>
                                <w:tcPr>
                                  <w:tcW w:w="542" w:type="pct"/>
                                  <w:tcBorders>
                                    <w:top w:val="nil"/>
                                    <w:left w:val="nil"/>
                                    <w:bottom w:val="nil"/>
                                    <w:right w:val="nil"/>
                                  </w:tcBorders>
                                  <w:hideMark/>
                                </w:tcPr>
                                <w:p w14:paraId="64FF454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4.3x</w:t>
                                  </w:r>
                                </w:p>
                              </w:tc>
                              <w:tc>
                                <w:tcPr>
                                  <w:tcW w:w="542" w:type="pct"/>
                                  <w:tcBorders>
                                    <w:top w:val="nil"/>
                                    <w:left w:val="nil"/>
                                    <w:bottom w:val="nil"/>
                                    <w:right w:val="nil"/>
                                  </w:tcBorders>
                                  <w:hideMark/>
                                </w:tcPr>
                                <w:p w14:paraId="3011D0D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4.5x</w:t>
                                  </w:r>
                                </w:p>
                              </w:tc>
                              <w:tc>
                                <w:tcPr>
                                  <w:tcW w:w="542" w:type="pct"/>
                                  <w:tcBorders>
                                    <w:top w:val="nil"/>
                                    <w:left w:val="nil"/>
                                    <w:bottom w:val="nil"/>
                                    <w:right w:val="nil"/>
                                  </w:tcBorders>
                                  <w:hideMark/>
                                </w:tcPr>
                                <w:p w14:paraId="3686BC3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69EECB6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3.2x</w:t>
                                  </w:r>
                                </w:p>
                              </w:tc>
                              <w:tc>
                                <w:tcPr>
                                  <w:tcW w:w="542" w:type="pct"/>
                                  <w:tcBorders>
                                    <w:top w:val="nil"/>
                                    <w:left w:val="nil"/>
                                    <w:bottom w:val="nil"/>
                                    <w:right w:val="nil"/>
                                  </w:tcBorders>
                                  <w:hideMark/>
                                </w:tcPr>
                                <w:p w14:paraId="08FE880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3.5x</w:t>
                                  </w:r>
                                </w:p>
                              </w:tc>
                              <w:tc>
                                <w:tcPr>
                                  <w:tcW w:w="542" w:type="pct"/>
                                  <w:tcBorders>
                                    <w:top w:val="nil"/>
                                    <w:left w:val="nil"/>
                                    <w:bottom w:val="nil"/>
                                    <w:right w:val="nil"/>
                                  </w:tcBorders>
                                  <w:hideMark/>
                                </w:tcPr>
                                <w:p w14:paraId="27B4A1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3.4x</w:t>
                                  </w:r>
                                </w:p>
                              </w:tc>
                            </w:tr>
                            <w:tr w:rsidR="0055289D" w:rsidRPr="0055289D" w14:paraId="58D71F61" w14:textId="77777777" w:rsidTr="0055289D">
                              <w:trPr>
                                <w:trHeight w:val="204"/>
                              </w:trPr>
                              <w:tc>
                                <w:tcPr>
                                  <w:tcW w:w="1748" w:type="pct"/>
                                  <w:tcBorders>
                                    <w:top w:val="nil"/>
                                    <w:left w:val="nil"/>
                                    <w:bottom w:val="nil"/>
                                    <w:right w:val="nil"/>
                                  </w:tcBorders>
                                  <w:noWrap/>
                                  <w:hideMark/>
                                </w:tcPr>
                                <w:p w14:paraId="573F1E9B"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Short Term Liquidity</w:t>
                                  </w:r>
                                </w:p>
                              </w:tc>
                              <w:tc>
                                <w:tcPr>
                                  <w:tcW w:w="542" w:type="pct"/>
                                  <w:tcBorders>
                                    <w:top w:val="nil"/>
                                    <w:left w:val="nil"/>
                                    <w:bottom w:val="nil"/>
                                    <w:right w:val="nil"/>
                                  </w:tcBorders>
                                  <w:noWrap/>
                                  <w:hideMark/>
                                </w:tcPr>
                                <w:p w14:paraId="2B85FEB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4E89AD96"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2D53E0B"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9B9EAB7"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0C6E233C"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84A6379"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B51742A" w14:textId="77777777" w:rsidTr="0055289D">
                              <w:trPr>
                                <w:trHeight w:val="204"/>
                              </w:trPr>
                              <w:tc>
                                <w:tcPr>
                                  <w:tcW w:w="1748" w:type="pct"/>
                                  <w:tcBorders>
                                    <w:top w:val="nil"/>
                                    <w:left w:val="nil"/>
                                    <w:bottom w:val="nil"/>
                                    <w:right w:val="nil"/>
                                  </w:tcBorders>
                                  <w:noWrap/>
                                  <w:hideMark/>
                                </w:tcPr>
                                <w:p w14:paraId="4FDBA0F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Current Ratio</w:t>
                                  </w:r>
                                </w:p>
                              </w:tc>
                              <w:tc>
                                <w:tcPr>
                                  <w:tcW w:w="542" w:type="pct"/>
                                  <w:tcBorders>
                                    <w:top w:val="nil"/>
                                    <w:left w:val="nil"/>
                                    <w:bottom w:val="nil"/>
                                    <w:right w:val="nil"/>
                                  </w:tcBorders>
                                  <w:hideMark/>
                                </w:tcPr>
                                <w:p w14:paraId="37BBA7B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351E960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1.3x</w:t>
                                  </w:r>
                                </w:p>
                              </w:tc>
                              <w:tc>
                                <w:tcPr>
                                  <w:tcW w:w="542" w:type="pct"/>
                                  <w:tcBorders>
                                    <w:top w:val="nil"/>
                                    <w:left w:val="nil"/>
                                    <w:bottom w:val="nil"/>
                                    <w:right w:val="nil"/>
                                  </w:tcBorders>
                                  <w:hideMark/>
                                </w:tcPr>
                                <w:p w14:paraId="716DCC3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1C3FBBF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1.5x</w:t>
                                  </w:r>
                                </w:p>
                              </w:tc>
                              <w:tc>
                                <w:tcPr>
                                  <w:tcW w:w="542" w:type="pct"/>
                                  <w:tcBorders>
                                    <w:top w:val="nil"/>
                                    <w:left w:val="nil"/>
                                    <w:bottom w:val="nil"/>
                                    <w:right w:val="nil"/>
                                  </w:tcBorders>
                                  <w:hideMark/>
                                </w:tcPr>
                                <w:p w14:paraId="54199FF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c>
                                <w:tcPr>
                                  <w:tcW w:w="542" w:type="pct"/>
                                  <w:tcBorders>
                                    <w:top w:val="nil"/>
                                    <w:left w:val="nil"/>
                                    <w:bottom w:val="nil"/>
                                    <w:right w:val="nil"/>
                                  </w:tcBorders>
                                  <w:hideMark/>
                                </w:tcPr>
                                <w:p w14:paraId="761A55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r>
                            <w:tr w:rsidR="0055289D" w:rsidRPr="0055289D" w14:paraId="0DED5129" w14:textId="77777777" w:rsidTr="0055289D">
                              <w:trPr>
                                <w:trHeight w:val="204"/>
                              </w:trPr>
                              <w:tc>
                                <w:tcPr>
                                  <w:tcW w:w="1748" w:type="pct"/>
                                  <w:tcBorders>
                                    <w:top w:val="nil"/>
                                    <w:left w:val="nil"/>
                                    <w:bottom w:val="nil"/>
                                    <w:right w:val="nil"/>
                                  </w:tcBorders>
                                  <w:noWrap/>
                                  <w:hideMark/>
                                </w:tcPr>
                                <w:p w14:paraId="2EE25D07"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Quick Ratio</w:t>
                                  </w:r>
                                </w:p>
                              </w:tc>
                              <w:tc>
                                <w:tcPr>
                                  <w:tcW w:w="542" w:type="pct"/>
                                  <w:tcBorders>
                                    <w:top w:val="nil"/>
                                    <w:left w:val="nil"/>
                                    <w:bottom w:val="nil"/>
                                    <w:right w:val="nil"/>
                                  </w:tcBorders>
                                  <w:hideMark/>
                                </w:tcPr>
                                <w:p w14:paraId="3D17B36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514B4D4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0.8x</w:t>
                                  </w:r>
                                </w:p>
                              </w:tc>
                              <w:tc>
                                <w:tcPr>
                                  <w:tcW w:w="542" w:type="pct"/>
                                  <w:tcBorders>
                                    <w:top w:val="nil"/>
                                    <w:left w:val="nil"/>
                                    <w:bottom w:val="nil"/>
                                    <w:right w:val="nil"/>
                                  </w:tcBorders>
                                  <w:hideMark/>
                                </w:tcPr>
                                <w:p w14:paraId="50E0F0E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6087237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0.9x</w:t>
                                  </w:r>
                                </w:p>
                              </w:tc>
                              <w:tc>
                                <w:tcPr>
                                  <w:tcW w:w="542" w:type="pct"/>
                                  <w:tcBorders>
                                    <w:top w:val="nil"/>
                                    <w:left w:val="nil"/>
                                    <w:bottom w:val="nil"/>
                                    <w:right w:val="nil"/>
                                  </w:tcBorders>
                                  <w:hideMark/>
                                </w:tcPr>
                                <w:p w14:paraId="3B6859A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c>
                                <w:tcPr>
                                  <w:tcW w:w="542" w:type="pct"/>
                                  <w:tcBorders>
                                    <w:top w:val="nil"/>
                                    <w:left w:val="nil"/>
                                    <w:bottom w:val="nil"/>
                                    <w:right w:val="nil"/>
                                  </w:tcBorders>
                                  <w:hideMark/>
                                </w:tcPr>
                                <w:p w14:paraId="2D4367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r>
                            <w:tr w:rsidR="0055289D" w:rsidRPr="0055289D" w14:paraId="60BC8733" w14:textId="77777777" w:rsidTr="0055289D">
                              <w:trPr>
                                <w:trHeight w:val="204"/>
                              </w:trPr>
                              <w:tc>
                                <w:tcPr>
                                  <w:tcW w:w="1748" w:type="pct"/>
                                  <w:tcBorders>
                                    <w:top w:val="nil"/>
                                    <w:left w:val="nil"/>
                                    <w:bottom w:val="nil"/>
                                    <w:right w:val="nil"/>
                                  </w:tcBorders>
                                  <w:noWrap/>
                                  <w:hideMark/>
                                </w:tcPr>
                                <w:p w14:paraId="644F484A"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Cash from Ops. to Curr. </w:t>
                                  </w:r>
                                  <w:r w:rsidRPr="0055289D">
                                    <w:rPr>
                                      <w:rFonts w:ascii="Cambria" w:eastAsia="Times New Roman" w:hAnsi="Cambria" w:cs="Arial"/>
                                      <w:color w:val="000000"/>
                                      <w:kern w:val="0"/>
                                      <w:sz w:val="14"/>
                                      <w:szCs w:val="14"/>
                                      <w:lang w:eastAsia="en-IN"/>
                                      <w14:ligatures w14:val="none"/>
                                    </w:rPr>
                                    <w:t>Liab.</w:t>
                                  </w:r>
                                </w:p>
                              </w:tc>
                              <w:tc>
                                <w:tcPr>
                                  <w:tcW w:w="542" w:type="pct"/>
                                  <w:tcBorders>
                                    <w:top w:val="nil"/>
                                    <w:left w:val="nil"/>
                                    <w:bottom w:val="nil"/>
                                    <w:right w:val="nil"/>
                                  </w:tcBorders>
                                  <w:hideMark/>
                                </w:tcPr>
                                <w:p w14:paraId="50953A2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07E449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BD906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2FD5F9A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3ED7234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E72448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r>
                            <w:tr w:rsidR="0055289D" w:rsidRPr="0055289D" w14:paraId="23ECD10B" w14:textId="77777777" w:rsidTr="0055289D">
                              <w:trPr>
                                <w:trHeight w:val="204"/>
                              </w:trPr>
                              <w:tc>
                                <w:tcPr>
                                  <w:tcW w:w="1748" w:type="pct"/>
                                  <w:tcBorders>
                                    <w:top w:val="nil"/>
                                    <w:left w:val="nil"/>
                                    <w:bottom w:val="nil"/>
                                    <w:right w:val="nil"/>
                                  </w:tcBorders>
                                  <w:noWrap/>
                                  <w:hideMark/>
                                </w:tcPr>
                                <w:p w14:paraId="3B9B8F4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Sales Out.</w:t>
                                  </w:r>
                                </w:p>
                              </w:tc>
                              <w:tc>
                                <w:tcPr>
                                  <w:tcW w:w="542" w:type="pct"/>
                                  <w:tcBorders>
                                    <w:top w:val="nil"/>
                                    <w:left w:val="nil"/>
                                    <w:bottom w:val="nil"/>
                                    <w:right w:val="nil"/>
                                  </w:tcBorders>
                                  <w:hideMark/>
                                </w:tcPr>
                                <w:p w14:paraId="59D4C29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50.7 </w:t>
                                  </w:r>
                                </w:p>
                              </w:tc>
                              <w:tc>
                                <w:tcPr>
                                  <w:tcW w:w="542" w:type="pct"/>
                                  <w:tcBorders>
                                    <w:top w:val="nil"/>
                                    <w:left w:val="nil"/>
                                    <w:bottom w:val="nil"/>
                                    <w:right w:val="nil"/>
                                  </w:tcBorders>
                                  <w:hideMark/>
                                </w:tcPr>
                                <w:p w14:paraId="523A7B0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65.1 </w:t>
                                  </w:r>
                                </w:p>
                              </w:tc>
                              <w:tc>
                                <w:tcPr>
                                  <w:tcW w:w="542" w:type="pct"/>
                                  <w:tcBorders>
                                    <w:top w:val="nil"/>
                                    <w:left w:val="nil"/>
                                    <w:bottom w:val="nil"/>
                                    <w:right w:val="nil"/>
                                  </w:tcBorders>
                                  <w:hideMark/>
                                </w:tcPr>
                                <w:p w14:paraId="288F1A7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85.1 </w:t>
                                  </w:r>
                                </w:p>
                              </w:tc>
                              <w:tc>
                                <w:tcPr>
                                  <w:tcW w:w="542" w:type="pct"/>
                                  <w:tcBorders>
                                    <w:top w:val="nil"/>
                                    <w:left w:val="nil"/>
                                    <w:bottom w:val="nil"/>
                                    <w:right w:val="nil"/>
                                  </w:tcBorders>
                                  <w:hideMark/>
                                </w:tcPr>
                                <w:p w14:paraId="14F6BC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91.5 </w:t>
                                  </w:r>
                                </w:p>
                              </w:tc>
                              <w:tc>
                                <w:tcPr>
                                  <w:tcW w:w="542" w:type="pct"/>
                                  <w:tcBorders>
                                    <w:top w:val="nil"/>
                                    <w:left w:val="nil"/>
                                    <w:bottom w:val="nil"/>
                                    <w:right w:val="nil"/>
                                  </w:tcBorders>
                                  <w:hideMark/>
                                </w:tcPr>
                                <w:p w14:paraId="58ADCE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81.9 </w:t>
                                  </w:r>
                                </w:p>
                              </w:tc>
                              <w:tc>
                                <w:tcPr>
                                  <w:tcW w:w="542" w:type="pct"/>
                                  <w:tcBorders>
                                    <w:top w:val="nil"/>
                                    <w:left w:val="nil"/>
                                    <w:bottom w:val="nil"/>
                                    <w:right w:val="nil"/>
                                  </w:tcBorders>
                                  <w:hideMark/>
                                </w:tcPr>
                                <w:p w14:paraId="1EDD1EA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60.9 </w:t>
                                  </w:r>
                                </w:p>
                              </w:tc>
                            </w:tr>
                            <w:tr w:rsidR="0055289D" w:rsidRPr="0055289D" w14:paraId="22779A7F" w14:textId="77777777" w:rsidTr="0055289D">
                              <w:trPr>
                                <w:trHeight w:val="204"/>
                              </w:trPr>
                              <w:tc>
                                <w:tcPr>
                                  <w:tcW w:w="1748" w:type="pct"/>
                                  <w:tcBorders>
                                    <w:top w:val="nil"/>
                                    <w:left w:val="nil"/>
                                    <w:bottom w:val="nil"/>
                                    <w:right w:val="nil"/>
                                  </w:tcBorders>
                                  <w:noWrap/>
                                  <w:hideMark/>
                                </w:tcPr>
                                <w:p w14:paraId="4F1C6292"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Inventory Out.</w:t>
                                  </w:r>
                                </w:p>
                              </w:tc>
                              <w:tc>
                                <w:tcPr>
                                  <w:tcW w:w="542" w:type="pct"/>
                                  <w:tcBorders>
                                    <w:top w:val="nil"/>
                                    <w:left w:val="nil"/>
                                    <w:bottom w:val="nil"/>
                                    <w:right w:val="nil"/>
                                  </w:tcBorders>
                                  <w:hideMark/>
                                </w:tcPr>
                                <w:p w14:paraId="0EFE512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84.2 </w:t>
                                  </w:r>
                                </w:p>
                              </w:tc>
                              <w:tc>
                                <w:tcPr>
                                  <w:tcW w:w="542" w:type="pct"/>
                                  <w:tcBorders>
                                    <w:top w:val="nil"/>
                                    <w:left w:val="nil"/>
                                    <w:bottom w:val="nil"/>
                                    <w:right w:val="nil"/>
                                  </w:tcBorders>
                                  <w:hideMark/>
                                </w:tcPr>
                                <w:p w14:paraId="4D7B53E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82.2 </w:t>
                                  </w:r>
                                </w:p>
                              </w:tc>
                              <w:tc>
                                <w:tcPr>
                                  <w:tcW w:w="542" w:type="pct"/>
                                  <w:tcBorders>
                                    <w:top w:val="nil"/>
                                    <w:left w:val="nil"/>
                                    <w:bottom w:val="nil"/>
                                    <w:right w:val="nil"/>
                                  </w:tcBorders>
                                  <w:hideMark/>
                                </w:tcPr>
                                <w:p w14:paraId="0F4DA0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102.4 </w:t>
                                  </w:r>
                                </w:p>
                              </w:tc>
                              <w:tc>
                                <w:tcPr>
                                  <w:tcW w:w="542" w:type="pct"/>
                                  <w:tcBorders>
                                    <w:top w:val="nil"/>
                                    <w:left w:val="nil"/>
                                    <w:bottom w:val="nil"/>
                                    <w:right w:val="nil"/>
                                  </w:tcBorders>
                                  <w:hideMark/>
                                </w:tcPr>
                                <w:p w14:paraId="300001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114.8 </w:t>
                                  </w:r>
                                </w:p>
                              </w:tc>
                              <w:tc>
                                <w:tcPr>
                                  <w:tcW w:w="542" w:type="pct"/>
                                  <w:tcBorders>
                                    <w:top w:val="nil"/>
                                    <w:left w:val="nil"/>
                                    <w:bottom w:val="nil"/>
                                    <w:right w:val="nil"/>
                                  </w:tcBorders>
                                  <w:hideMark/>
                                </w:tcPr>
                                <w:p w14:paraId="0B5410F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104.9 </w:t>
                                  </w:r>
                                </w:p>
                              </w:tc>
                              <w:tc>
                                <w:tcPr>
                                  <w:tcW w:w="542" w:type="pct"/>
                                  <w:tcBorders>
                                    <w:top w:val="nil"/>
                                    <w:left w:val="nil"/>
                                    <w:bottom w:val="nil"/>
                                    <w:right w:val="nil"/>
                                  </w:tcBorders>
                                  <w:hideMark/>
                                </w:tcPr>
                                <w:p w14:paraId="331AB3F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106.7 </w:t>
                                  </w:r>
                                </w:p>
                              </w:tc>
                            </w:tr>
                            <w:tr w:rsidR="0055289D" w:rsidRPr="0055289D" w14:paraId="24F3A9AC" w14:textId="77777777" w:rsidTr="0055289D">
                              <w:trPr>
                                <w:trHeight w:val="204"/>
                              </w:trPr>
                              <w:tc>
                                <w:tcPr>
                                  <w:tcW w:w="1748" w:type="pct"/>
                                  <w:tcBorders>
                                    <w:top w:val="nil"/>
                                    <w:left w:val="nil"/>
                                    <w:bottom w:val="nil"/>
                                    <w:right w:val="nil"/>
                                  </w:tcBorders>
                                  <w:noWrap/>
                                  <w:hideMark/>
                                </w:tcPr>
                                <w:p w14:paraId="616ECCB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Payable Out.</w:t>
                                  </w:r>
                                </w:p>
                              </w:tc>
                              <w:tc>
                                <w:tcPr>
                                  <w:tcW w:w="542" w:type="pct"/>
                                  <w:tcBorders>
                                    <w:top w:val="nil"/>
                                    <w:left w:val="nil"/>
                                    <w:bottom w:val="nil"/>
                                    <w:right w:val="nil"/>
                                  </w:tcBorders>
                                  <w:hideMark/>
                                </w:tcPr>
                                <w:p w14:paraId="72B01C0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119.6 </w:t>
                                  </w:r>
                                </w:p>
                              </w:tc>
                              <w:tc>
                                <w:tcPr>
                                  <w:tcW w:w="542" w:type="pct"/>
                                  <w:tcBorders>
                                    <w:top w:val="nil"/>
                                    <w:left w:val="nil"/>
                                    <w:bottom w:val="nil"/>
                                    <w:right w:val="nil"/>
                                  </w:tcBorders>
                                  <w:hideMark/>
                                </w:tcPr>
                                <w:p w14:paraId="69306EC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111.1 </w:t>
                                  </w:r>
                                </w:p>
                              </w:tc>
                              <w:tc>
                                <w:tcPr>
                                  <w:tcW w:w="542" w:type="pct"/>
                                  <w:tcBorders>
                                    <w:top w:val="nil"/>
                                    <w:left w:val="nil"/>
                                    <w:bottom w:val="nil"/>
                                    <w:right w:val="nil"/>
                                  </w:tcBorders>
                                  <w:hideMark/>
                                </w:tcPr>
                                <w:p w14:paraId="02164B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113.2 </w:t>
                                  </w:r>
                                </w:p>
                              </w:tc>
                              <w:tc>
                                <w:tcPr>
                                  <w:tcW w:w="542" w:type="pct"/>
                                  <w:tcBorders>
                                    <w:top w:val="nil"/>
                                    <w:left w:val="nil"/>
                                    <w:bottom w:val="nil"/>
                                    <w:right w:val="nil"/>
                                  </w:tcBorders>
                                  <w:hideMark/>
                                </w:tcPr>
                                <w:p w14:paraId="2C67590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140.4 </w:t>
                                  </w:r>
                                </w:p>
                              </w:tc>
                              <w:tc>
                                <w:tcPr>
                                  <w:tcW w:w="542" w:type="pct"/>
                                  <w:tcBorders>
                                    <w:top w:val="nil"/>
                                    <w:left w:val="nil"/>
                                    <w:bottom w:val="nil"/>
                                    <w:right w:val="nil"/>
                                  </w:tcBorders>
                                  <w:hideMark/>
                                </w:tcPr>
                                <w:p w14:paraId="13CE718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130.9 </w:t>
                                  </w:r>
                                </w:p>
                              </w:tc>
                              <w:tc>
                                <w:tcPr>
                                  <w:tcW w:w="542" w:type="pct"/>
                                  <w:tcBorders>
                                    <w:top w:val="nil"/>
                                    <w:left w:val="nil"/>
                                    <w:bottom w:val="nil"/>
                                    <w:right w:val="nil"/>
                                  </w:tcBorders>
                                  <w:hideMark/>
                                </w:tcPr>
                                <w:p w14:paraId="71E623A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130.6 </w:t>
                                  </w:r>
                                </w:p>
                              </w:tc>
                            </w:tr>
                            <w:tr w:rsidR="0055289D" w:rsidRPr="0055289D" w14:paraId="128B955D" w14:textId="77777777" w:rsidTr="0055289D">
                              <w:trPr>
                                <w:trHeight w:val="204"/>
                              </w:trPr>
                              <w:tc>
                                <w:tcPr>
                                  <w:tcW w:w="1748" w:type="pct"/>
                                  <w:tcBorders>
                                    <w:top w:val="nil"/>
                                    <w:left w:val="nil"/>
                                    <w:bottom w:val="nil"/>
                                    <w:right w:val="nil"/>
                                  </w:tcBorders>
                                  <w:noWrap/>
                                  <w:hideMark/>
                                </w:tcPr>
                                <w:p w14:paraId="32C0EED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Cash Conversion Cycle</w:t>
                                  </w:r>
                                </w:p>
                              </w:tc>
                              <w:tc>
                                <w:tcPr>
                                  <w:tcW w:w="542" w:type="pct"/>
                                  <w:tcBorders>
                                    <w:top w:val="nil"/>
                                    <w:left w:val="nil"/>
                                    <w:bottom w:val="nil"/>
                                    <w:right w:val="nil"/>
                                  </w:tcBorders>
                                  <w:hideMark/>
                                </w:tcPr>
                                <w:p w14:paraId="2E97B9A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15.3 </w:t>
                                  </w:r>
                                </w:p>
                              </w:tc>
                              <w:tc>
                                <w:tcPr>
                                  <w:tcW w:w="542" w:type="pct"/>
                                  <w:tcBorders>
                                    <w:top w:val="nil"/>
                                    <w:left w:val="nil"/>
                                    <w:bottom w:val="nil"/>
                                    <w:right w:val="nil"/>
                                  </w:tcBorders>
                                  <w:hideMark/>
                                </w:tcPr>
                                <w:p w14:paraId="0DB8EAD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36.2 </w:t>
                                  </w:r>
                                </w:p>
                              </w:tc>
                              <w:tc>
                                <w:tcPr>
                                  <w:tcW w:w="542" w:type="pct"/>
                                  <w:tcBorders>
                                    <w:top w:val="nil"/>
                                    <w:left w:val="nil"/>
                                    <w:bottom w:val="nil"/>
                                    <w:right w:val="nil"/>
                                  </w:tcBorders>
                                  <w:hideMark/>
                                </w:tcPr>
                                <w:p w14:paraId="0A16316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74.3 </w:t>
                                  </w:r>
                                </w:p>
                              </w:tc>
                              <w:tc>
                                <w:tcPr>
                                  <w:tcW w:w="542" w:type="pct"/>
                                  <w:tcBorders>
                                    <w:top w:val="nil"/>
                                    <w:left w:val="nil"/>
                                    <w:bottom w:val="nil"/>
                                    <w:right w:val="nil"/>
                                  </w:tcBorders>
                                  <w:hideMark/>
                                </w:tcPr>
                                <w:p w14:paraId="1071A9C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65.9 </w:t>
                                  </w:r>
                                </w:p>
                              </w:tc>
                              <w:tc>
                                <w:tcPr>
                                  <w:tcW w:w="542" w:type="pct"/>
                                  <w:tcBorders>
                                    <w:top w:val="nil"/>
                                    <w:left w:val="nil"/>
                                    <w:bottom w:val="nil"/>
                                    <w:right w:val="nil"/>
                                  </w:tcBorders>
                                  <w:hideMark/>
                                </w:tcPr>
                                <w:p w14:paraId="738A6EE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55.9 </w:t>
                                  </w:r>
                                </w:p>
                              </w:tc>
                              <w:tc>
                                <w:tcPr>
                                  <w:tcW w:w="542" w:type="pct"/>
                                  <w:tcBorders>
                                    <w:top w:val="nil"/>
                                    <w:left w:val="nil"/>
                                    <w:bottom w:val="nil"/>
                                    <w:right w:val="nil"/>
                                  </w:tcBorders>
                                  <w:hideMark/>
                                </w:tcPr>
                                <w:p w14:paraId="20CDCF0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36.9 </w:t>
                                  </w:r>
                                </w:p>
                              </w:tc>
                            </w:tr>
                            <w:tr w:rsidR="0055289D" w:rsidRPr="0055289D" w14:paraId="528A138F" w14:textId="77777777" w:rsidTr="0055289D">
                              <w:trPr>
                                <w:trHeight w:val="204"/>
                              </w:trPr>
                              <w:tc>
                                <w:tcPr>
                                  <w:tcW w:w="1748" w:type="pct"/>
                                  <w:tcBorders>
                                    <w:top w:val="nil"/>
                                    <w:left w:val="nil"/>
                                    <w:bottom w:val="nil"/>
                                    <w:right w:val="nil"/>
                                  </w:tcBorders>
                                  <w:noWrap/>
                                  <w:hideMark/>
                                </w:tcPr>
                                <w:p w14:paraId="0FEDBA26"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Long Term Solvency</w:t>
                                  </w:r>
                                </w:p>
                              </w:tc>
                              <w:tc>
                                <w:tcPr>
                                  <w:tcW w:w="542" w:type="pct"/>
                                  <w:tcBorders>
                                    <w:top w:val="nil"/>
                                    <w:left w:val="nil"/>
                                    <w:bottom w:val="nil"/>
                                    <w:right w:val="nil"/>
                                  </w:tcBorders>
                                  <w:noWrap/>
                                  <w:hideMark/>
                                </w:tcPr>
                                <w:p w14:paraId="2E0B0179"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7744453D"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1211D8A"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E76EBA8"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33B7288"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4AA5B7D4"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05D6823" w14:textId="77777777" w:rsidTr="0055289D">
                              <w:trPr>
                                <w:trHeight w:val="204"/>
                              </w:trPr>
                              <w:tc>
                                <w:tcPr>
                                  <w:tcW w:w="1748" w:type="pct"/>
                                  <w:tcBorders>
                                    <w:top w:val="nil"/>
                                    <w:left w:val="nil"/>
                                    <w:bottom w:val="nil"/>
                                    <w:right w:val="nil"/>
                                  </w:tcBorders>
                                  <w:noWrap/>
                                  <w:hideMark/>
                                </w:tcPr>
                                <w:p w14:paraId="161D431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Debt/Equity</w:t>
                                  </w:r>
                                </w:p>
                              </w:tc>
                              <w:tc>
                                <w:tcPr>
                                  <w:tcW w:w="542" w:type="pct"/>
                                  <w:tcBorders>
                                    <w:top w:val="nil"/>
                                    <w:left w:val="nil"/>
                                    <w:bottom w:val="nil"/>
                                    <w:right w:val="nil"/>
                                  </w:tcBorders>
                                  <w:hideMark/>
                                </w:tcPr>
                                <w:p w14:paraId="7BA3CA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41.4% </w:t>
                                  </w:r>
                                </w:p>
                              </w:tc>
                              <w:tc>
                                <w:tcPr>
                                  <w:tcW w:w="542" w:type="pct"/>
                                  <w:tcBorders>
                                    <w:top w:val="nil"/>
                                    <w:left w:val="nil"/>
                                    <w:bottom w:val="nil"/>
                                    <w:right w:val="nil"/>
                                  </w:tcBorders>
                                  <w:hideMark/>
                                </w:tcPr>
                                <w:p w14:paraId="558983D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57.5% </w:t>
                                  </w:r>
                                </w:p>
                              </w:tc>
                              <w:tc>
                                <w:tcPr>
                                  <w:tcW w:w="542" w:type="pct"/>
                                  <w:tcBorders>
                                    <w:top w:val="nil"/>
                                    <w:left w:val="nil"/>
                                    <w:bottom w:val="nil"/>
                                    <w:right w:val="nil"/>
                                  </w:tcBorders>
                                  <w:hideMark/>
                                </w:tcPr>
                                <w:p w14:paraId="1793DC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91.0% </w:t>
                                  </w:r>
                                </w:p>
                              </w:tc>
                              <w:tc>
                                <w:tcPr>
                                  <w:tcW w:w="542" w:type="pct"/>
                                  <w:tcBorders>
                                    <w:top w:val="nil"/>
                                    <w:left w:val="nil"/>
                                    <w:bottom w:val="nil"/>
                                    <w:right w:val="nil"/>
                                  </w:tcBorders>
                                  <w:hideMark/>
                                </w:tcPr>
                                <w:p w14:paraId="1E7EC49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101.4% </w:t>
                                  </w:r>
                                </w:p>
                              </w:tc>
                              <w:tc>
                                <w:tcPr>
                                  <w:tcW w:w="542" w:type="pct"/>
                                  <w:tcBorders>
                                    <w:top w:val="nil"/>
                                    <w:left w:val="nil"/>
                                    <w:bottom w:val="nil"/>
                                    <w:right w:val="nil"/>
                                  </w:tcBorders>
                                  <w:hideMark/>
                                </w:tcPr>
                                <w:p w14:paraId="004971A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113.8% </w:t>
                                  </w:r>
                                </w:p>
                              </w:tc>
                              <w:tc>
                                <w:tcPr>
                                  <w:tcW w:w="542" w:type="pct"/>
                                  <w:tcBorders>
                                    <w:top w:val="nil"/>
                                    <w:left w:val="nil"/>
                                    <w:bottom w:val="nil"/>
                                    <w:right w:val="nil"/>
                                  </w:tcBorders>
                                  <w:hideMark/>
                                </w:tcPr>
                                <w:p w14:paraId="1C9A23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75.7% </w:t>
                                  </w:r>
                                </w:p>
                              </w:tc>
                            </w:tr>
                            <w:tr w:rsidR="0055289D" w:rsidRPr="0055289D" w14:paraId="740A45B5" w14:textId="77777777" w:rsidTr="0055289D">
                              <w:trPr>
                                <w:trHeight w:val="204"/>
                              </w:trPr>
                              <w:tc>
                                <w:tcPr>
                                  <w:tcW w:w="1748" w:type="pct"/>
                                  <w:tcBorders>
                                    <w:top w:val="nil"/>
                                    <w:left w:val="nil"/>
                                    <w:bottom w:val="nil"/>
                                    <w:right w:val="nil"/>
                                  </w:tcBorders>
                                  <w:noWrap/>
                                  <w:hideMark/>
                                </w:tcPr>
                                <w:p w14:paraId="7A70F30F"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Debt/Capital</w:t>
                                  </w:r>
                                </w:p>
                              </w:tc>
                              <w:tc>
                                <w:tcPr>
                                  <w:tcW w:w="542" w:type="pct"/>
                                  <w:tcBorders>
                                    <w:top w:val="nil"/>
                                    <w:left w:val="nil"/>
                                    <w:bottom w:val="nil"/>
                                    <w:right w:val="nil"/>
                                  </w:tcBorders>
                                  <w:hideMark/>
                                </w:tcPr>
                                <w:p w14:paraId="5A2979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29.3% </w:t>
                                  </w:r>
                                </w:p>
                              </w:tc>
                              <w:tc>
                                <w:tcPr>
                                  <w:tcW w:w="542" w:type="pct"/>
                                  <w:tcBorders>
                                    <w:top w:val="nil"/>
                                    <w:left w:val="nil"/>
                                    <w:bottom w:val="nil"/>
                                    <w:right w:val="nil"/>
                                  </w:tcBorders>
                                  <w:hideMark/>
                                </w:tcPr>
                                <w:p w14:paraId="041FDD7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36.5% </w:t>
                                  </w:r>
                                </w:p>
                              </w:tc>
                              <w:tc>
                                <w:tcPr>
                                  <w:tcW w:w="542" w:type="pct"/>
                                  <w:tcBorders>
                                    <w:top w:val="nil"/>
                                    <w:left w:val="nil"/>
                                    <w:bottom w:val="nil"/>
                                    <w:right w:val="nil"/>
                                  </w:tcBorders>
                                  <w:hideMark/>
                                </w:tcPr>
                                <w:p w14:paraId="557ED05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47.7% </w:t>
                                  </w:r>
                                </w:p>
                              </w:tc>
                              <w:tc>
                                <w:tcPr>
                                  <w:tcW w:w="542" w:type="pct"/>
                                  <w:tcBorders>
                                    <w:top w:val="nil"/>
                                    <w:left w:val="nil"/>
                                    <w:bottom w:val="nil"/>
                                    <w:right w:val="nil"/>
                                  </w:tcBorders>
                                  <w:hideMark/>
                                </w:tcPr>
                                <w:p w14:paraId="7D0AFAA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50.4% </w:t>
                                  </w:r>
                                </w:p>
                              </w:tc>
                              <w:tc>
                                <w:tcPr>
                                  <w:tcW w:w="542" w:type="pct"/>
                                  <w:tcBorders>
                                    <w:top w:val="nil"/>
                                    <w:left w:val="nil"/>
                                    <w:bottom w:val="nil"/>
                                    <w:right w:val="nil"/>
                                  </w:tcBorders>
                                  <w:hideMark/>
                                </w:tcPr>
                                <w:p w14:paraId="293EFE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53.2% </w:t>
                                  </w:r>
                                </w:p>
                              </w:tc>
                              <w:tc>
                                <w:tcPr>
                                  <w:tcW w:w="542" w:type="pct"/>
                                  <w:tcBorders>
                                    <w:top w:val="nil"/>
                                    <w:left w:val="nil"/>
                                    <w:bottom w:val="nil"/>
                                    <w:right w:val="nil"/>
                                  </w:tcBorders>
                                  <w:hideMark/>
                                </w:tcPr>
                                <w:p w14:paraId="70B893C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43.1% </w:t>
                                  </w:r>
                                </w:p>
                              </w:tc>
                            </w:tr>
                            <w:tr w:rsidR="0055289D" w:rsidRPr="0055289D" w14:paraId="7B7D8057" w14:textId="77777777" w:rsidTr="0055289D">
                              <w:trPr>
                                <w:trHeight w:val="204"/>
                              </w:trPr>
                              <w:tc>
                                <w:tcPr>
                                  <w:tcW w:w="1748" w:type="pct"/>
                                  <w:tcBorders>
                                    <w:top w:val="nil"/>
                                    <w:left w:val="nil"/>
                                    <w:bottom w:val="nil"/>
                                    <w:right w:val="nil"/>
                                  </w:tcBorders>
                                  <w:noWrap/>
                                  <w:hideMark/>
                                </w:tcPr>
                                <w:p w14:paraId="492119E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LT Debt/Equity</w:t>
                                  </w:r>
                                </w:p>
                              </w:tc>
                              <w:tc>
                                <w:tcPr>
                                  <w:tcW w:w="542" w:type="pct"/>
                                  <w:tcBorders>
                                    <w:top w:val="nil"/>
                                    <w:left w:val="nil"/>
                                    <w:bottom w:val="nil"/>
                                    <w:right w:val="nil"/>
                                  </w:tcBorders>
                                  <w:hideMark/>
                                </w:tcPr>
                                <w:p w14:paraId="15EAA09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36.9% </w:t>
                                  </w:r>
                                </w:p>
                              </w:tc>
                              <w:tc>
                                <w:tcPr>
                                  <w:tcW w:w="542" w:type="pct"/>
                                  <w:tcBorders>
                                    <w:top w:val="nil"/>
                                    <w:left w:val="nil"/>
                                    <w:bottom w:val="nil"/>
                                    <w:right w:val="nil"/>
                                  </w:tcBorders>
                                  <w:hideMark/>
                                </w:tcPr>
                                <w:p w14:paraId="651F57C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30.0% </w:t>
                                  </w:r>
                                </w:p>
                              </w:tc>
                              <w:tc>
                                <w:tcPr>
                                  <w:tcW w:w="542" w:type="pct"/>
                                  <w:tcBorders>
                                    <w:top w:val="nil"/>
                                    <w:left w:val="nil"/>
                                    <w:bottom w:val="nil"/>
                                    <w:right w:val="nil"/>
                                  </w:tcBorders>
                                  <w:hideMark/>
                                </w:tcPr>
                                <w:p w14:paraId="7E7783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83.5% </w:t>
                                  </w:r>
                                </w:p>
                              </w:tc>
                              <w:tc>
                                <w:tcPr>
                                  <w:tcW w:w="542" w:type="pct"/>
                                  <w:tcBorders>
                                    <w:top w:val="nil"/>
                                    <w:left w:val="nil"/>
                                    <w:bottom w:val="nil"/>
                                    <w:right w:val="nil"/>
                                  </w:tcBorders>
                                  <w:hideMark/>
                                </w:tcPr>
                                <w:p w14:paraId="4A090C4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94.5% </w:t>
                                  </w:r>
                                </w:p>
                              </w:tc>
                              <w:tc>
                                <w:tcPr>
                                  <w:tcW w:w="542" w:type="pct"/>
                                  <w:tcBorders>
                                    <w:top w:val="nil"/>
                                    <w:left w:val="nil"/>
                                    <w:bottom w:val="nil"/>
                                    <w:right w:val="nil"/>
                                  </w:tcBorders>
                                  <w:hideMark/>
                                </w:tcPr>
                                <w:p w14:paraId="58288C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77.7% </w:t>
                                  </w:r>
                                </w:p>
                              </w:tc>
                              <w:tc>
                                <w:tcPr>
                                  <w:tcW w:w="542" w:type="pct"/>
                                  <w:tcBorders>
                                    <w:top w:val="nil"/>
                                    <w:left w:val="nil"/>
                                    <w:bottom w:val="nil"/>
                                    <w:right w:val="nil"/>
                                  </w:tcBorders>
                                  <w:hideMark/>
                                </w:tcPr>
                                <w:p w14:paraId="268FF38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65.7% </w:t>
                                  </w:r>
                                </w:p>
                              </w:tc>
                            </w:tr>
                            <w:tr w:rsidR="0055289D" w:rsidRPr="0055289D" w14:paraId="3B9ED0A8" w14:textId="77777777" w:rsidTr="0055289D">
                              <w:trPr>
                                <w:trHeight w:val="204"/>
                              </w:trPr>
                              <w:tc>
                                <w:tcPr>
                                  <w:tcW w:w="1748" w:type="pct"/>
                                  <w:tcBorders>
                                    <w:top w:val="nil"/>
                                    <w:left w:val="nil"/>
                                    <w:bottom w:val="nil"/>
                                    <w:right w:val="nil"/>
                                  </w:tcBorders>
                                  <w:noWrap/>
                                  <w:hideMark/>
                                </w:tcPr>
                                <w:p w14:paraId="18B179B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LT Debt/Capital</w:t>
                                  </w:r>
                                </w:p>
                              </w:tc>
                              <w:tc>
                                <w:tcPr>
                                  <w:tcW w:w="542" w:type="pct"/>
                                  <w:tcBorders>
                                    <w:top w:val="nil"/>
                                    <w:left w:val="nil"/>
                                    <w:bottom w:val="nil"/>
                                    <w:right w:val="nil"/>
                                  </w:tcBorders>
                                  <w:hideMark/>
                                </w:tcPr>
                                <w:p w14:paraId="6B9697A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26.1% </w:t>
                                  </w:r>
                                </w:p>
                              </w:tc>
                              <w:tc>
                                <w:tcPr>
                                  <w:tcW w:w="542" w:type="pct"/>
                                  <w:tcBorders>
                                    <w:top w:val="nil"/>
                                    <w:left w:val="nil"/>
                                    <w:bottom w:val="nil"/>
                                    <w:right w:val="nil"/>
                                  </w:tcBorders>
                                  <w:hideMark/>
                                </w:tcPr>
                                <w:p w14:paraId="0B45A4E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19.0% </w:t>
                                  </w:r>
                                </w:p>
                              </w:tc>
                              <w:tc>
                                <w:tcPr>
                                  <w:tcW w:w="542" w:type="pct"/>
                                  <w:tcBorders>
                                    <w:top w:val="nil"/>
                                    <w:left w:val="nil"/>
                                    <w:bottom w:val="nil"/>
                                    <w:right w:val="nil"/>
                                  </w:tcBorders>
                                  <w:hideMark/>
                                </w:tcPr>
                                <w:p w14:paraId="09D449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43.7% </w:t>
                                  </w:r>
                                </w:p>
                              </w:tc>
                              <w:tc>
                                <w:tcPr>
                                  <w:tcW w:w="542" w:type="pct"/>
                                  <w:tcBorders>
                                    <w:top w:val="nil"/>
                                    <w:left w:val="nil"/>
                                    <w:bottom w:val="nil"/>
                                    <w:right w:val="nil"/>
                                  </w:tcBorders>
                                  <w:hideMark/>
                                </w:tcPr>
                                <w:p w14:paraId="3008F91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46.9% </w:t>
                                  </w:r>
                                </w:p>
                              </w:tc>
                              <w:tc>
                                <w:tcPr>
                                  <w:tcW w:w="542" w:type="pct"/>
                                  <w:tcBorders>
                                    <w:top w:val="nil"/>
                                    <w:left w:val="nil"/>
                                    <w:bottom w:val="nil"/>
                                    <w:right w:val="nil"/>
                                  </w:tcBorders>
                                  <w:hideMark/>
                                </w:tcPr>
                                <w:p w14:paraId="6349308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36.4% </w:t>
                                  </w:r>
                                </w:p>
                              </w:tc>
                              <w:tc>
                                <w:tcPr>
                                  <w:tcW w:w="542" w:type="pct"/>
                                  <w:tcBorders>
                                    <w:top w:val="nil"/>
                                    <w:left w:val="nil"/>
                                    <w:bottom w:val="nil"/>
                                    <w:right w:val="nil"/>
                                  </w:tcBorders>
                                  <w:hideMark/>
                                </w:tcPr>
                                <w:p w14:paraId="09D7ECA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37.4% </w:t>
                                  </w:r>
                                </w:p>
                              </w:tc>
                            </w:tr>
                            <w:tr w:rsidR="0055289D" w:rsidRPr="0055289D" w14:paraId="27E7F5AD" w14:textId="77777777" w:rsidTr="0055289D">
                              <w:trPr>
                                <w:trHeight w:val="204"/>
                              </w:trPr>
                              <w:tc>
                                <w:tcPr>
                                  <w:tcW w:w="1748" w:type="pct"/>
                                  <w:tcBorders>
                                    <w:top w:val="nil"/>
                                    <w:left w:val="nil"/>
                                    <w:bottom w:val="nil"/>
                                    <w:right w:val="nil"/>
                                  </w:tcBorders>
                                  <w:noWrap/>
                                  <w:hideMark/>
                                </w:tcPr>
                                <w:p w14:paraId="56B79EE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Liabilities/Total Assets</w:t>
                                  </w:r>
                                </w:p>
                              </w:tc>
                              <w:tc>
                                <w:tcPr>
                                  <w:tcW w:w="542" w:type="pct"/>
                                  <w:tcBorders>
                                    <w:top w:val="nil"/>
                                    <w:left w:val="nil"/>
                                    <w:bottom w:val="nil"/>
                                    <w:right w:val="nil"/>
                                  </w:tcBorders>
                                  <w:hideMark/>
                                </w:tcPr>
                                <w:p w14:paraId="5D574CD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61.8% </w:t>
                                  </w:r>
                                </w:p>
                              </w:tc>
                              <w:tc>
                                <w:tcPr>
                                  <w:tcW w:w="542" w:type="pct"/>
                                  <w:tcBorders>
                                    <w:top w:val="nil"/>
                                    <w:left w:val="nil"/>
                                    <w:bottom w:val="nil"/>
                                    <w:right w:val="nil"/>
                                  </w:tcBorders>
                                  <w:hideMark/>
                                </w:tcPr>
                                <w:p w14:paraId="792BE7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70.3% </w:t>
                                  </w:r>
                                </w:p>
                              </w:tc>
                              <w:tc>
                                <w:tcPr>
                                  <w:tcW w:w="542" w:type="pct"/>
                                  <w:tcBorders>
                                    <w:top w:val="nil"/>
                                    <w:left w:val="nil"/>
                                    <w:bottom w:val="nil"/>
                                    <w:right w:val="nil"/>
                                  </w:tcBorders>
                                  <w:hideMark/>
                                </w:tcPr>
                                <w:p w14:paraId="2453EBA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70.7% </w:t>
                                  </w:r>
                                </w:p>
                              </w:tc>
                              <w:tc>
                                <w:tcPr>
                                  <w:tcW w:w="542" w:type="pct"/>
                                  <w:tcBorders>
                                    <w:top w:val="nil"/>
                                    <w:left w:val="nil"/>
                                    <w:bottom w:val="nil"/>
                                    <w:right w:val="nil"/>
                                  </w:tcBorders>
                                  <w:hideMark/>
                                </w:tcPr>
                                <w:p w14:paraId="428438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71.8% </w:t>
                                  </w:r>
                                </w:p>
                              </w:tc>
                              <w:tc>
                                <w:tcPr>
                                  <w:tcW w:w="542" w:type="pct"/>
                                  <w:tcBorders>
                                    <w:top w:val="nil"/>
                                    <w:left w:val="nil"/>
                                    <w:bottom w:val="nil"/>
                                    <w:right w:val="nil"/>
                                  </w:tcBorders>
                                  <w:hideMark/>
                                </w:tcPr>
                                <w:p w14:paraId="65713C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74.3% </w:t>
                                  </w:r>
                                </w:p>
                              </w:tc>
                              <w:tc>
                                <w:tcPr>
                                  <w:tcW w:w="542" w:type="pct"/>
                                  <w:tcBorders>
                                    <w:top w:val="nil"/>
                                    <w:left w:val="nil"/>
                                    <w:bottom w:val="nil"/>
                                    <w:right w:val="nil"/>
                                  </w:tcBorders>
                                  <w:hideMark/>
                                </w:tcPr>
                                <w:p w14:paraId="4423AE7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69.0% </w:t>
                                  </w:r>
                                </w:p>
                              </w:tc>
                            </w:tr>
                            <w:tr w:rsidR="0055289D" w:rsidRPr="0055289D" w14:paraId="4AA408AF" w14:textId="77777777" w:rsidTr="0055289D">
                              <w:trPr>
                                <w:trHeight w:val="204"/>
                              </w:trPr>
                              <w:tc>
                                <w:tcPr>
                                  <w:tcW w:w="1748" w:type="pct"/>
                                  <w:tcBorders>
                                    <w:top w:val="nil"/>
                                    <w:left w:val="nil"/>
                                    <w:bottom w:val="nil"/>
                                    <w:right w:val="nil"/>
                                  </w:tcBorders>
                                  <w:noWrap/>
                                  <w:hideMark/>
                                </w:tcPr>
                                <w:p w14:paraId="08C8B26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 / Interest Exp.</w:t>
                                  </w:r>
                                </w:p>
                              </w:tc>
                              <w:tc>
                                <w:tcPr>
                                  <w:tcW w:w="542" w:type="pct"/>
                                  <w:tcBorders>
                                    <w:top w:val="nil"/>
                                    <w:left w:val="nil"/>
                                    <w:bottom w:val="nil"/>
                                    <w:right w:val="nil"/>
                                  </w:tcBorders>
                                  <w:hideMark/>
                                </w:tcPr>
                                <w:p w14:paraId="1671215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0D18CD1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2.5x</w:t>
                                  </w:r>
                                </w:p>
                              </w:tc>
                              <w:tc>
                                <w:tcPr>
                                  <w:tcW w:w="542" w:type="pct"/>
                                  <w:tcBorders>
                                    <w:top w:val="nil"/>
                                    <w:left w:val="nil"/>
                                    <w:bottom w:val="nil"/>
                                    <w:right w:val="nil"/>
                                  </w:tcBorders>
                                  <w:hideMark/>
                                </w:tcPr>
                                <w:p w14:paraId="0B81A87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0.3x</w:t>
                                  </w:r>
                                </w:p>
                              </w:tc>
                              <w:tc>
                                <w:tcPr>
                                  <w:tcW w:w="542" w:type="pct"/>
                                  <w:tcBorders>
                                    <w:top w:val="nil"/>
                                    <w:left w:val="nil"/>
                                    <w:bottom w:val="nil"/>
                                    <w:right w:val="nil"/>
                                  </w:tcBorders>
                                  <w:hideMark/>
                                </w:tcPr>
                                <w:p w14:paraId="082838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c>
                                <w:tcPr>
                                  <w:tcW w:w="542" w:type="pct"/>
                                  <w:tcBorders>
                                    <w:top w:val="nil"/>
                                    <w:left w:val="nil"/>
                                    <w:bottom w:val="nil"/>
                                    <w:right w:val="nil"/>
                                  </w:tcBorders>
                                  <w:hideMark/>
                                </w:tcPr>
                                <w:p w14:paraId="0A0FD98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1D185C9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r>
                            <w:tr w:rsidR="0055289D" w:rsidRPr="0055289D" w14:paraId="52FD76FA" w14:textId="77777777" w:rsidTr="0055289D">
                              <w:trPr>
                                <w:trHeight w:val="204"/>
                              </w:trPr>
                              <w:tc>
                                <w:tcPr>
                                  <w:tcW w:w="1748" w:type="pct"/>
                                  <w:tcBorders>
                                    <w:top w:val="nil"/>
                                    <w:left w:val="nil"/>
                                    <w:bottom w:val="nil"/>
                                    <w:right w:val="nil"/>
                                  </w:tcBorders>
                                  <w:noWrap/>
                                  <w:hideMark/>
                                </w:tcPr>
                                <w:p w14:paraId="11EDEB8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 / Interest Exp.</w:t>
                                  </w:r>
                                </w:p>
                              </w:tc>
                              <w:tc>
                                <w:tcPr>
                                  <w:tcW w:w="542" w:type="pct"/>
                                  <w:tcBorders>
                                    <w:top w:val="nil"/>
                                    <w:left w:val="nil"/>
                                    <w:bottom w:val="nil"/>
                                    <w:right w:val="nil"/>
                                  </w:tcBorders>
                                  <w:hideMark/>
                                </w:tcPr>
                                <w:p w14:paraId="6F717E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5.3x</w:t>
                                  </w:r>
                                </w:p>
                              </w:tc>
                              <w:tc>
                                <w:tcPr>
                                  <w:tcW w:w="542" w:type="pct"/>
                                  <w:tcBorders>
                                    <w:top w:val="nil"/>
                                    <w:left w:val="nil"/>
                                    <w:bottom w:val="nil"/>
                                    <w:right w:val="nil"/>
                                  </w:tcBorders>
                                  <w:hideMark/>
                                </w:tcPr>
                                <w:p w14:paraId="7012844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4.8x</w:t>
                                  </w:r>
                                </w:p>
                              </w:tc>
                              <w:tc>
                                <w:tcPr>
                                  <w:tcW w:w="542" w:type="pct"/>
                                  <w:tcBorders>
                                    <w:top w:val="nil"/>
                                    <w:left w:val="nil"/>
                                    <w:bottom w:val="nil"/>
                                    <w:right w:val="nil"/>
                                  </w:tcBorders>
                                  <w:hideMark/>
                                </w:tcPr>
                                <w:p w14:paraId="116989C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1.9x</w:t>
                                  </w:r>
                                </w:p>
                              </w:tc>
                              <w:tc>
                                <w:tcPr>
                                  <w:tcW w:w="542" w:type="pct"/>
                                  <w:tcBorders>
                                    <w:top w:val="nil"/>
                                    <w:left w:val="nil"/>
                                    <w:bottom w:val="nil"/>
                                    <w:right w:val="nil"/>
                                  </w:tcBorders>
                                  <w:hideMark/>
                                </w:tcPr>
                                <w:p w14:paraId="18D6BBF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1.4x</w:t>
                                  </w:r>
                                </w:p>
                              </w:tc>
                              <w:tc>
                                <w:tcPr>
                                  <w:tcW w:w="542" w:type="pct"/>
                                  <w:tcBorders>
                                    <w:top w:val="nil"/>
                                    <w:left w:val="nil"/>
                                    <w:bottom w:val="nil"/>
                                    <w:right w:val="nil"/>
                                  </w:tcBorders>
                                  <w:hideMark/>
                                </w:tcPr>
                                <w:p w14:paraId="00F56FB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0.3x</w:t>
                                  </w:r>
                                </w:p>
                              </w:tc>
                              <w:tc>
                                <w:tcPr>
                                  <w:tcW w:w="542" w:type="pct"/>
                                  <w:tcBorders>
                                    <w:top w:val="nil"/>
                                    <w:left w:val="nil"/>
                                    <w:bottom w:val="nil"/>
                                    <w:right w:val="nil"/>
                                  </w:tcBorders>
                                  <w:hideMark/>
                                </w:tcPr>
                                <w:p w14:paraId="62CC4EF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2.1x</w:t>
                                  </w:r>
                                </w:p>
                              </w:tc>
                            </w:tr>
                            <w:tr w:rsidR="0055289D" w:rsidRPr="0055289D" w14:paraId="0A2D5B59" w14:textId="77777777" w:rsidTr="0055289D">
                              <w:trPr>
                                <w:trHeight w:val="204"/>
                              </w:trPr>
                              <w:tc>
                                <w:tcPr>
                                  <w:tcW w:w="1748" w:type="pct"/>
                                  <w:tcBorders>
                                    <w:top w:val="nil"/>
                                    <w:left w:val="nil"/>
                                    <w:bottom w:val="nil"/>
                                    <w:right w:val="nil"/>
                                  </w:tcBorders>
                                  <w:noWrap/>
                                  <w:hideMark/>
                                </w:tcPr>
                                <w:p w14:paraId="60CA2AB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(EBITDA-CAPEX) / Interest Exp.</w:t>
                                  </w:r>
                                </w:p>
                              </w:tc>
                              <w:tc>
                                <w:tcPr>
                                  <w:tcW w:w="542" w:type="pct"/>
                                  <w:tcBorders>
                                    <w:top w:val="nil"/>
                                    <w:left w:val="nil"/>
                                    <w:bottom w:val="nil"/>
                                    <w:right w:val="nil"/>
                                  </w:tcBorders>
                                  <w:hideMark/>
                                </w:tcPr>
                                <w:p w14:paraId="46D481E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618908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3.3x</w:t>
                                  </w:r>
                                </w:p>
                              </w:tc>
                              <w:tc>
                                <w:tcPr>
                                  <w:tcW w:w="542" w:type="pct"/>
                                  <w:tcBorders>
                                    <w:top w:val="nil"/>
                                    <w:left w:val="nil"/>
                                    <w:bottom w:val="nil"/>
                                    <w:right w:val="nil"/>
                                  </w:tcBorders>
                                  <w:hideMark/>
                                </w:tcPr>
                                <w:p w14:paraId="6112922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207DCF1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c>
                                <w:tcPr>
                                  <w:tcW w:w="542" w:type="pct"/>
                                  <w:tcBorders>
                                    <w:top w:val="nil"/>
                                    <w:left w:val="nil"/>
                                    <w:bottom w:val="nil"/>
                                    <w:right w:val="nil"/>
                                  </w:tcBorders>
                                  <w:hideMark/>
                                </w:tcPr>
                                <w:p w14:paraId="157F696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3FC1E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1.9x</w:t>
                                  </w:r>
                                </w:p>
                              </w:tc>
                            </w:tr>
                            <w:tr w:rsidR="0055289D" w:rsidRPr="0055289D" w14:paraId="30F2C58B" w14:textId="77777777" w:rsidTr="0055289D">
                              <w:trPr>
                                <w:trHeight w:val="204"/>
                              </w:trPr>
                              <w:tc>
                                <w:tcPr>
                                  <w:tcW w:w="1748" w:type="pct"/>
                                  <w:tcBorders>
                                    <w:top w:val="nil"/>
                                    <w:left w:val="nil"/>
                                    <w:bottom w:val="nil"/>
                                    <w:right w:val="nil"/>
                                  </w:tcBorders>
                                  <w:noWrap/>
                                  <w:hideMark/>
                                </w:tcPr>
                                <w:p w14:paraId="0916216E"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Debt/EBITDA</w:t>
                                  </w:r>
                                </w:p>
                              </w:tc>
                              <w:tc>
                                <w:tcPr>
                                  <w:tcW w:w="542" w:type="pct"/>
                                  <w:tcBorders>
                                    <w:top w:val="nil"/>
                                    <w:left w:val="nil"/>
                                    <w:bottom w:val="nil"/>
                                    <w:right w:val="nil"/>
                                  </w:tcBorders>
                                  <w:hideMark/>
                                </w:tcPr>
                                <w:p w14:paraId="310D200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2.5x</w:t>
                                  </w:r>
                                </w:p>
                              </w:tc>
                              <w:tc>
                                <w:tcPr>
                                  <w:tcW w:w="542" w:type="pct"/>
                                  <w:tcBorders>
                                    <w:top w:val="nil"/>
                                    <w:left w:val="nil"/>
                                    <w:bottom w:val="nil"/>
                                    <w:right w:val="nil"/>
                                  </w:tcBorders>
                                  <w:hideMark/>
                                </w:tcPr>
                                <w:p w14:paraId="5F916BD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3.5x</w:t>
                                  </w:r>
                                </w:p>
                              </w:tc>
                              <w:tc>
                                <w:tcPr>
                                  <w:tcW w:w="542" w:type="pct"/>
                                  <w:tcBorders>
                                    <w:top w:val="nil"/>
                                    <w:left w:val="nil"/>
                                    <w:bottom w:val="nil"/>
                                    <w:right w:val="nil"/>
                                  </w:tcBorders>
                                  <w:hideMark/>
                                </w:tcPr>
                                <w:p w14:paraId="68E276F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12.9x</w:t>
                                  </w:r>
                                </w:p>
                              </w:tc>
                              <w:tc>
                                <w:tcPr>
                                  <w:tcW w:w="542" w:type="pct"/>
                                  <w:tcBorders>
                                    <w:top w:val="nil"/>
                                    <w:left w:val="nil"/>
                                    <w:bottom w:val="nil"/>
                                    <w:right w:val="nil"/>
                                  </w:tcBorders>
                                  <w:hideMark/>
                                </w:tcPr>
                                <w:p w14:paraId="52FA982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5.9x</w:t>
                                  </w:r>
                                </w:p>
                              </w:tc>
                              <w:tc>
                                <w:tcPr>
                                  <w:tcW w:w="542" w:type="pct"/>
                                  <w:tcBorders>
                                    <w:top w:val="nil"/>
                                    <w:left w:val="nil"/>
                                    <w:bottom w:val="nil"/>
                                    <w:right w:val="nil"/>
                                  </w:tcBorders>
                                  <w:hideMark/>
                                </w:tcPr>
                                <w:p w14:paraId="72AAFEE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25.7x</w:t>
                                  </w:r>
                                </w:p>
                              </w:tc>
                              <w:tc>
                                <w:tcPr>
                                  <w:tcW w:w="542" w:type="pct"/>
                                  <w:tcBorders>
                                    <w:top w:val="nil"/>
                                    <w:left w:val="nil"/>
                                    <w:bottom w:val="nil"/>
                                    <w:right w:val="nil"/>
                                  </w:tcBorders>
                                  <w:hideMark/>
                                </w:tcPr>
                                <w:p w14:paraId="2500F63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r>
                            <w:tr w:rsidR="0055289D" w:rsidRPr="0055289D" w14:paraId="38792908" w14:textId="77777777" w:rsidTr="0055289D">
                              <w:trPr>
                                <w:trHeight w:val="204"/>
                              </w:trPr>
                              <w:tc>
                                <w:tcPr>
                                  <w:tcW w:w="1748" w:type="pct"/>
                                  <w:tcBorders>
                                    <w:top w:val="nil"/>
                                    <w:left w:val="nil"/>
                                    <w:bottom w:val="nil"/>
                                    <w:right w:val="nil"/>
                                  </w:tcBorders>
                                  <w:noWrap/>
                                  <w:hideMark/>
                                </w:tcPr>
                                <w:p w14:paraId="6C91415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Debt/EBITDA</w:t>
                                  </w:r>
                                </w:p>
                              </w:tc>
                              <w:tc>
                                <w:tcPr>
                                  <w:tcW w:w="542" w:type="pct"/>
                                  <w:tcBorders>
                                    <w:top w:val="nil"/>
                                    <w:left w:val="nil"/>
                                    <w:bottom w:val="nil"/>
                                    <w:right w:val="nil"/>
                                  </w:tcBorders>
                                  <w:hideMark/>
                                </w:tcPr>
                                <w:p w14:paraId="1B85346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6038F08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036FFDA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7.7x</w:t>
                                  </w:r>
                                </w:p>
                              </w:tc>
                              <w:tc>
                                <w:tcPr>
                                  <w:tcW w:w="542" w:type="pct"/>
                                  <w:tcBorders>
                                    <w:top w:val="nil"/>
                                    <w:left w:val="nil"/>
                                    <w:bottom w:val="nil"/>
                                    <w:right w:val="nil"/>
                                  </w:tcBorders>
                                  <w:hideMark/>
                                </w:tcPr>
                                <w:p w14:paraId="7A61BEC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4.4x</w:t>
                                  </w:r>
                                </w:p>
                              </w:tc>
                              <w:tc>
                                <w:tcPr>
                                  <w:tcW w:w="542" w:type="pct"/>
                                  <w:tcBorders>
                                    <w:top w:val="nil"/>
                                    <w:left w:val="nil"/>
                                    <w:bottom w:val="nil"/>
                                    <w:right w:val="nil"/>
                                  </w:tcBorders>
                                  <w:hideMark/>
                                </w:tcPr>
                                <w:p w14:paraId="12E01E4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17.8x</w:t>
                                  </w:r>
                                </w:p>
                              </w:tc>
                              <w:tc>
                                <w:tcPr>
                                  <w:tcW w:w="542" w:type="pct"/>
                                  <w:tcBorders>
                                    <w:top w:val="nil"/>
                                    <w:left w:val="nil"/>
                                    <w:bottom w:val="nil"/>
                                    <w:right w:val="nil"/>
                                  </w:tcBorders>
                                  <w:hideMark/>
                                </w:tcPr>
                                <w:p w14:paraId="3AF7335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2.8x</w:t>
                                  </w:r>
                                </w:p>
                              </w:tc>
                            </w:tr>
                            <w:tr w:rsidR="0055289D" w:rsidRPr="0055289D" w14:paraId="1F0D409E" w14:textId="77777777" w:rsidTr="0055289D">
                              <w:trPr>
                                <w:trHeight w:val="204"/>
                              </w:trPr>
                              <w:tc>
                                <w:tcPr>
                                  <w:tcW w:w="1748" w:type="pct"/>
                                  <w:tcBorders>
                                    <w:top w:val="nil"/>
                                    <w:left w:val="nil"/>
                                    <w:bottom w:val="nil"/>
                                    <w:right w:val="nil"/>
                                  </w:tcBorders>
                                  <w:noWrap/>
                                  <w:hideMark/>
                                </w:tcPr>
                                <w:p w14:paraId="1B27F9FD"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Debt/(EBITDA-CAPEX)</w:t>
                                  </w:r>
                                </w:p>
                              </w:tc>
                              <w:tc>
                                <w:tcPr>
                                  <w:tcW w:w="542" w:type="pct"/>
                                  <w:tcBorders>
                                    <w:top w:val="nil"/>
                                    <w:left w:val="nil"/>
                                    <w:bottom w:val="nil"/>
                                    <w:right w:val="nil"/>
                                  </w:tcBorders>
                                  <w:hideMark/>
                                </w:tcPr>
                                <w:p w14:paraId="67AE2F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3.7x</w:t>
                                  </w:r>
                                </w:p>
                              </w:tc>
                              <w:tc>
                                <w:tcPr>
                                  <w:tcW w:w="542" w:type="pct"/>
                                  <w:tcBorders>
                                    <w:top w:val="nil"/>
                                    <w:left w:val="nil"/>
                                    <w:bottom w:val="nil"/>
                                    <w:right w:val="nil"/>
                                  </w:tcBorders>
                                  <w:hideMark/>
                                </w:tcPr>
                                <w:p w14:paraId="206DDED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5.0x</w:t>
                                  </w:r>
                                </w:p>
                              </w:tc>
                              <w:tc>
                                <w:tcPr>
                                  <w:tcW w:w="542" w:type="pct"/>
                                  <w:tcBorders>
                                    <w:top w:val="nil"/>
                                    <w:left w:val="nil"/>
                                    <w:bottom w:val="nil"/>
                                    <w:right w:val="nil"/>
                                  </w:tcBorders>
                                  <w:hideMark/>
                                </w:tcPr>
                                <w:p w14:paraId="3209A2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36B10F3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41A1C68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42.5x</w:t>
                                  </w:r>
                                </w:p>
                              </w:tc>
                              <w:tc>
                                <w:tcPr>
                                  <w:tcW w:w="542" w:type="pct"/>
                                  <w:tcBorders>
                                    <w:top w:val="nil"/>
                                    <w:left w:val="nil"/>
                                    <w:bottom w:val="nil"/>
                                    <w:right w:val="nil"/>
                                  </w:tcBorders>
                                  <w:hideMark/>
                                </w:tcPr>
                                <w:p w14:paraId="764A64E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3.9x</w:t>
                                  </w:r>
                                </w:p>
                              </w:tc>
                            </w:tr>
                            <w:tr w:rsidR="0055289D" w:rsidRPr="0055289D" w14:paraId="4DC87D02" w14:textId="77777777" w:rsidTr="0055289D">
                              <w:trPr>
                                <w:trHeight w:val="204"/>
                              </w:trPr>
                              <w:tc>
                                <w:tcPr>
                                  <w:tcW w:w="1748" w:type="pct"/>
                                  <w:tcBorders>
                                    <w:top w:val="nil"/>
                                    <w:left w:val="nil"/>
                                    <w:bottom w:val="nil"/>
                                    <w:right w:val="nil"/>
                                  </w:tcBorders>
                                  <w:noWrap/>
                                  <w:hideMark/>
                                </w:tcPr>
                                <w:p w14:paraId="5A74B37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Debt/(EBITDA-CAPEX)</w:t>
                                  </w:r>
                                </w:p>
                              </w:tc>
                              <w:tc>
                                <w:tcPr>
                                  <w:tcW w:w="542" w:type="pct"/>
                                  <w:tcBorders>
                                    <w:top w:val="nil"/>
                                    <w:left w:val="nil"/>
                                    <w:bottom w:val="nil"/>
                                    <w:right w:val="nil"/>
                                  </w:tcBorders>
                                  <w:hideMark/>
                                </w:tcPr>
                                <w:p w14:paraId="4A1562F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3182D1A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02B1124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5E16691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5.2x</w:t>
                                  </w:r>
                                </w:p>
                              </w:tc>
                              <w:tc>
                                <w:tcPr>
                                  <w:tcW w:w="542" w:type="pct"/>
                                  <w:tcBorders>
                                    <w:top w:val="nil"/>
                                    <w:left w:val="nil"/>
                                    <w:bottom w:val="nil"/>
                                    <w:right w:val="nil"/>
                                  </w:tcBorders>
                                  <w:hideMark/>
                                </w:tcPr>
                                <w:p w14:paraId="1CCA352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29.4x</w:t>
                                  </w:r>
                                </w:p>
                              </w:tc>
                              <w:tc>
                                <w:tcPr>
                                  <w:tcW w:w="542" w:type="pct"/>
                                  <w:tcBorders>
                                    <w:top w:val="nil"/>
                                    <w:left w:val="nil"/>
                                    <w:bottom w:val="nil"/>
                                    <w:right w:val="nil"/>
                                  </w:tcBorders>
                                  <w:hideMark/>
                                </w:tcPr>
                                <w:p w14:paraId="1466FB6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3.0x</w:t>
                                  </w:r>
                                </w:p>
                              </w:tc>
                            </w:tr>
                            <w:tr w:rsidR="0055289D" w:rsidRPr="0055289D" w14:paraId="21BAE661" w14:textId="77777777" w:rsidTr="0055289D">
                              <w:trPr>
                                <w:trHeight w:val="204"/>
                              </w:trPr>
                              <w:tc>
                                <w:tcPr>
                                  <w:tcW w:w="1748" w:type="pct"/>
                                  <w:tcBorders>
                                    <w:top w:val="nil"/>
                                    <w:left w:val="nil"/>
                                    <w:bottom w:val="nil"/>
                                    <w:right w:val="nil"/>
                                  </w:tcBorders>
                                  <w:noWrap/>
                                  <w:hideMark/>
                                </w:tcPr>
                                <w:p w14:paraId="1F708B9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Altman Z Score</w:t>
                                  </w:r>
                                </w:p>
                              </w:tc>
                              <w:tc>
                                <w:tcPr>
                                  <w:tcW w:w="542" w:type="pct"/>
                                  <w:tcBorders>
                                    <w:top w:val="nil"/>
                                    <w:left w:val="nil"/>
                                    <w:bottom w:val="nil"/>
                                    <w:right w:val="nil"/>
                                  </w:tcBorders>
                                  <w:hideMark/>
                                </w:tcPr>
                                <w:p w14:paraId="3BA826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3.86 </w:t>
                                  </w:r>
                                </w:p>
                              </w:tc>
                              <w:tc>
                                <w:tcPr>
                                  <w:tcW w:w="542" w:type="pct"/>
                                  <w:tcBorders>
                                    <w:top w:val="nil"/>
                                    <w:left w:val="nil"/>
                                    <w:bottom w:val="nil"/>
                                    <w:right w:val="nil"/>
                                  </w:tcBorders>
                                  <w:hideMark/>
                                </w:tcPr>
                                <w:p w14:paraId="3CCE668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5.58 </w:t>
                                  </w:r>
                                </w:p>
                              </w:tc>
                              <w:tc>
                                <w:tcPr>
                                  <w:tcW w:w="542" w:type="pct"/>
                                  <w:tcBorders>
                                    <w:top w:val="nil"/>
                                    <w:left w:val="nil"/>
                                    <w:bottom w:val="nil"/>
                                    <w:right w:val="nil"/>
                                  </w:tcBorders>
                                  <w:hideMark/>
                                </w:tcPr>
                                <w:p w14:paraId="553FB6A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3.96 </w:t>
                                  </w:r>
                                </w:p>
                              </w:tc>
                              <w:tc>
                                <w:tcPr>
                                  <w:tcW w:w="542" w:type="pct"/>
                                  <w:tcBorders>
                                    <w:top w:val="nil"/>
                                    <w:left w:val="nil"/>
                                    <w:bottom w:val="nil"/>
                                    <w:right w:val="nil"/>
                                  </w:tcBorders>
                                  <w:hideMark/>
                                </w:tcPr>
                                <w:p w14:paraId="0850448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 </w:t>
                                  </w:r>
                                </w:p>
                              </w:tc>
                              <w:tc>
                                <w:tcPr>
                                  <w:tcW w:w="542" w:type="pct"/>
                                  <w:tcBorders>
                                    <w:top w:val="nil"/>
                                    <w:left w:val="nil"/>
                                    <w:bottom w:val="nil"/>
                                    <w:right w:val="nil"/>
                                  </w:tcBorders>
                                  <w:hideMark/>
                                </w:tcPr>
                                <w:p w14:paraId="0A61803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1.48 </w:t>
                                  </w:r>
                                </w:p>
                              </w:tc>
                              <w:tc>
                                <w:tcPr>
                                  <w:tcW w:w="542" w:type="pct"/>
                                  <w:tcBorders>
                                    <w:top w:val="nil"/>
                                    <w:left w:val="nil"/>
                                    <w:bottom w:val="nil"/>
                                    <w:right w:val="nil"/>
                                  </w:tcBorders>
                                  <w:hideMark/>
                                </w:tcPr>
                                <w:p w14:paraId="5980153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1.61 </w:t>
                                  </w:r>
                                </w:p>
                              </w:tc>
                            </w:tr>
                          </w:tbl>
                          <w:p w14:paraId="77059265" w14:textId="32C076D7" w:rsidR="00936F69" w:rsidRDefault="00936F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746F1" id="_x0000_s1067" type="#_x0000_t202" style="position:absolute;left:0;text-align:left;margin-left:434.8pt;margin-top:32.4pt;width:486pt;height:110.6pt;z-index:2517370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oEgIAAP8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" stroked="f">
                <v:textbox style="mso-fit-shape-to-text:t">
                  <w:txbxContent>
                    <w:tbl>
                      <w:tblPr>
                        <w:tblW w:w="4992" w:type="pct"/>
                        <w:tblLook w:val="04A0" w:firstRow="1" w:lastRow="0" w:firstColumn="1" w:lastColumn="0" w:noHBand="0" w:noVBand="1"/>
                      </w:tblPr>
                      <w:tblGrid>
                        <w:gridCol w:w="3292"/>
                        <w:gridCol w:w="1021"/>
                        <w:gridCol w:w="1021"/>
                        <w:gridCol w:w="1021"/>
                        <w:gridCol w:w="1021"/>
                        <w:gridCol w:w="1021"/>
                        <w:gridCol w:w="1021"/>
                      </w:tblGrid>
                      <w:tr w:rsidR="0055289D" w:rsidRPr="0055289D" w14:paraId="0A3C7083" w14:textId="77777777" w:rsidTr="0055289D">
                        <w:trPr>
                          <w:trHeight w:val="336"/>
                        </w:trPr>
                        <w:tc>
                          <w:tcPr>
                            <w:tcW w:w="4458" w:type="pct"/>
                            <w:gridSpan w:val="6"/>
                            <w:tcBorders>
                              <w:top w:val="nil"/>
                              <w:left w:val="nil"/>
                              <w:bottom w:val="nil"/>
                              <w:right w:val="nil"/>
                            </w:tcBorders>
                            <w:noWrap/>
                            <w:vAlign w:val="bottom"/>
                            <w:hideMark/>
                          </w:tcPr>
                          <w:p w14:paraId="4F3CE761"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Magazine Luiza S.A. (</w:t>
                            </w:r>
                            <w:r w:rsidRPr="0055289D">
                              <w:rPr>
                                <w:rFonts w:ascii="Cambria" w:eastAsia="Times New Roman" w:hAnsi="Cambria" w:cs="Arial"/>
                                <w:b/>
                                <w:bCs/>
                                <w:color w:val="000000"/>
                                <w:kern w:val="0"/>
                                <w:sz w:val="14"/>
                                <w:szCs w:val="14"/>
                                <w:lang w:eastAsia="en-IN"/>
                                <w14:ligatures w14:val="none"/>
                              </w:rPr>
                              <w:t>BOVESPA:MGLU3) &gt; Financials &gt; Ratios</w:t>
                            </w:r>
                          </w:p>
                        </w:tc>
                        <w:tc>
                          <w:tcPr>
                            <w:tcW w:w="542" w:type="pct"/>
                            <w:tcBorders>
                              <w:top w:val="nil"/>
                              <w:left w:val="nil"/>
                              <w:bottom w:val="nil"/>
                              <w:right w:val="nil"/>
                            </w:tcBorders>
                            <w:noWrap/>
                            <w:vAlign w:val="bottom"/>
                            <w:hideMark/>
                          </w:tcPr>
                          <w:p w14:paraId="6E85488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r>
                      <w:tr w:rsidR="0055289D" w:rsidRPr="0055289D" w14:paraId="528510A1" w14:textId="77777777" w:rsidTr="0055289D">
                        <w:trPr>
                          <w:trHeight w:val="204"/>
                        </w:trPr>
                        <w:tc>
                          <w:tcPr>
                            <w:tcW w:w="1748" w:type="pct"/>
                            <w:tcBorders>
                              <w:top w:val="nil"/>
                              <w:left w:val="nil"/>
                              <w:bottom w:val="nil"/>
                              <w:right w:val="nil"/>
                            </w:tcBorders>
                            <w:shd w:val="clear" w:color="000000" w:fill="003366"/>
                            <w:noWrap/>
                            <w:vAlign w:val="bottom"/>
                            <w:hideMark/>
                          </w:tcPr>
                          <w:p w14:paraId="4BB502AB"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Ratios</w:t>
                            </w:r>
                          </w:p>
                        </w:tc>
                        <w:tc>
                          <w:tcPr>
                            <w:tcW w:w="542" w:type="pct"/>
                            <w:tcBorders>
                              <w:top w:val="nil"/>
                              <w:left w:val="nil"/>
                              <w:bottom w:val="nil"/>
                              <w:right w:val="nil"/>
                            </w:tcBorders>
                            <w:shd w:val="clear" w:color="000000" w:fill="003366"/>
                            <w:noWrap/>
                            <w:vAlign w:val="bottom"/>
                            <w:hideMark/>
                          </w:tcPr>
                          <w:p w14:paraId="7A3432FC"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3F94D7B8"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4C249685"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32AF3CA4"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07B62EA2"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c>
                          <w:tcPr>
                            <w:tcW w:w="542" w:type="pct"/>
                            <w:tcBorders>
                              <w:top w:val="nil"/>
                              <w:left w:val="nil"/>
                              <w:bottom w:val="nil"/>
                              <w:right w:val="nil"/>
                            </w:tcBorders>
                            <w:shd w:val="clear" w:color="000000" w:fill="003366"/>
                            <w:noWrap/>
                            <w:vAlign w:val="bottom"/>
                            <w:hideMark/>
                          </w:tcPr>
                          <w:p w14:paraId="7327A22A" w14:textId="77777777" w:rsidR="0055289D" w:rsidRPr="0055289D" w:rsidRDefault="0055289D" w:rsidP="0055289D">
                            <w:pPr>
                              <w:spacing w:after="0" w:line="240" w:lineRule="auto"/>
                              <w:rPr>
                                <w:rFonts w:ascii="Cambria" w:eastAsia="Times New Roman" w:hAnsi="Cambria" w:cs="Arial"/>
                                <w:b/>
                                <w:bCs/>
                                <w:color w:val="FFFFFF"/>
                                <w:kern w:val="0"/>
                                <w:sz w:val="14"/>
                                <w:szCs w:val="14"/>
                                <w:lang w:eastAsia="en-IN"/>
                                <w14:ligatures w14:val="none"/>
                              </w:rPr>
                            </w:pPr>
                            <w:r w:rsidRPr="0055289D">
                              <w:rPr>
                                <w:rFonts w:ascii="Cambria" w:eastAsia="Times New Roman" w:hAnsi="Cambria" w:cs="Arial"/>
                                <w:b/>
                                <w:bCs/>
                                <w:color w:val="FFFFFF"/>
                                <w:kern w:val="0"/>
                                <w:sz w:val="14"/>
                                <w:szCs w:val="14"/>
                                <w:lang w:eastAsia="en-IN"/>
                                <w14:ligatures w14:val="none"/>
                              </w:rPr>
                              <w:t> </w:t>
                            </w:r>
                          </w:p>
                        </w:tc>
                      </w:tr>
                      <w:tr w:rsidR="0055289D" w:rsidRPr="0055289D" w14:paraId="5837DC21" w14:textId="77777777" w:rsidTr="0055289D">
                        <w:trPr>
                          <w:trHeight w:val="816"/>
                        </w:trPr>
                        <w:tc>
                          <w:tcPr>
                            <w:tcW w:w="1748" w:type="pct"/>
                            <w:tcBorders>
                              <w:top w:val="nil"/>
                              <w:left w:val="nil"/>
                              <w:bottom w:val="nil"/>
                              <w:right w:val="nil"/>
                            </w:tcBorders>
                            <w:shd w:val="clear" w:color="000000" w:fill="F0F0DC"/>
                            <w:vAlign w:val="bottom"/>
                            <w:hideMark/>
                          </w:tcPr>
                          <w:p w14:paraId="55DBD591"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For the Fiscal Period Ending</w:t>
                            </w:r>
                          </w:p>
                        </w:tc>
                        <w:tc>
                          <w:tcPr>
                            <w:tcW w:w="542" w:type="pct"/>
                            <w:tcBorders>
                              <w:top w:val="nil"/>
                              <w:left w:val="nil"/>
                              <w:bottom w:val="nil"/>
                              <w:right w:val="nil"/>
                            </w:tcBorders>
                            <w:shd w:val="clear" w:color="000000" w:fill="F0F0DC"/>
                            <w:vAlign w:val="bottom"/>
                            <w:hideMark/>
                          </w:tcPr>
                          <w:p w14:paraId="6D9CF6C9"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Dec-31-2019</w:t>
                            </w:r>
                          </w:p>
                        </w:tc>
                        <w:tc>
                          <w:tcPr>
                            <w:tcW w:w="542" w:type="pct"/>
                            <w:tcBorders>
                              <w:top w:val="nil"/>
                              <w:left w:val="nil"/>
                              <w:bottom w:val="nil"/>
                              <w:right w:val="nil"/>
                            </w:tcBorders>
                            <w:shd w:val="clear" w:color="000000" w:fill="F0F0DC"/>
                            <w:vAlign w:val="bottom"/>
                            <w:hideMark/>
                          </w:tcPr>
                          <w:p w14:paraId="39B4786D"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Dec-31-2020</w:t>
                            </w:r>
                          </w:p>
                        </w:tc>
                        <w:tc>
                          <w:tcPr>
                            <w:tcW w:w="542" w:type="pct"/>
                            <w:tcBorders>
                              <w:top w:val="nil"/>
                              <w:left w:val="nil"/>
                              <w:bottom w:val="nil"/>
                              <w:right w:val="nil"/>
                            </w:tcBorders>
                            <w:shd w:val="clear" w:color="000000" w:fill="F0F0DC"/>
                            <w:vAlign w:val="bottom"/>
                            <w:hideMark/>
                          </w:tcPr>
                          <w:p w14:paraId="5B7CCDBB"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Dec-31-2021</w:t>
                            </w:r>
                          </w:p>
                        </w:tc>
                        <w:tc>
                          <w:tcPr>
                            <w:tcW w:w="542" w:type="pct"/>
                            <w:tcBorders>
                              <w:top w:val="nil"/>
                              <w:left w:val="nil"/>
                              <w:bottom w:val="nil"/>
                              <w:right w:val="nil"/>
                            </w:tcBorders>
                            <w:shd w:val="clear" w:color="000000" w:fill="F0F0DC"/>
                            <w:vAlign w:val="bottom"/>
                            <w:hideMark/>
                          </w:tcPr>
                          <w:p w14:paraId="5DED5A7F"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Dec-31-2022</w:t>
                            </w:r>
                          </w:p>
                        </w:tc>
                        <w:tc>
                          <w:tcPr>
                            <w:tcW w:w="542" w:type="pct"/>
                            <w:tcBorders>
                              <w:top w:val="nil"/>
                              <w:left w:val="nil"/>
                              <w:bottom w:val="nil"/>
                              <w:right w:val="nil"/>
                            </w:tcBorders>
                            <w:shd w:val="clear" w:color="000000" w:fill="F0F0DC"/>
                            <w:vAlign w:val="bottom"/>
                            <w:hideMark/>
                          </w:tcPr>
                          <w:p w14:paraId="75B592A0"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12 months</w:t>
                            </w:r>
                            <w:r w:rsidRPr="0055289D">
                              <w:rPr>
                                <w:rFonts w:ascii="Cambria" w:eastAsia="Times New Roman" w:hAnsi="Cambria" w:cs="Arial"/>
                                <w:b/>
                                <w:bCs/>
                                <w:color w:val="000000"/>
                                <w:kern w:val="0"/>
                                <w:sz w:val="14"/>
                                <w:szCs w:val="14"/>
                                <w:lang w:eastAsia="en-IN"/>
                                <w14:ligatures w14:val="none"/>
                              </w:rPr>
                              <w:br/>
                              <w:t>Dec-31-2023</w:t>
                            </w:r>
                          </w:p>
                        </w:tc>
                        <w:tc>
                          <w:tcPr>
                            <w:tcW w:w="542" w:type="pct"/>
                            <w:tcBorders>
                              <w:top w:val="nil"/>
                              <w:left w:val="nil"/>
                              <w:bottom w:val="nil"/>
                              <w:right w:val="nil"/>
                            </w:tcBorders>
                            <w:shd w:val="clear" w:color="000000" w:fill="F0F0DC"/>
                            <w:vAlign w:val="bottom"/>
                            <w:hideMark/>
                          </w:tcPr>
                          <w:p w14:paraId="51C6F1D2" w14:textId="77777777" w:rsidR="0055289D" w:rsidRPr="0055289D" w:rsidRDefault="0055289D" w:rsidP="0055289D">
                            <w:pPr>
                              <w:spacing w:after="0" w:line="240" w:lineRule="auto"/>
                              <w:jc w:val="right"/>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LTM</w:t>
                            </w:r>
                            <w:r w:rsidRPr="0055289D">
                              <w:rPr>
                                <w:rFonts w:ascii="Cambria" w:eastAsia="Times New Roman" w:hAnsi="Cambria" w:cs="Arial"/>
                                <w:b/>
                                <w:bCs/>
                                <w:color w:val="000000"/>
                                <w:kern w:val="0"/>
                                <w:sz w:val="14"/>
                                <w:szCs w:val="14"/>
                                <w:lang w:eastAsia="en-IN"/>
                                <w14:ligatures w14:val="none"/>
                              </w:rPr>
                              <w:br/>
                              <w:t>12 months</w:t>
                            </w:r>
                            <w:r w:rsidRPr="0055289D">
                              <w:rPr>
                                <w:rFonts w:ascii="Cambria" w:eastAsia="Times New Roman" w:hAnsi="Cambria" w:cs="Arial"/>
                                <w:b/>
                                <w:bCs/>
                                <w:color w:val="000000"/>
                                <w:kern w:val="0"/>
                                <w:sz w:val="14"/>
                                <w:szCs w:val="14"/>
                                <w:lang w:eastAsia="en-IN"/>
                                <w14:ligatures w14:val="none"/>
                              </w:rPr>
                              <w:br/>
                              <w:t>Sep-30-2024</w:t>
                            </w:r>
                          </w:p>
                        </w:tc>
                      </w:tr>
                      <w:tr w:rsidR="0055289D" w:rsidRPr="0055289D" w14:paraId="18CD4B2D" w14:textId="77777777" w:rsidTr="0055289D">
                        <w:trPr>
                          <w:trHeight w:val="204"/>
                        </w:trPr>
                        <w:tc>
                          <w:tcPr>
                            <w:tcW w:w="1748" w:type="pct"/>
                            <w:tcBorders>
                              <w:top w:val="nil"/>
                              <w:left w:val="nil"/>
                              <w:bottom w:val="nil"/>
                              <w:right w:val="nil"/>
                            </w:tcBorders>
                            <w:noWrap/>
                            <w:hideMark/>
                          </w:tcPr>
                          <w:p w14:paraId="7204CBD5"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Profitability</w:t>
                            </w:r>
                          </w:p>
                        </w:tc>
                        <w:tc>
                          <w:tcPr>
                            <w:tcW w:w="542" w:type="pct"/>
                            <w:tcBorders>
                              <w:top w:val="nil"/>
                              <w:left w:val="nil"/>
                              <w:bottom w:val="nil"/>
                              <w:right w:val="nil"/>
                            </w:tcBorders>
                            <w:noWrap/>
                            <w:hideMark/>
                          </w:tcPr>
                          <w:p w14:paraId="3D0C8F2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25DCD736"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438F8C1"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8ABB830"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EC5EC7E"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A0E7C8E"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B5DABB6" w14:textId="77777777" w:rsidTr="0055289D">
                        <w:trPr>
                          <w:trHeight w:val="204"/>
                        </w:trPr>
                        <w:tc>
                          <w:tcPr>
                            <w:tcW w:w="1748" w:type="pct"/>
                            <w:tcBorders>
                              <w:top w:val="nil"/>
                              <w:left w:val="nil"/>
                              <w:bottom w:val="nil"/>
                              <w:right w:val="nil"/>
                            </w:tcBorders>
                            <w:noWrap/>
                            <w:hideMark/>
                          </w:tcPr>
                          <w:p w14:paraId="16C9ACEE"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Assets %</w:t>
                            </w:r>
                          </w:p>
                        </w:tc>
                        <w:tc>
                          <w:tcPr>
                            <w:tcW w:w="542" w:type="pct"/>
                            <w:tcBorders>
                              <w:top w:val="nil"/>
                              <w:left w:val="nil"/>
                              <w:bottom w:val="nil"/>
                              <w:right w:val="nil"/>
                            </w:tcBorders>
                            <w:hideMark/>
                          </w:tcPr>
                          <w:p w14:paraId="51FBE70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c>
                          <w:tcPr>
                            <w:tcW w:w="542" w:type="pct"/>
                            <w:tcBorders>
                              <w:top w:val="nil"/>
                              <w:left w:val="nil"/>
                              <w:bottom w:val="nil"/>
                              <w:right w:val="nil"/>
                            </w:tcBorders>
                            <w:hideMark/>
                          </w:tcPr>
                          <w:p w14:paraId="47DBA73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 </w:t>
                            </w:r>
                          </w:p>
                        </w:tc>
                        <w:tc>
                          <w:tcPr>
                            <w:tcW w:w="542" w:type="pct"/>
                            <w:tcBorders>
                              <w:top w:val="nil"/>
                              <w:left w:val="nil"/>
                              <w:bottom w:val="nil"/>
                              <w:right w:val="nil"/>
                            </w:tcBorders>
                            <w:hideMark/>
                          </w:tcPr>
                          <w:p w14:paraId="50AB3D2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0.2% </w:t>
                            </w:r>
                          </w:p>
                        </w:tc>
                        <w:tc>
                          <w:tcPr>
                            <w:tcW w:w="542" w:type="pct"/>
                            <w:tcBorders>
                              <w:top w:val="nil"/>
                              <w:left w:val="nil"/>
                              <w:bottom w:val="nil"/>
                              <w:right w:val="nil"/>
                            </w:tcBorders>
                            <w:hideMark/>
                          </w:tcPr>
                          <w:p w14:paraId="5456D0C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 </w:t>
                            </w:r>
                          </w:p>
                        </w:tc>
                        <w:tc>
                          <w:tcPr>
                            <w:tcW w:w="542" w:type="pct"/>
                            <w:tcBorders>
                              <w:top w:val="nil"/>
                              <w:left w:val="nil"/>
                              <w:bottom w:val="nil"/>
                              <w:right w:val="nil"/>
                            </w:tcBorders>
                            <w:hideMark/>
                          </w:tcPr>
                          <w:p w14:paraId="2194053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(0.8%) </w:t>
                            </w:r>
                          </w:p>
                        </w:tc>
                        <w:tc>
                          <w:tcPr>
                            <w:tcW w:w="542" w:type="pct"/>
                            <w:tcBorders>
                              <w:top w:val="nil"/>
                              <w:left w:val="nil"/>
                              <w:bottom w:val="nil"/>
                              <w:right w:val="nil"/>
                            </w:tcBorders>
                            <w:hideMark/>
                          </w:tcPr>
                          <w:p w14:paraId="4698B4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 </w:t>
                            </w:r>
                          </w:p>
                        </w:tc>
                      </w:tr>
                      <w:tr w:rsidR="0055289D" w:rsidRPr="0055289D" w14:paraId="2407B00C" w14:textId="77777777" w:rsidTr="0055289D">
                        <w:trPr>
                          <w:trHeight w:val="204"/>
                        </w:trPr>
                        <w:tc>
                          <w:tcPr>
                            <w:tcW w:w="1748" w:type="pct"/>
                            <w:tcBorders>
                              <w:top w:val="nil"/>
                              <w:left w:val="nil"/>
                              <w:bottom w:val="nil"/>
                              <w:right w:val="nil"/>
                            </w:tcBorders>
                            <w:noWrap/>
                            <w:hideMark/>
                          </w:tcPr>
                          <w:p w14:paraId="039153A4"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Capital %</w:t>
                            </w:r>
                          </w:p>
                        </w:tc>
                        <w:tc>
                          <w:tcPr>
                            <w:tcW w:w="542" w:type="pct"/>
                            <w:tcBorders>
                              <w:top w:val="nil"/>
                              <w:left w:val="nil"/>
                              <w:bottom w:val="nil"/>
                              <w:right w:val="nil"/>
                            </w:tcBorders>
                            <w:hideMark/>
                          </w:tcPr>
                          <w:p w14:paraId="79426B0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7.9% </w:t>
                            </w:r>
                          </w:p>
                        </w:tc>
                        <w:tc>
                          <w:tcPr>
                            <w:tcW w:w="542" w:type="pct"/>
                            <w:tcBorders>
                              <w:top w:val="nil"/>
                              <w:left w:val="nil"/>
                              <w:bottom w:val="nil"/>
                              <w:right w:val="nil"/>
                            </w:tcBorders>
                            <w:hideMark/>
                          </w:tcPr>
                          <w:p w14:paraId="0411E5E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3.5% </w:t>
                            </w:r>
                          </w:p>
                        </w:tc>
                        <w:tc>
                          <w:tcPr>
                            <w:tcW w:w="542" w:type="pct"/>
                            <w:tcBorders>
                              <w:top w:val="nil"/>
                              <w:left w:val="nil"/>
                              <w:bottom w:val="nil"/>
                              <w:right w:val="nil"/>
                            </w:tcBorders>
                            <w:hideMark/>
                          </w:tcPr>
                          <w:p w14:paraId="3DAEC06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0.4% </w:t>
                            </w:r>
                          </w:p>
                        </w:tc>
                        <w:tc>
                          <w:tcPr>
                            <w:tcW w:w="542" w:type="pct"/>
                            <w:tcBorders>
                              <w:top w:val="nil"/>
                              <w:left w:val="nil"/>
                              <w:bottom w:val="nil"/>
                              <w:right w:val="nil"/>
                            </w:tcBorders>
                            <w:hideMark/>
                          </w:tcPr>
                          <w:p w14:paraId="7417898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 </w:t>
                            </w:r>
                          </w:p>
                        </w:tc>
                        <w:tc>
                          <w:tcPr>
                            <w:tcW w:w="542" w:type="pct"/>
                            <w:tcBorders>
                              <w:top w:val="nil"/>
                              <w:left w:val="nil"/>
                              <w:bottom w:val="nil"/>
                              <w:right w:val="nil"/>
                            </w:tcBorders>
                            <w:hideMark/>
                          </w:tcPr>
                          <w:p w14:paraId="4602F7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 </w:t>
                            </w:r>
                          </w:p>
                        </w:tc>
                        <w:tc>
                          <w:tcPr>
                            <w:tcW w:w="542" w:type="pct"/>
                            <w:tcBorders>
                              <w:top w:val="nil"/>
                              <w:left w:val="nil"/>
                              <w:bottom w:val="nil"/>
                              <w:right w:val="nil"/>
                            </w:tcBorders>
                            <w:hideMark/>
                          </w:tcPr>
                          <w:p w14:paraId="7AD04C2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r>
                      <w:tr w:rsidR="0055289D" w:rsidRPr="0055289D" w14:paraId="6F22E66C" w14:textId="77777777" w:rsidTr="0055289D">
                        <w:trPr>
                          <w:trHeight w:val="204"/>
                        </w:trPr>
                        <w:tc>
                          <w:tcPr>
                            <w:tcW w:w="1748" w:type="pct"/>
                            <w:tcBorders>
                              <w:top w:val="nil"/>
                              <w:left w:val="nil"/>
                              <w:bottom w:val="nil"/>
                              <w:right w:val="nil"/>
                            </w:tcBorders>
                            <w:noWrap/>
                            <w:hideMark/>
                          </w:tcPr>
                          <w:p w14:paraId="55F9715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Equity %</w:t>
                            </w:r>
                          </w:p>
                        </w:tc>
                        <w:tc>
                          <w:tcPr>
                            <w:tcW w:w="542" w:type="pct"/>
                            <w:tcBorders>
                              <w:top w:val="nil"/>
                              <w:left w:val="nil"/>
                              <w:bottom w:val="nil"/>
                              <w:right w:val="nil"/>
                            </w:tcBorders>
                            <w:hideMark/>
                          </w:tcPr>
                          <w:p w14:paraId="5D7DB3D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18.7% </w:t>
                            </w:r>
                          </w:p>
                        </w:tc>
                        <w:tc>
                          <w:tcPr>
                            <w:tcW w:w="542" w:type="pct"/>
                            <w:tcBorders>
                              <w:top w:val="nil"/>
                              <w:left w:val="nil"/>
                              <w:bottom w:val="nil"/>
                              <w:right w:val="nil"/>
                            </w:tcBorders>
                            <w:hideMark/>
                          </w:tcPr>
                          <w:p w14:paraId="3A689FB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 </w:t>
                            </w:r>
                          </w:p>
                        </w:tc>
                        <w:tc>
                          <w:tcPr>
                            <w:tcW w:w="542" w:type="pct"/>
                            <w:tcBorders>
                              <w:top w:val="nil"/>
                              <w:left w:val="nil"/>
                              <w:bottom w:val="nil"/>
                              <w:right w:val="nil"/>
                            </w:tcBorders>
                            <w:hideMark/>
                          </w:tcPr>
                          <w:p w14:paraId="5AC3DE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6.4% </w:t>
                            </w:r>
                          </w:p>
                        </w:tc>
                        <w:tc>
                          <w:tcPr>
                            <w:tcW w:w="542" w:type="pct"/>
                            <w:tcBorders>
                              <w:top w:val="nil"/>
                              <w:left w:val="nil"/>
                              <w:bottom w:val="nil"/>
                              <w:right w:val="nil"/>
                            </w:tcBorders>
                            <w:hideMark/>
                          </w:tcPr>
                          <w:p w14:paraId="274889C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24DAE04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(9.7%) </w:t>
                            </w:r>
                          </w:p>
                        </w:tc>
                        <w:tc>
                          <w:tcPr>
                            <w:tcW w:w="542" w:type="pct"/>
                            <w:tcBorders>
                              <w:top w:val="nil"/>
                              <w:left w:val="nil"/>
                              <w:bottom w:val="nil"/>
                              <w:right w:val="nil"/>
                            </w:tcBorders>
                            <w:hideMark/>
                          </w:tcPr>
                          <w:p w14:paraId="7BD9D73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 </w:t>
                            </w:r>
                          </w:p>
                        </w:tc>
                      </w:tr>
                      <w:tr w:rsidR="0055289D" w:rsidRPr="0055289D" w14:paraId="5F58540B" w14:textId="77777777" w:rsidTr="0055289D">
                        <w:trPr>
                          <w:trHeight w:val="204"/>
                        </w:trPr>
                        <w:tc>
                          <w:tcPr>
                            <w:tcW w:w="1748" w:type="pct"/>
                            <w:tcBorders>
                              <w:top w:val="nil"/>
                              <w:left w:val="nil"/>
                              <w:bottom w:val="nil"/>
                              <w:right w:val="nil"/>
                            </w:tcBorders>
                            <w:noWrap/>
                            <w:hideMark/>
                          </w:tcPr>
                          <w:p w14:paraId="28EE9DF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Return on Common Equity %</w:t>
                            </w:r>
                          </w:p>
                        </w:tc>
                        <w:tc>
                          <w:tcPr>
                            <w:tcW w:w="542" w:type="pct"/>
                            <w:tcBorders>
                              <w:top w:val="nil"/>
                              <w:left w:val="nil"/>
                              <w:bottom w:val="nil"/>
                              <w:right w:val="nil"/>
                            </w:tcBorders>
                            <w:hideMark/>
                          </w:tcPr>
                          <w:p w14:paraId="652EF9C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18.7% </w:t>
                            </w:r>
                          </w:p>
                        </w:tc>
                        <w:tc>
                          <w:tcPr>
                            <w:tcW w:w="542" w:type="pct"/>
                            <w:tcBorders>
                              <w:top w:val="nil"/>
                              <w:left w:val="nil"/>
                              <w:bottom w:val="nil"/>
                              <w:right w:val="nil"/>
                            </w:tcBorders>
                            <w:hideMark/>
                          </w:tcPr>
                          <w:p w14:paraId="56301F9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 </w:t>
                            </w:r>
                          </w:p>
                        </w:tc>
                        <w:tc>
                          <w:tcPr>
                            <w:tcW w:w="542" w:type="pct"/>
                            <w:tcBorders>
                              <w:top w:val="nil"/>
                              <w:left w:val="nil"/>
                              <w:bottom w:val="nil"/>
                              <w:right w:val="nil"/>
                            </w:tcBorders>
                            <w:hideMark/>
                          </w:tcPr>
                          <w:p w14:paraId="0F39438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6.4% </w:t>
                            </w:r>
                          </w:p>
                        </w:tc>
                        <w:tc>
                          <w:tcPr>
                            <w:tcW w:w="542" w:type="pct"/>
                            <w:tcBorders>
                              <w:top w:val="nil"/>
                              <w:left w:val="nil"/>
                              <w:bottom w:val="nil"/>
                              <w:right w:val="nil"/>
                            </w:tcBorders>
                            <w:hideMark/>
                          </w:tcPr>
                          <w:p w14:paraId="22E000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067AA8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(9.7%) </w:t>
                            </w:r>
                          </w:p>
                        </w:tc>
                        <w:tc>
                          <w:tcPr>
                            <w:tcW w:w="542" w:type="pct"/>
                            <w:tcBorders>
                              <w:top w:val="nil"/>
                              <w:left w:val="nil"/>
                              <w:bottom w:val="nil"/>
                              <w:right w:val="nil"/>
                            </w:tcBorders>
                            <w:hideMark/>
                          </w:tcPr>
                          <w:p w14:paraId="2A998A3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 </w:t>
                            </w:r>
                          </w:p>
                        </w:tc>
                      </w:tr>
                      <w:tr w:rsidR="0055289D" w:rsidRPr="0055289D" w14:paraId="2C547EBC" w14:textId="77777777" w:rsidTr="0055289D">
                        <w:trPr>
                          <w:trHeight w:val="204"/>
                        </w:trPr>
                        <w:tc>
                          <w:tcPr>
                            <w:tcW w:w="1748" w:type="pct"/>
                            <w:tcBorders>
                              <w:top w:val="nil"/>
                              <w:left w:val="nil"/>
                              <w:bottom w:val="nil"/>
                              <w:right w:val="nil"/>
                            </w:tcBorders>
                            <w:noWrap/>
                            <w:hideMark/>
                          </w:tcPr>
                          <w:p w14:paraId="5A9D11B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Margin Analysis</w:t>
                            </w:r>
                          </w:p>
                        </w:tc>
                        <w:tc>
                          <w:tcPr>
                            <w:tcW w:w="542" w:type="pct"/>
                            <w:tcBorders>
                              <w:top w:val="nil"/>
                              <w:left w:val="nil"/>
                              <w:bottom w:val="nil"/>
                              <w:right w:val="nil"/>
                            </w:tcBorders>
                            <w:noWrap/>
                            <w:hideMark/>
                          </w:tcPr>
                          <w:p w14:paraId="56BCC27D"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227E13AC"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59C5744A"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070B2DAD"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52E403D0"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07324B9"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102B0F48" w14:textId="77777777" w:rsidTr="0055289D">
                        <w:trPr>
                          <w:trHeight w:val="204"/>
                        </w:trPr>
                        <w:tc>
                          <w:tcPr>
                            <w:tcW w:w="1748" w:type="pct"/>
                            <w:tcBorders>
                              <w:top w:val="nil"/>
                              <w:left w:val="nil"/>
                              <w:bottom w:val="nil"/>
                              <w:right w:val="nil"/>
                            </w:tcBorders>
                            <w:noWrap/>
                            <w:hideMark/>
                          </w:tcPr>
                          <w:p w14:paraId="408ECE9C"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Gross Margin %</w:t>
                            </w:r>
                          </w:p>
                        </w:tc>
                        <w:tc>
                          <w:tcPr>
                            <w:tcW w:w="542" w:type="pct"/>
                            <w:tcBorders>
                              <w:top w:val="nil"/>
                              <w:left w:val="nil"/>
                              <w:bottom w:val="nil"/>
                              <w:right w:val="nil"/>
                            </w:tcBorders>
                            <w:hideMark/>
                          </w:tcPr>
                          <w:p w14:paraId="4199081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27.9% </w:t>
                            </w:r>
                          </w:p>
                        </w:tc>
                        <w:tc>
                          <w:tcPr>
                            <w:tcW w:w="542" w:type="pct"/>
                            <w:tcBorders>
                              <w:top w:val="nil"/>
                              <w:left w:val="nil"/>
                              <w:bottom w:val="nil"/>
                              <w:right w:val="nil"/>
                            </w:tcBorders>
                            <w:hideMark/>
                          </w:tcPr>
                          <w:p w14:paraId="26D951B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25.8% </w:t>
                            </w:r>
                          </w:p>
                        </w:tc>
                        <w:tc>
                          <w:tcPr>
                            <w:tcW w:w="542" w:type="pct"/>
                            <w:tcBorders>
                              <w:top w:val="nil"/>
                              <w:left w:val="nil"/>
                              <w:bottom w:val="nil"/>
                              <w:right w:val="nil"/>
                            </w:tcBorders>
                            <w:hideMark/>
                          </w:tcPr>
                          <w:p w14:paraId="7A21E6F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24.1% </w:t>
                            </w:r>
                          </w:p>
                        </w:tc>
                        <w:tc>
                          <w:tcPr>
                            <w:tcW w:w="542" w:type="pct"/>
                            <w:tcBorders>
                              <w:top w:val="nil"/>
                              <w:left w:val="nil"/>
                              <w:bottom w:val="nil"/>
                              <w:right w:val="nil"/>
                            </w:tcBorders>
                            <w:hideMark/>
                          </w:tcPr>
                          <w:p w14:paraId="01A6CF7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28.0% </w:t>
                            </w:r>
                          </w:p>
                        </w:tc>
                        <w:tc>
                          <w:tcPr>
                            <w:tcW w:w="542" w:type="pct"/>
                            <w:tcBorders>
                              <w:top w:val="nil"/>
                              <w:left w:val="nil"/>
                              <w:bottom w:val="nil"/>
                              <w:right w:val="nil"/>
                            </w:tcBorders>
                            <w:hideMark/>
                          </w:tcPr>
                          <w:p w14:paraId="7771455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27.6% </w:t>
                            </w:r>
                          </w:p>
                        </w:tc>
                        <w:tc>
                          <w:tcPr>
                            <w:tcW w:w="542" w:type="pct"/>
                            <w:tcBorders>
                              <w:top w:val="nil"/>
                              <w:left w:val="nil"/>
                              <w:bottom w:val="nil"/>
                              <w:right w:val="nil"/>
                            </w:tcBorders>
                            <w:hideMark/>
                          </w:tcPr>
                          <w:p w14:paraId="4F7D2CC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30.6% </w:t>
                            </w:r>
                          </w:p>
                        </w:tc>
                      </w:tr>
                      <w:tr w:rsidR="0055289D" w:rsidRPr="0055289D" w14:paraId="5CE6FE3C" w14:textId="77777777" w:rsidTr="0055289D">
                        <w:trPr>
                          <w:trHeight w:val="204"/>
                        </w:trPr>
                        <w:tc>
                          <w:tcPr>
                            <w:tcW w:w="1748" w:type="pct"/>
                            <w:tcBorders>
                              <w:top w:val="nil"/>
                              <w:left w:val="nil"/>
                              <w:bottom w:val="nil"/>
                              <w:right w:val="nil"/>
                            </w:tcBorders>
                            <w:noWrap/>
                            <w:hideMark/>
                          </w:tcPr>
                          <w:p w14:paraId="5EF5F9D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SG&amp;A Margin %</w:t>
                            </w:r>
                          </w:p>
                        </w:tc>
                        <w:tc>
                          <w:tcPr>
                            <w:tcW w:w="542" w:type="pct"/>
                            <w:tcBorders>
                              <w:top w:val="nil"/>
                              <w:left w:val="nil"/>
                              <w:bottom w:val="nil"/>
                              <w:right w:val="nil"/>
                            </w:tcBorders>
                            <w:hideMark/>
                          </w:tcPr>
                          <w:p w14:paraId="1D7ED89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20.8% </w:t>
                            </w:r>
                          </w:p>
                        </w:tc>
                        <w:tc>
                          <w:tcPr>
                            <w:tcW w:w="542" w:type="pct"/>
                            <w:tcBorders>
                              <w:top w:val="nil"/>
                              <w:left w:val="nil"/>
                              <w:bottom w:val="nil"/>
                              <w:right w:val="nil"/>
                            </w:tcBorders>
                            <w:hideMark/>
                          </w:tcPr>
                          <w:p w14:paraId="2648F69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20.8% </w:t>
                            </w:r>
                          </w:p>
                        </w:tc>
                        <w:tc>
                          <w:tcPr>
                            <w:tcW w:w="542" w:type="pct"/>
                            <w:tcBorders>
                              <w:top w:val="nil"/>
                              <w:left w:val="nil"/>
                              <w:bottom w:val="nil"/>
                              <w:right w:val="nil"/>
                            </w:tcBorders>
                            <w:hideMark/>
                          </w:tcPr>
                          <w:p w14:paraId="582A07B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21.0% </w:t>
                            </w:r>
                          </w:p>
                        </w:tc>
                        <w:tc>
                          <w:tcPr>
                            <w:tcW w:w="542" w:type="pct"/>
                            <w:tcBorders>
                              <w:top w:val="nil"/>
                              <w:left w:val="nil"/>
                              <w:bottom w:val="nil"/>
                              <w:right w:val="nil"/>
                            </w:tcBorders>
                            <w:hideMark/>
                          </w:tcPr>
                          <w:p w14:paraId="5F766B5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21.7% </w:t>
                            </w:r>
                          </w:p>
                        </w:tc>
                        <w:tc>
                          <w:tcPr>
                            <w:tcW w:w="542" w:type="pct"/>
                            <w:tcBorders>
                              <w:top w:val="nil"/>
                              <w:left w:val="nil"/>
                              <w:bottom w:val="nil"/>
                              <w:right w:val="nil"/>
                            </w:tcBorders>
                            <w:hideMark/>
                          </w:tcPr>
                          <w:p w14:paraId="5D00D87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22.7% </w:t>
                            </w:r>
                          </w:p>
                        </w:tc>
                        <w:tc>
                          <w:tcPr>
                            <w:tcW w:w="542" w:type="pct"/>
                            <w:tcBorders>
                              <w:top w:val="nil"/>
                              <w:left w:val="nil"/>
                              <w:bottom w:val="nil"/>
                              <w:right w:val="nil"/>
                            </w:tcBorders>
                            <w:hideMark/>
                          </w:tcPr>
                          <w:p w14:paraId="047D7B1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22.4% </w:t>
                            </w:r>
                          </w:p>
                        </w:tc>
                      </w:tr>
                      <w:tr w:rsidR="0055289D" w:rsidRPr="0055289D" w14:paraId="312D7967" w14:textId="77777777" w:rsidTr="0055289D">
                        <w:trPr>
                          <w:trHeight w:val="204"/>
                        </w:trPr>
                        <w:tc>
                          <w:tcPr>
                            <w:tcW w:w="1748" w:type="pct"/>
                            <w:tcBorders>
                              <w:top w:val="nil"/>
                              <w:left w:val="nil"/>
                              <w:bottom w:val="nil"/>
                              <w:right w:val="nil"/>
                            </w:tcBorders>
                            <w:noWrap/>
                            <w:hideMark/>
                          </w:tcPr>
                          <w:p w14:paraId="24B4337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 Margin %</w:t>
                            </w:r>
                          </w:p>
                        </w:tc>
                        <w:tc>
                          <w:tcPr>
                            <w:tcW w:w="542" w:type="pct"/>
                            <w:tcBorders>
                              <w:top w:val="nil"/>
                              <w:left w:val="nil"/>
                              <w:bottom w:val="nil"/>
                              <w:right w:val="nil"/>
                            </w:tcBorders>
                            <w:hideMark/>
                          </w:tcPr>
                          <w:p w14:paraId="3026424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4.8% </w:t>
                            </w:r>
                          </w:p>
                        </w:tc>
                        <w:tc>
                          <w:tcPr>
                            <w:tcW w:w="542" w:type="pct"/>
                            <w:tcBorders>
                              <w:top w:val="nil"/>
                              <w:left w:val="nil"/>
                              <w:bottom w:val="nil"/>
                              <w:right w:val="nil"/>
                            </w:tcBorders>
                            <w:hideMark/>
                          </w:tcPr>
                          <w:p w14:paraId="46C8870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2.9% </w:t>
                            </w:r>
                          </w:p>
                        </w:tc>
                        <w:tc>
                          <w:tcPr>
                            <w:tcW w:w="542" w:type="pct"/>
                            <w:tcBorders>
                              <w:top w:val="nil"/>
                              <w:left w:val="nil"/>
                              <w:bottom w:val="nil"/>
                              <w:right w:val="nil"/>
                            </w:tcBorders>
                            <w:hideMark/>
                          </w:tcPr>
                          <w:p w14:paraId="15F152C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0.9% </w:t>
                            </w:r>
                          </w:p>
                        </w:tc>
                        <w:tc>
                          <w:tcPr>
                            <w:tcW w:w="542" w:type="pct"/>
                            <w:tcBorders>
                              <w:top w:val="nil"/>
                              <w:left w:val="nil"/>
                              <w:bottom w:val="nil"/>
                              <w:right w:val="nil"/>
                            </w:tcBorders>
                            <w:hideMark/>
                          </w:tcPr>
                          <w:p w14:paraId="6601E6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3.3% </w:t>
                            </w:r>
                          </w:p>
                        </w:tc>
                        <w:tc>
                          <w:tcPr>
                            <w:tcW w:w="542" w:type="pct"/>
                            <w:tcBorders>
                              <w:top w:val="nil"/>
                              <w:left w:val="nil"/>
                              <w:bottom w:val="nil"/>
                              <w:right w:val="nil"/>
                            </w:tcBorders>
                            <w:hideMark/>
                          </w:tcPr>
                          <w:p w14:paraId="71E726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(0.5%) </w:t>
                            </w:r>
                          </w:p>
                        </w:tc>
                        <w:tc>
                          <w:tcPr>
                            <w:tcW w:w="542" w:type="pct"/>
                            <w:tcBorders>
                              <w:top w:val="nil"/>
                              <w:left w:val="nil"/>
                              <w:bottom w:val="nil"/>
                              <w:right w:val="nil"/>
                            </w:tcBorders>
                            <w:hideMark/>
                          </w:tcPr>
                          <w:p w14:paraId="4BC3CA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4.7% </w:t>
                            </w:r>
                          </w:p>
                        </w:tc>
                      </w:tr>
                      <w:tr w:rsidR="0055289D" w:rsidRPr="0055289D" w14:paraId="43A2ED95" w14:textId="77777777" w:rsidTr="0055289D">
                        <w:trPr>
                          <w:trHeight w:val="204"/>
                        </w:trPr>
                        <w:tc>
                          <w:tcPr>
                            <w:tcW w:w="1748" w:type="pct"/>
                            <w:tcBorders>
                              <w:top w:val="nil"/>
                              <w:left w:val="nil"/>
                              <w:bottom w:val="nil"/>
                              <w:right w:val="nil"/>
                            </w:tcBorders>
                            <w:noWrap/>
                            <w:hideMark/>
                          </w:tcPr>
                          <w:p w14:paraId="3897271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EBITA Margin %</w:t>
                            </w:r>
                          </w:p>
                        </w:tc>
                        <w:tc>
                          <w:tcPr>
                            <w:tcW w:w="542" w:type="pct"/>
                            <w:tcBorders>
                              <w:top w:val="nil"/>
                              <w:left w:val="nil"/>
                              <w:bottom w:val="nil"/>
                              <w:right w:val="nil"/>
                            </w:tcBorders>
                            <w:hideMark/>
                          </w:tcPr>
                          <w:p w14:paraId="19C4039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c>
                          <w:tcPr>
                            <w:tcW w:w="542" w:type="pct"/>
                            <w:tcBorders>
                              <w:top w:val="nil"/>
                              <w:left w:val="nil"/>
                              <w:bottom w:val="nil"/>
                              <w:right w:val="nil"/>
                            </w:tcBorders>
                            <w:hideMark/>
                          </w:tcPr>
                          <w:p w14:paraId="0FCB587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2.3% </w:t>
                            </w:r>
                          </w:p>
                        </w:tc>
                        <w:tc>
                          <w:tcPr>
                            <w:tcW w:w="542" w:type="pct"/>
                            <w:tcBorders>
                              <w:top w:val="nil"/>
                              <w:left w:val="nil"/>
                              <w:bottom w:val="nil"/>
                              <w:right w:val="nil"/>
                            </w:tcBorders>
                            <w:hideMark/>
                          </w:tcPr>
                          <w:p w14:paraId="070E343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0.4% </w:t>
                            </w:r>
                          </w:p>
                        </w:tc>
                        <w:tc>
                          <w:tcPr>
                            <w:tcW w:w="542" w:type="pct"/>
                            <w:tcBorders>
                              <w:top w:val="nil"/>
                              <w:left w:val="nil"/>
                              <w:bottom w:val="nil"/>
                              <w:right w:val="nil"/>
                            </w:tcBorders>
                            <w:hideMark/>
                          </w:tcPr>
                          <w:p w14:paraId="46F6BB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 </w:t>
                            </w:r>
                          </w:p>
                        </w:tc>
                        <w:tc>
                          <w:tcPr>
                            <w:tcW w:w="542" w:type="pct"/>
                            <w:tcBorders>
                              <w:top w:val="nil"/>
                              <w:left w:val="nil"/>
                              <w:bottom w:val="nil"/>
                              <w:right w:val="nil"/>
                            </w:tcBorders>
                            <w:hideMark/>
                          </w:tcPr>
                          <w:p w14:paraId="02864E0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(1.2%) </w:t>
                            </w:r>
                          </w:p>
                        </w:tc>
                        <w:tc>
                          <w:tcPr>
                            <w:tcW w:w="542" w:type="pct"/>
                            <w:tcBorders>
                              <w:top w:val="nil"/>
                              <w:left w:val="nil"/>
                              <w:bottom w:val="nil"/>
                              <w:right w:val="nil"/>
                            </w:tcBorders>
                            <w:hideMark/>
                          </w:tcPr>
                          <w:p w14:paraId="756BCCF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4.0% </w:t>
                            </w:r>
                          </w:p>
                        </w:tc>
                      </w:tr>
                      <w:tr w:rsidR="0055289D" w:rsidRPr="0055289D" w14:paraId="359BA8FC" w14:textId="77777777" w:rsidTr="0055289D">
                        <w:trPr>
                          <w:trHeight w:val="204"/>
                        </w:trPr>
                        <w:tc>
                          <w:tcPr>
                            <w:tcW w:w="1748" w:type="pct"/>
                            <w:tcBorders>
                              <w:top w:val="nil"/>
                              <w:left w:val="nil"/>
                              <w:bottom w:val="nil"/>
                              <w:right w:val="nil"/>
                            </w:tcBorders>
                            <w:noWrap/>
                            <w:hideMark/>
                          </w:tcPr>
                          <w:p w14:paraId="5C81536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 Margin %</w:t>
                            </w:r>
                          </w:p>
                        </w:tc>
                        <w:tc>
                          <w:tcPr>
                            <w:tcW w:w="542" w:type="pct"/>
                            <w:tcBorders>
                              <w:top w:val="nil"/>
                              <w:left w:val="nil"/>
                              <w:bottom w:val="nil"/>
                              <w:right w:val="nil"/>
                            </w:tcBorders>
                            <w:hideMark/>
                          </w:tcPr>
                          <w:p w14:paraId="6869944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 </w:t>
                            </w:r>
                          </w:p>
                        </w:tc>
                        <w:tc>
                          <w:tcPr>
                            <w:tcW w:w="542" w:type="pct"/>
                            <w:tcBorders>
                              <w:top w:val="nil"/>
                              <w:left w:val="nil"/>
                              <w:bottom w:val="nil"/>
                              <w:right w:val="nil"/>
                            </w:tcBorders>
                            <w:hideMark/>
                          </w:tcPr>
                          <w:p w14:paraId="356B077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2.2% </w:t>
                            </w:r>
                          </w:p>
                        </w:tc>
                        <w:tc>
                          <w:tcPr>
                            <w:tcW w:w="542" w:type="pct"/>
                            <w:tcBorders>
                              <w:top w:val="nil"/>
                              <w:left w:val="nil"/>
                              <w:bottom w:val="nil"/>
                              <w:right w:val="nil"/>
                            </w:tcBorders>
                            <w:hideMark/>
                          </w:tcPr>
                          <w:p w14:paraId="6609601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0.3% </w:t>
                            </w:r>
                          </w:p>
                        </w:tc>
                        <w:tc>
                          <w:tcPr>
                            <w:tcW w:w="542" w:type="pct"/>
                            <w:tcBorders>
                              <w:top w:val="nil"/>
                              <w:left w:val="nil"/>
                              <w:bottom w:val="nil"/>
                              <w:right w:val="nil"/>
                            </w:tcBorders>
                            <w:hideMark/>
                          </w:tcPr>
                          <w:p w14:paraId="10B8AE6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2.4% </w:t>
                            </w:r>
                          </w:p>
                        </w:tc>
                        <w:tc>
                          <w:tcPr>
                            <w:tcW w:w="542" w:type="pct"/>
                            <w:tcBorders>
                              <w:top w:val="nil"/>
                              <w:left w:val="nil"/>
                              <w:bottom w:val="nil"/>
                              <w:right w:val="nil"/>
                            </w:tcBorders>
                            <w:hideMark/>
                          </w:tcPr>
                          <w:p w14:paraId="18082B1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0C6910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r>
                      <w:tr w:rsidR="0055289D" w:rsidRPr="0055289D" w14:paraId="319E5DFE" w14:textId="77777777" w:rsidTr="0055289D">
                        <w:trPr>
                          <w:trHeight w:val="204"/>
                        </w:trPr>
                        <w:tc>
                          <w:tcPr>
                            <w:tcW w:w="1748" w:type="pct"/>
                            <w:tcBorders>
                              <w:top w:val="nil"/>
                              <w:left w:val="nil"/>
                              <w:bottom w:val="nil"/>
                              <w:right w:val="nil"/>
                            </w:tcBorders>
                            <w:noWrap/>
                            <w:hideMark/>
                          </w:tcPr>
                          <w:p w14:paraId="2FAEA8D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Earnings from Cont. Ops Margin %</w:t>
                            </w:r>
                          </w:p>
                        </w:tc>
                        <w:tc>
                          <w:tcPr>
                            <w:tcW w:w="542" w:type="pct"/>
                            <w:tcBorders>
                              <w:top w:val="nil"/>
                              <w:left w:val="nil"/>
                              <w:bottom w:val="nil"/>
                              <w:right w:val="nil"/>
                            </w:tcBorders>
                            <w:hideMark/>
                          </w:tcPr>
                          <w:p w14:paraId="5A8FD2B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5A92859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421B37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293ADC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5229CB5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286B260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64B7E93C" w14:textId="77777777" w:rsidTr="0055289D">
                        <w:trPr>
                          <w:trHeight w:val="204"/>
                        </w:trPr>
                        <w:tc>
                          <w:tcPr>
                            <w:tcW w:w="1748" w:type="pct"/>
                            <w:tcBorders>
                              <w:top w:val="nil"/>
                              <w:left w:val="nil"/>
                              <w:bottom w:val="nil"/>
                              <w:right w:val="nil"/>
                            </w:tcBorders>
                            <w:noWrap/>
                            <w:hideMark/>
                          </w:tcPr>
                          <w:p w14:paraId="23889A6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Income Margin %</w:t>
                            </w:r>
                          </w:p>
                        </w:tc>
                        <w:tc>
                          <w:tcPr>
                            <w:tcW w:w="542" w:type="pct"/>
                            <w:tcBorders>
                              <w:top w:val="nil"/>
                              <w:left w:val="nil"/>
                              <w:bottom w:val="nil"/>
                              <w:right w:val="nil"/>
                            </w:tcBorders>
                            <w:hideMark/>
                          </w:tcPr>
                          <w:p w14:paraId="4A979BE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354417B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104F004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41C9949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6D56D3B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3705631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7CEBA9C3" w14:textId="77777777" w:rsidTr="0055289D">
                        <w:trPr>
                          <w:trHeight w:val="204"/>
                        </w:trPr>
                        <w:tc>
                          <w:tcPr>
                            <w:tcW w:w="1748" w:type="pct"/>
                            <w:tcBorders>
                              <w:top w:val="nil"/>
                              <w:left w:val="nil"/>
                              <w:bottom w:val="nil"/>
                              <w:right w:val="nil"/>
                            </w:tcBorders>
                            <w:noWrap/>
                            <w:hideMark/>
                          </w:tcPr>
                          <w:p w14:paraId="7E7B883F"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Income Avail. for Common Margin %</w:t>
                            </w:r>
                          </w:p>
                        </w:tc>
                        <w:tc>
                          <w:tcPr>
                            <w:tcW w:w="542" w:type="pct"/>
                            <w:tcBorders>
                              <w:top w:val="nil"/>
                              <w:left w:val="nil"/>
                              <w:bottom w:val="nil"/>
                              <w:right w:val="nil"/>
                            </w:tcBorders>
                            <w:hideMark/>
                          </w:tcPr>
                          <w:p w14:paraId="6426D6D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 </w:t>
                            </w:r>
                          </w:p>
                        </w:tc>
                        <w:tc>
                          <w:tcPr>
                            <w:tcW w:w="542" w:type="pct"/>
                            <w:tcBorders>
                              <w:top w:val="nil"/>
                              <w:left w:val="nil"/>
                              <w:bottom w:val="nil"/>
                              <w:right w:val="nil"/>
                            </w:tcBorders>
                            <w:hideMark/>
                          </w:tcPr>
                          <w:p w14:paraId="410CDCF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2586721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1.7% </w:t>
                            </w:r>
                          </w:p>
                        </w:tc>
                        <w:tc>
                          <w:tcPr>
                            <w:tcW w:w="542" w:type="pct"/>
                            <w:tcBorders>
                              <w:top w:val="nil"/>
                              <w:left w:val="nil"/>
                              <w:bottom w:val="nil"/>
                              <w:right w:val="nil"/>
                            </w:tcBorders>
                            <w:hideMark/>
                          </w:tcPr>
                          <w:p w14:paraId="31D374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 </w:t>
                            </w:r>
                          </w:p>
                        </w:tc>
                        <w:tc>
                          <w:tcPr>
                            <w:tcW w:w="542" w:type="pct"/>
                            <w:tcBorders>
                              <w:top w:val="nil"/>
                              <w:left w:val="nil"/>
                              <w:bottom w:val="nil"/>
                              <w:right w:val="nil"/>
                            </w:tcBorders>
                            <w:hideMark/>
                          </w:tcPr>
                          <w:p w14:paraId="1836DE9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(2.7%) </w:t>
                            </w:r>
                          </w:p>
                        </w:tc>
                        <w:tc>
                          <w:tcPr>
                            <w:tcW w:w="542" w:type="pct"/>
                            <w:tcBorders>
                              <w:top w:val="nil"/>
                              <w:left w:val="nil"/>
                              <w:bottom w:val="nil"/>
                              <w:right w:val="nil"/>
                            </w:tcBorders>
                            <w:hideMark/>
                          </w:tcPr>
                          <w:p w14:paraId="0C06D37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 </w:t>
                            </w:r>
                          </w:p>
                        </w:tc>
                      </w:tr>
                      <w:tr w:rsidR="0055289D" w:rsidRPr="0055289D" w14:paraId="39BEC4FB" w14:textId="77777777" w:rsidTr="0055289D">
                        <w:trPr>
                          <w:trHeight w:val="204"/>
                        </w:trPr>
                        <w:tc>
                          <w:tcPr>
                            <w:tcW w:w="1748" w:type="pct"/>
                            <w:tcBorders>
                              <w:top w:val="nil"/>
                              <w:left w:val="nil"/>
                              <w:bottom w:val="nil"/>
                              <w:right w:val="nil"/>
                            </w:tcBorders>
                            <w:noWrap/>
                            <w:hideMark/>
                          </w:tcPr>
                          <w:p w14:paraId="77DC91C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Normalized Net Income Margin %</w:t>
                            </w:r>
                          </w:p>
                        </w:tc>
                        <w:tc>
                          <w:tcPr>
                            <w:tcW w:w="542" w:type="pct"/>
                            <w:tcBorders>
                              <w:top w:val="nil"/>
                              <w:left w:val="nil"/>
                              <w:bottom w:val="nil"/>
                              <w:right w:val="nil"/>
                            </w:tcBorders>
                            <w:hideMark/>
                          </w:tcPr>
                          <w:p w14:paraId="63D072F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2.5% </w:t>
                            </w:r>
                          </w:p>
                        </w:tc>
                        <w:tc>
                          <w:tcPr>
                            <w:tcW w:w="542" w:type="pct"/>
                            <w:tcBorders>
                              <w:top w:val="nil"/>
                              <w:left w:val="nil"/>
                              <w:bottom w:val="nil"/>
                              <w:right w:val="nil"/>
                            </w:tcBorders>
                            <w:hideMark/>
                          </w:tcPr>
                          <w:p w14:paraId="4ED6CC6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0.7% </w:t>
                            </w:r>
                          </w:p>
                        </w:tc>
                        <w:tc>
                          <w:tcPr>
                            <w:tcW w:w="542" w:type="pct"/>
                            <w:tcBorders>
                              <w:top w:val="nil"/>
                              <w:left w:val="nil"/>
                              <w:bottom w:val="nil"/>
                              <w:right w:val="nil"/>
                            </w:tcBorders>
                            <w:hideMark/>
                          </w:tcPr>
                          <w:p w14:paraId="216BD25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(0.9%) </w:t>
                            </w:r>
                          </w:p>
                        </w:tc>
                        <w:tc>
                          <w:tcPr>
                            <w:tcW w:w="542" w:type="pct"/>
                            <w:tcBorders>
                              <w:top w:val="nil"/>
                              <w:left w:val="nil"/>
                              <w:bottom w:val="nil"/>
                              <w:right w:val="nil"/>
                            </w:tcBorders>
                            <w:hideMark/>
                          </w:tcPr>
                          <w:p w14:paraId="4070844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 </w:t>
                            </w:r>
                          </w:p>
                        </w:tc>
                        <w:tc>
                          <w:tcPr>
                            <w:tcW w:w="542" w:type="pct"/>
                            <w:tcBorders>
                              <w:top w:val="nil"/>
                              <w:left w:val="nil"/>
                              <w:bottom w:val="nil"/>
                              <w:right w:val="nil"/>
                            </w:tcBorders>
                            <w:hideMark/>
                          </w:tcPr>
                          <w:p w14:paraId="378EA41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c>
                          <w:tcPr>
                            <w:tcW w:w="542" w:type="pct"/>
                            <w:tcBorders>
                              <w:top w:val="nil"/>
                              <w:left w:val="nil"/>
                              <w:bottom w:val="nil"/>
                              <w:right w:val="nil"/>
                            </w:tcBorders>
                            <w:hideMark/>
                          </w:tcPr>
                          <w:p w14:paraId="763A68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0.3% </w:t>
                            </w:r>
                          </w:p>
                        </w:tc>
                      </w:tr>
                      <w:tr w:rsidR="0055289D" w:rsidRPr="0055289D" w14:paraId="262E227F" w14:textId="77777777" w:rsidTr="0055289D">
                        <w:trPr>
                          <w:trHeight w:val="204"/>
                        </w:trPr>
                        <w:tc>
                          <w:tcPr>
                            <w:tcW w:w="1748" w:type="pct"/>
                            <w:tcBorders>
                              <w:top w:val="nil"/>
                              <w:left w:val="nil"/>
                              <w:bottom w:val="nil"/>
                              <w:right w:val="nil"/>
                            </w:tcBorders>
                            <w:noWrap/>
                            <w:hideMark/>
                          </w:tcPr>
                          <w:p w14:paraId="6697A7B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Levered Free Cash Flow Margin %</w:t>
                            </w:r>
                          </w:p>
                        </w:tc>
                        <w:tc>
                          <w:tcPr>
                            <w:tcW w:w="542" w:type="pct"/>
                            <w:tcBorders>
                              <w:top w:val="nil"/>
                              <w:left w:val="nil"/>
                              <w:bottom w:val="nil"/>
                              <w:right w:val="nil"/>
                            </w:tcBorders>
                            <w:hideMark/>
                          </w:tcPr>
                          <w:p w14:paraId="630A5C8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0.8% </w:t>
                            </w:r>
                          </w:p>
                        </w:tc>
                        <w:tc>
                          <w:tcPr>
                            <w:tcW w:w="542" w:type="pct"/>
                            <w:tcBorders>
                              <w:top w:val="nil"/>
                              <w:left w:val="nil"/>
                              <w:bottom w:val="nil"/>
                              <w:right w:val="nil"/>
                            </w:tcBorders>
                            <w:hideMark/>
                          </w:tcPr>
                          <w:p w14:paraId="1F8D0F6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(5.4%) </w:t>
                            </w:r>
                          </w:p>
                        </w:tc>
                        <w:tc>
                          <w:tcPr>
                            <w:tcW w:w="542" w:type="pct"/>
                            <w:tcBorders>
                              <w:top w:val="nil"/>
                              <w:left w:val="nil"/>
                              <w:bottom w:val="nil"/>
                              <w:right w:val="nil"/>
                            </w:tcBorders>
                            <w:hideMark/>
                          </w:tcPr>
                          <w:p w14:paraId="019479C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(11.1%) </w:t>
                            </w:r>
                          </w:p>
                        </w:tc>
                        <w:tc>
                          <w:tcPr>
                            <w:tcW w:w="542" w:type="pct"/>
                            <w:tcBorders>
                              <w:top w:val="nil"/>
                              <w:left w:val="nil"/>
                              <w:bottom w:val="nil"/>
                              <w:right w:val="nil"/>
                            </w:tcBorders>
                            <w:hideMark/>
                          </w:tcPr>
                          <w:p w14:paraId="381154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3.9% </w:t>
                            </w:r>
                          </w:p>
                        </w:tc>
                        <w:tc>
                          <w:tcPr>
                            <w:tcW w:w="542" w:type="pct"/>
                            <w:tcBorders>
                              <w:top w:val="nil"/>
                              <w:left w:val="nil"/>
                              <w:bottom w:val="nil"/>
                              <w:right w:val="nil"/>
                            </w:tcBorders>
                            <w:hideMark/>
                          </w:tcPr>
                          <w:p w14:paraId="0BDE31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 </w:t>
                            </w:r>
                          </w:p>
                        </w:tc>
                        <w:tc>
                          <w:tcPr>
                            <w:tcW w:w="542" w:type="pct"/>
                            <w:tcBorders>
                              <w:top w:val="nil"/>
                              <w:left w:val="nil"/>
                              <w:bottom w:val="nil"/>
                              <w:right w:val="nil"/>
                            </w:tcBorders>
                            <w:hideMark/>
                          </w:tcPr>
                          <w:p w14:paraId="6624A0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1.8% </w:t>
                            </w:r>
                          </w:p>
                        </w:tc>
                      </w:tr>
                      <w:tr w:rsidR="0055289D" w:rsidRPr="0055289D" w14:paraId="0958D71D" w14:textId="77777777" w:rsidTr="0055289D">
                        <w:trPr>
                          <w:trHeight w:val="204"/>
                        </w:trPr>
                        <w:tc>
                          <w:tcPr>
                            <w:tcW w:w="1748" w:type="pct"/>
                            <w:tcBorders>
                              <w:top w:val="nil"/>
                              <w:left w:val="nil"/>
                              <w:bottom w:val="nil"/>
                              <w:right w:val="nil"/>
                            </w:tcBorders>
                            <w:noWrap/>
                            <w:hideMark/>
                          </w:tcPr>
                          <w:p w14:paraId="52EE2D5D"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Unlevered Free Cash Flow Margin %</w:t>
                            </w:r>
                          </w:p>
                        </w:tc>
                        <w:tc>
                          <w:tcPr>
                            <w:tcW w:w="542" w:type="pct"/>
                            <w:tcBorders>
                              <w:top w:val="nil"/>
                              <w:left w:val="nil"/>
                              <w:bottom w:val="nil"/>
                              <w:right w:val="nil"/>
                            </w:tcBorders>
                            <w:hideMark/>
                          </w:tcPr>
                          <w:p w14:paraId="164F30B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 </w:t>
                            </w:r>
                          </w:p>
                        </w:tc>
                        <w:tc>
                          <w:tcPr>
                            <w:tcW w:w="542" w:type="pct"/>
                            <w:tcBorders>
                              <w:top w:val="nil"/>
                              <w:left w:val="nil"/>
                              <w:bottom w:val="nil"/>
                              <w:right w:val="nil"/>
                            </w:tcBorders>
                            <w:hideMark/>
                          </w:tcPr>
                          <w:p w14:paraId="770C8D7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(4.8%) </w:t>
                            </w:r>
                          </w:p>
                        </w:tc>
                        <w:tc>
                          <w:tcPr>
                            <w:tcW w:w="542" w:type="pct"/>
                            <w:tcBorders>
                              <w:top w:val="nil"/>
                              <w:left w:val="nil"/>
                              <w:bottom w:val="nil"/>
                              <w:right w:val="nil"/>
                            </w:tcBorders>
                            <w:hideMark/>
                          </w:tcPr>
                          <w:p w14:paraId="379C9FF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(10.3%) </w:t>
                            </w:r>
                          </w:p>
                        </w:tc>
                        <w:tc>
                          <w:tcPr>
                            <w:tcW w:w="542" w:type="pct"/>
                            <w:tcBorders>
                              <w:top w:val="nil"/>
                              <w:left w:val="nil"/>
                              <w:bottom w:val="nil"/>
                              <w:right w:val="nil"/>
                            </w:tcBorders>
                            <w:hideMark/>
                          </w:tcPr>
                          <w:p w14:paraId="0EB0CEE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6.1% </w:t>
                            </w:r>
                          </w:p>
                        </w:tc>
                        <w:tc>
                          <w:tcPr>
                            <w:tcW w:w="542" w:type="pct"/>
                            <w:tcBorders>
                              <w:top w:val="nil"/>
                              <w:left w:val="nil"/>
                              <w:bottom w:val="nil"/>
                              <w:right w:val="nil"/>
                            </w:tcBorders>
                            <w:hideMark/>
                          </w:tcPr>
                          <w:p w14:paraId="2FFEFC9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9.4% </w:t>
                            </w:r>
                          </w:p>
                        </w:tc>
                        <w:tc>
                          <w:tcPr>
                            <w:tcW w:w="542" w:type="pct"/>
                            <w:tcBorders>
                              <w:top w:val="nil"/>
                              <w:left w:val="nil"/>
                              <w:bottom w:val="nil"/>
                              <w:right w:val="nil"/>
                            </w:tcBorders>
                            <w:hideMark/>
                          </w:tcPr>
                          <w:p w14:paraId="642C0F6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 </w:t>
                            </w:r>
                          </w:p>
                        </w:tc>
                      </w:tr>
                      <w:tr w:rsidR="0055289D" w:rsidRPr="0055289D" w14:paraId="0E7B1925" w14:textId="77777777" w:rsidTr="0055289D">
                        <w:trPr>
                          <w:trHeight w:val="204"/>
                        </w:trPr>
                        <w:tc>
                          <w:tcPr>
                            <w:tcW w:w="1748" w:type="pct"/>
                            <w:tcBorders>
                              <w:top w:val="nil"/>
                              <w:left w:val="nil"/>
                              <w:bottom w:val="nil"/>
                              <w:right w:val="nil"/>
                            </w:tcBorders>
                            <w:noWrap/>
                            <w:hideMark/>
                          </w:tcPr>
                          <w:p w14:paraId="3041397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Asset Turnover</w:t>
                            </w:r>
                          </w:p>
                        </w:tc>
                        <w:tc>
                          <w:tcPr>
                            <w:tcW w:w="542" w:type="pct"/>
                            <w:tcBorders>
                              <w:top w:val="nil"/>
                              <w:left w:val="nil"/>
                              <w:bottom w:val="nil"/>
                              <w:right w:val="nil"/>
                            </w:tcBorders>
                            <w:noWrap/>
                            <w:hideMark/>
                          </w:tcPr>
                          <w:p w14:paraId="51458FF2"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74B02654"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24BB688B"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44A6521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BA7518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CEEC152"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57D23239" w14:textId="77777777" w:rsidTr="0055289D">
                        <w:trPr>
                          <w:trHeight w:val="204"/>
                        </w:trPr>
                        <w:tc>
                          <w:tcPr>
                            <w:tcW w:w="1748" w:type="pct"/>
                            <w:tcBorders>
                              <w:top w:val="nil"/>
                              <w:left w:val="nil"/>
                              <w:bottom w:val="nil"/>
                              <w:right w:val="nil"/>
                            </w:tcBorders>
                            <w:noWrap/>
                            <w:hideMark/>
                          </w:tcPr>
                          <w:p w14:paraId="2380565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Asset Turnover</w:t>
                            </w:r>
                          </w:p>
                        </w:tc>
                        <w:tc>
                          <w:tcPr>
                            <w:tcW w:w="542" w:type="pct"/>
                            <w:tcBorders>
                              <w:top w:val="nil"/>
                              <w:left w:val="nil"/>
                              <w:bottom w:val="nil"/>
                              <w:right w:val="nil"/>
                            </w:tcBorders>
                            <w:hideMark/>
                          </w:tcPr>
                          <w:p w14:paraId="0D7C2BE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1.4x</w:t>
                            </w:r>
                          </w:p>
                        </w:tc>
                        <w:tc>
                          <w:tcPr>
                            <w:tcW w:w="542" w:type="pct"/>
                            <w:tcBorders>
                              <w:top w:val="nil"/>
                              <w:left w:val="nil"/>
                              <w:bottom w:val="nil"/>
                              <w:right w:val="nil"/>
                            </w:tcBorders>
                            <w:hideMark/>
                          </w:tcPr>
                          <w:p w14:paraId="6FAD2BE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1.3x</w:t>
                            </w:r>
                          </w:p>
                        </w:tc>
                        <w:tc>
                          <w:tcPr>
                            <w:tcW w:w="542" w:type="pct"/>
                            <w:tcBorders>
                              <w:top w:val="nil"/>
                              <w:left w:val="nil"/>
                              <w:bottom w:val="nil"/>
                              <w:right w:val="nil"/>
                            </w:tcBorders>
                            <w:hideMark/>
                          </w:tcPr>
                          <w:p w14:paraId="61797DA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0CD74A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3A4C969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27392F2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r>
                      <w:tr w:rsidR="0055289D" w:rsidRPr="0055289D" w14:paraId="4CA1DCBC" w14:textId="77777777" w:rsidTr="0055289D">
                        <w:trPr>
                          <w:trHeight w:val="204"/>
                        </w:trPr>
                        <w:tc>
                          <w:tcPr>
                            <w:tcW w:w="1748" w:type="pct"/>
                            <w:tcBorders>
                              <w:top w:val="nil"/>
                              <w:left w:val="nil"/>
                              <w:bottom w:val="nil"/>
                              <w:right w:val="nil"/>
                            </w:tcBorders>
                            <w:noWrap/>
                            <w:hideMark/>
                          </w:tcPr>
                          <w:p w14:paraId="35DD8CC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Fixed Asset Turnover</w:t>
                            </w:r>
                          </w:p>
                        </w:tc>
                        <w:tc>
                          <w:tcPr>
                            <w:tcW w:w="542" w:type="pct"/>
                            <w:tcBorders>
                              <w:top w:val="nil"/>
                              <w:left w:val="nil"/>
                              <w:bottom w:val="nil"/>
                              <w:right w:val="nil"/>
                            </w:tcBorders>
                            <w:hideMark/>
                          </w:tcPr>
                          <w:p w14:paraId="0F6D65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9.7x</w:t>
                            </w:r>
                          </w:p>
                        </w:tc>
                        <w:tc>
                          <w:tcPr>
                            <w:tcW w:w="542" w:type="pct"/>
                            <w:tcBorders>
                              <w:top w:val="nil"/>
                              <w:left w:val="nil"/>
                              <w:bottom w:val="nil"/>
                              <w:right w:val="nil"/>
                            </w:tcBorders>
                            <w:hideMark/>
                          </w:tcPr>
                          <w:p w14:paraId="72E0E76B"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8.2x</w:t>
                            </w:r>
                          </w:p>
                        </w:tc>
                        <w:tc>
                          <w:tcPr>
                            <w:tcW w:w="542" w:type="pct"/>
                            <w:tcBorders>
                              <w:top w:val="nil"/>
                              <w:left w:val="nil"/>
                              <w:bottom w:val="nil"/>
                              <w:right w:val="nil"/>
                            </w:tcBorders>
                            <w:hideMark/>
                          </w:tcPr>
                          <w:p w14:paraId="391ADF7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7.8x</w:t>
                            </w:r>
                          </w:p>
                        </w:tc>
                        <w:tc>
                          <w:tcPr>
                            <w:tcW w:w="542" w:type="pct"/>
                            <w:tcBorders>
                              <w:top w:val="nil"/>
                              <w:left w:val="nil"/>
                              <w:bottom w:val="nil"/>
                              <w:right w:val="nil"/>
                            </w:tcBorders>
                            <w:hideMark/>
                          </w:tcPr>
                          <w:p w14:paraId="56FBD22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15B976D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0711B03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7.3x</w:t>
                            </w:r>
                          </w:p>
                        </w:tc>
                      </w:tr>
                      <w:tr w:rsidR="0055289D" w:rsidRPr="0055289D" w14:paraId="54B13F8E" w14:textId="77777777" w:rsidTr="0055289D">
                        <w:trPr>
                          <w:trHeight w:val="204"/>
                        </w:trPr>
                        <w:tc>
                          <w:tcPr>
                            <w:tcW w:w="1748" w:type="pct"/>
                            <w:tcBorders>
                              <w:top w:val="nil"/>
                              <w:left w:val="nil"/>
                              <w:bottom w:val="nil"/>
                              <w:right w:val="nil"/>
                            </w:tcBorders>
                            <w:noWrap/>
                            <w:hideMark/>
                          </w:tcPr>
                          <w:p w14:paraId="789DFF52"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Accounts Receivable Turnover</w:t>
                            </w:r>
                          </w:p>
                        </w:tc>
                        <w:tc>
                          <w:tcPr>
                            <w:tcW w:w="542" w:type="pct"/>
                            <w:tcBorders>
                              <w:top w:val="nil"/>
                              <w:left w:val="nil"/>
                              <w:bottom w:val="nil"/>
                              <w:right w:val="nil"/>
                            </w:tcBorders>
                            <w:hideMark/>
                          </w:tcPr>
                          <w:p w14:paraId="6058E3A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7.2x</w:t>
                            </w:r>
                          </w:p>
                        </w:tc>
                        <w:tc>
                          <w:tcPr>
                            <w:tcW w:w="542" w:type="pct"/>
                            <w:tcBorders>
                              <w:top w:val="nil"/>
                              <w:left w:val="nil"/>
                              <w:bottom w:val="nil"/>
                              <w:right w:val="nil"/>
                            </w:tcBorders>
                            <w:hideMark/>
                          </w:tcPr>
                          <w:p w14:paraId="4D214E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5.6x</w:t>
                            </w:r>
                          </w:p>
                        </w:tc>
                        <w:tc>
                          <w:tcPr>
                            <w:tcW w:w="542" w:type="pct"/>
                            <w:tcBorders>
                              <w:top w:val="nil"/>
                              <w:left w:val="nil"/>
                              <w:bottom w:val="nil"/>
                              <w:right w:val="nil"/>
                            </w:tcBorders>
                            <w:hideMark/>
                          </w:tcPr>
                          <w:p w14:paraId="11C431B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4.3x</w:t>
                            </w:r>
                          </w:p>
                        </w:tc>
                        <w:tc>
                          <w:tcPr>
                            <w:tcW w:w="542" w:type="pct"/>
                            <w:tcBorders>
                              <w:top w:val="nil"/>
                              <w:left w:val="nil"/>
                              <w:bottom w:val="nil"/>
                              <w:right w:val="nil"/>
                            </w:tcBorders>
                            <w:hideMark/>
                          </w:tcPr>
                          <w:p w14:paraId="2EB3F6F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4.0x</w:t>
                            </w:r>
                          </w:p>
                        </w:tc>
                        <w:tc>
                          <w:tcPr>
                            <w:tcW w:w="542" w:type="pct"/>
                            <w:tcBorders>
                              <w:top w:val="nil"/>
                              <w:left w:val="nil"/>
                              <w:bottom w:val="nil"/>
                              <w:right w:val="nil"/>
                            </w:tcBorders>
                            <w:hideMark/>
                          </w:tcPr>
                          <w:p w14:paraId="4917735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4.5x</w:t>
                            </w:r>
                          </w:p>
                        </w:tc>
                        <w:tc>
                          <w:tcPr>
                            <w:tcW w:w="542" w:type="pct"/>
                            <w:tcBorders>
                              <w:top w:val="nil"/>
                              <w:left w:val="nil"/>
                              <w:bottom w:val="nil"/>
                              <w:right w:val="nil"/>
                            </w:tcBorders>
                            <w:hideMark/>
                          </w:tcPr>
                          <w:p w14:paraId="23B0E79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6.0x</w:t>
                            </w:r>
                          </w:p>
                        </w:tc>
                      </w:tr>
                      <w:tr w:rsidR="0055289D" w:rsidRPr="0055289D" w14:paraId="57970246" w14:textId="77777777" w:rsidTr="0055289D">
                        <w:trPr>
                          <w:trHeight w:val="204"/>
                        </w:trPr>
                        <w:tc>
                          <w:tcPr>
                            <w:tcW w:w="1748" w:type="pct"/>
                            <w:tcBorders>
                              <w:top w:val="nil"/>
                              <w:left w:val="nil"/>
                              <w:bottom w:val="nil"/>
                              <w:right w:val="nil"/>
                            </w:tcBorders>
                            <w:noWrap/>
                            <w:hideMark/>
                          </w:tcPr>
                          <w:p w14:paraId="2EE0112A"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Inventory Turnover</w:t>
                            </w:r>
                          </w:p>
                        </w:tc>
                        <w:tc>
                          <w:tcPr>
                            <w:tcW w:w="542" w:type="pct"/>
                            <w:tcBorders>
                              <w:top w:val="nil"/>
                              <w:left w:val="nil"/>
                              <w:bottom w:val="nil"/>
                              <w:right w:val="nil"/>
                            </w:tcBorders>
                            <w:hideMark/>
                          </w:tcPr>
                          <w:p w14:paraId="64FF454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4.3x</w:t>
                            </w:r>
                          </w:p>
                        </w:tc>
                        <w:tc>
                          <w:tcPr>
                            <w:tcW w:w="542" w:type="pct"/>
                            <w:tcBorders>
                              <w:top w:val="nil"/>
                              <w:left w:val="nil"/>
                              <w:bottom w:val="nil"/>
                              <w:right w:val="nil"/>
                            </w:tcBorders>
                            <w:hideMark/>
                          </w:tcPr>
                          <w:p w14:paraId="3011D0D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4.5x</w:t>
                            </w:r>
                          </w:p>
                        </w:tc>
                        <w:tc>
                          <w:tcPr>
                            <w:tcW w:w="542" w:type="pct"/>
                            <w:tcBorders>
                              <w:top w:val="nil"/>
                              <w:left w:val="nil"/>
                              <w:bottom w:val="nil"/>
                              <w:right w:val="nil"/>
                            </w:tcBorders>
                            <w:hideMark/>
                          </w:tcPr>
                          <w:p w14:paraId="3686BC3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69EECB6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3.2x</w:t>
                            </w:r>
                          </w:p>
                        </w:tc>
                        <w:tc>
                          <w:tcPr>
                            <w:tcW w:w="542" w:type="pct"/>
                            <w:tcBorders>
                              <w:top w:val="nil"/>
                              <w:left w:val="nil"/>
                              <w:bottom w:val="nil"/>
                              <w:right w:val="nil"/>
                            </w:tcBorders>
                            <w:hideMark/>
                          </w:tcPr>
                          <w:p w14:paraId="08FE880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3.5x</w:t>
                            </w:r>
                          </w:p>
                        </w:tc>
                        <w:tc>
                          <w:tcPr>
                            <w:tcW w:w="542" w:type="pct"/>
                            <w:tcBorders>
                              <w:top w:val="nil"/>
                              <w:left w:val="nil"/>
                              <w:bottom w:val="nil"/>
                              <w:right w:val="nil"/>
                            </w:tcBorders>
                            <w:hideMark/>
                          </w:tcPr>
                          <w:p w14:paraId="27B4A12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3.4x</w:t>
                            </w:r>
                          </w:p>
                        </w:tc>
                      </w:tr>
                      <w:tr w:rsidR="0055289D" w:rsidRPr="0055289D" w14:paraId="58D71F61" w14:textId="77777777" w:rsidTr="0055289D">
                        <w:trPr>
                          <w:trHeight w:val="204"/>
                        </w:trPr>
                        <w:tc>
                          <w:tcPr>
                            <w:tcW w:w="1748" w:type="pct"/>
                            <w:tcBorders>
                              <w:top w:val="nil"/>
                              <w:left w:val="nil"/>
                              <w:bottom w:val="nil"/>
                              <w:right w:val="nil"/>
                            </w:tcBorders>
                            <w:noWrap/>
                            <w:hideMark/>
                          </w:tcPr>
                          <w:p w14:paraId="573F1E9B"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Short Term Liquidity</w:t>
                            </w:r>
                          </w:p>
                        </w:tc>
                        <w:tc>
                          <w:tcPr>
                            <w:tcW w:w="542" w:type="pct"/>
                            <w:tcBorders>
                              <w:top w:val="nil"/>
                              <w:left w:val="nil"/>
                              <w:bottom w:val="nil"/>
                              <w:right w:val="nil"/>
                            </w:tcBorders>
                            <w:noWrap/>
                            <w:hideMark/>
                          </w:tcPr>
                          <w:p w14:paraId="2B85FEB8"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4E89AD96"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2D53E0B"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9B9EAB7"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0C6E233C"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84A6379"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B51742A" w14:textId="77777777" w:rsidTr="0055289D">
                        <w:trPr>
                          <w:trHeight w:val="204"/>
                        </w:trPr>
                        <w:tc>
                          <w:tcPr>
                            <w:tcW w:w="1748" w:type="pct"/>
                            <w:tcBorders>
                              <w:top w:val="nil"/>
                              <w:left w:val="nil"/>
                              <w:bottom w:val="nil"/>
                              <w:right w:val="nil"/>
                            </w:tcBorders>
                            <w:noWrap/>
                            <w:hideMark/>
                          </w:tcPr>
                          <w:p w14:paraId="4FDBA0F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Current Ratio</w:t>
                            </w:r>
                          </w:p>
                        </w:tc>
                        <w:tc>
                          <w:tcPr>
                            <w:tcW w:w="542" w:type="pct"/>
                            <w:tcBorders>
                              <w:top w:val="nil"/>
                              <w:left w:val="nil"/>
                              <w:bottom w:val="nil"/>
                              <w:right w:val="nil"/>
                            </w:tcBorders>
                            <w:hideMark/>
                          </w:tcPr>
                          <w:p w14:paraId="37BBA7B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351E960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1.3x</w:t>
                            </w:r>
                          </w:p>
                        </w:tc>
                        <w:tc>
                          <w:tcPr>
                            <w:tcW w:w="542" w:type="pct"/>
                            <w:tcBorders>
                              <w:top w:val="nil"/>
                              <w:left w:val="nil"/>
                              <w:bottom w:val="nil"/>
                              <w:right w:val="nil"/>
                            </w:tcBorders>
                            <w:hideMark/>
                          </w:tcPr>
                          <w:p w14:paraId="716DCC3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1C3FBBF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1.5x</w:t>
                            </w:r>
                          </w:p>
                        </w:tc>
                        <w:tc>
                          <w:tcPr>
                            <w:tcW w:w="542" w:type="pct"/>
                            <w:tcBorders>
                              <w:top w:val="nil"/>
                              <w:left w:val="nil"/>
                              <w:bottom w:val="nil"/>
                              <w:right w:val="nil"/>
                            </w:tcBorders>
                            <w:hideMark/>
                          </w:tcPr>
                          <w:p w14:paraId="54199FF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c>
                          <w:tcPr>
                            <w:tcW w:w="542" w:type="pct"/>
                            <w:tcBorders>
                              <w:top w:val="nil"/>
                              <w:left w:val="nil"/>
                              <w:bottom w:val="nil"/>
                              <w:right w:val="nil"/>
                            </w:tcBorders>
                            <w:hideMark/>
                          </w:tcPr>
                          <w:p w14:paraId="761A55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r>
                      <w:tr w:rsidR="0055289D" w:rsidRPr="0055289D" w14:paraId="0DED5129" w14:textId="77777777" w:rsidTr="0055289D">
                        <w:trPr>
                          <w:trHeight w:val="204"/>
                        </w:trPr>
                        <w:tc>
                          <w:tcPr>
                            <w:tcW w:w="1748" w:type="pct"/>
                            <w:tcBorders>
                              <w:top w:val="nil"/>
                              <w:left w:val="nil"/>
                              <w:bottom w:val="nil"/>
                              <w:right w:val="nil"/>
                            </w:tcBorders>
                            <w:noWrap/>
                            <w:hideMark/>
                          </w:tcPr>
                          <w:p w14:paraId="2EE25D07"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Quick Ratio</w:t>
                            </w:r>
                          </w:p>
                        </w:tc>
                        <w:tc>
                          <w:tcPr>
                            <w:tcW w:w="542" w:type="pct"/>
                            <w:tcBorders>
                              <w:top w:val="nil"/>
                              <w:left w:val="nil"/>
                              <w:bottom w:val="nil"/>
                              <w:right w:val="nil"/>
                            </w:tcBorders>
                            <w:hideMark/>
                          </w:tcPr>
                          <w:p w14:paraId="3D17B36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514B4D4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0.8x</w:t>
                            </w:r>
                          </w:p>
                        </w:tc>
                        <w:tc>
                          <w:tcPr>
                            <w:tcW w:w="542" w:type="pct"/>
                            <w:tcBorders>
                              <w:top w:val="nil"/>
                              <w:left w:val="nil"/>
                              <w:bottom w:val="nil"/>
                              <w:right w:val="nil"/>
                            </w:tcBorders>
                            <w:hideMark/>
                          </w:tcPr>
                          <w:p w14:paraId="50E0F0E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1.0x</w:t>
                            </w:r>
                          </w:p>
                        </w:tc>
                        <w:tc>
                          <w:tcPr>
                            <w:tcW w:w="542" w:type="pct"/>
                            <w:tcBorders>
                              <w:top w:val="nil"/>
                              <w:left w:val="nil"/>
                              <w:bottom w:val="nil"/>
                              <w:right w:val="nil"/>
                            </w:tcBorders>
                            <w:hideMark/>
                          </w:tcPr>
                          <w:p w14:paraId="6087237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0.9x</w:t>
                            </w:r>
                          </w:p>
                        </w:tc>
                        <w:tc>
                          <w:tcPr>
                            <w:tcW w:w="542" w:type="pct"/>
                            <w:tcBorders>
                              <w:top w:val="nil"/>
                              <w:left w:val="nil"/>
                              <w:bottom w:val="nil"/>
                              <w:right w:val="nil"/>
                            </w:tcBorders>
                            <w:hideMark/>
                          </w:tcPr>
                          <w:p w14:paraId="3B6859A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c>
                          <w:tcPr>
                            <w:tcW w:w="542" w:type="pct"/>
                            <w:tcBorders>
                              <w:top w:val="nil"/>
                              <w:left w:val="nil"/>
                              <w:bottom w:val="nil"/>
                              <w:right w:val="nil"/>
                            </w:tcBorders>
                            <w:hideMark/>
                          </w:tcPr>
                          <w:p w14:paraId="2D4367A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r>
                      <w:tr w:rsidR="0055289D" w:rsidRPr="0055289D" w14:paraId="60BC8733" w14:textId="77777777" w:rsidTr="0055289D">
                        <w:trPr>
                          <w:trHeight w:val="204"/>
                        </w:trPr>
                        <w:tc>
                          <w:tcPr>
                            <w:tcW w:w="1748" w:type="pct"/>
                            <w:tcBorders>
                              <w:top w:val="nil"/>
                              <w:left w:val="nil"/>
                              <w:bottom w:val="nil"/>
                              <w:right w:val="nil"/>
                            </w:tcBorders>
                            <w:noWrap/>
                            <w:hideMark/>
                          </w:tcPr>
                          <w:p w14:paraId="644F484A"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Cash from Ops. to Curr. </w:t>
                            </w:r>
                            <w:r w:rsidRPr="0055289D">
                              <w:rPr>
                                <w:rFonts w:ascii="Cambria" w:eastAsia="Times New Roman" w:hAnsi="Cambria" w:cs="Arial"/>
                                <w:color w:val="000000"/>
                                <w:kern w:val="0"/>
                                <w:sz w:val="14"/>
                                <w:szCs w:val="14"/>
                                <w:lang w:eastAsia="en-IN"/>
                                <w14:ligatures w14:val="none"/>
                              </w:rPr>
                              <w:t>Liab.</w:t>
                            </w:r>
                          </w:p>
                        </w:tc>
                        <w:tc>
                          <w:tcPr>
                            <w:tcW w:w="542" w:type="pct"/>
                            <w:tcBorders>
                              <w:top w:val="nil"/>
                              <w:left w:val="nil"/>
                              <w:bottom w:val="nil"/>
                              <w:right w:val="nil"/>
                            </w:tcBorders>
                            <w:hideMark/>
                          </w:tcPr>
                          <w:p w14:paraId="50953A2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07E449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BD9065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2FD5F9A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3ED7234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E72448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r>
                      <w:tr w:rsidR="0055289D" w:rsidRPr="0055289D" w14:paraId="23ECD10B" w14:textId="77777777" w:rsidTr="0055289D">
                        <w:trPr>
                          <w:trHeight w:val="204"/>
                        </w:trPr>
                        <w:tc>
                          <w:tcPr>
                            <w:tcW w:w="1748" w:type="pct"/>
                            <w:tcBorders>
                              <w:top w:val="nil"/>
                              <w:left w:val="nil"/>
                              <w:bottom w:val="nil"/>
                              <w:right w:val="nil"/>
                            </w:tcBorders>
                            <w:noWrap/>
                            <w:hideMark/>
                          </w:tcPr>
                          <w:p w14:paraId="3B9B8F4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Sales Out.</w:t>
                            </w:r>
                          </w:p>
                        </w:tc>
                        <w:tc>
                          <w:tcPr>
                            <w:tcW w:w="542" w:type="pct"/>
                            <w:tcBorders>
                              <w:top w:val="nil"/>
                              <w:left w:val="nil"/>
                              <w:bottom w:val="nil"/>
                              <w:right w:val="nil"/>
                            </w:tcBorders>
                            <w:hideMark/>
                          </w:tcPr>
                          <w:p w14:paraId="59D4C29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50.7 </w:t>
                            </w:r>
                          </w:p>
                        </w:tc>
                        <w:tc>
                          <w:tcPr>
                            <w:tcW w:w="542" w:type="pct"/>
                            <w:tcBorders>
                              <w:top w:val="nil"/>
                              <w:left w:val="nil"/>
                              <w:bottom w:val="nil"/>
                              <w:right w:val="nil"/>
                            </w:tcBorders>
                            <w:hideMark/>
                          </w:tcPr>
                          <w:p w14:paraId="523A7B0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65.1 </w:t>
                            </w:r>
                          </w:p>
                        </w:tc>
                        <w:tc>
                          <w:tcPr>
                            <w:tcW w:w="542" w:type="pct"/>
                            <w:tcBorders>
                              <w:top w:val="nil"/>
                              <w:left w:val="nil"/>
                              <w:bottom w:val="nil"/>
                              <w:right w:val="nil"/>
                            </w:tcBorders>
                            <w:hideMark/>
                          </w:tcPr>
                          <w:p w14:paraId="288F1A7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85.1 </w:t>
                            </w:r>
                          </w:p>
                        </w:tc>
                        <w:tc>
                          <w:tcPr>
                            <w:tcW w:w="542" w:type="pct"/>
                            <w:tcBorders>
                              <w:top w:val="nil"/>
                              <w:left w:val="nil"/>
                              <w:bottom w:val="nil"/>
                              <w:right w:val="nil"/>
                            </w:tcBorders>
                            <w:hideMark/>
                          </w:tcPr>
                          <w:p w14:paraId="14F6BC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91.5 </w:t>
                            </w:r>
                          </w:p>
                        </w:tc>
                        <w:tc>
                          <w:tcPr>
                            <w:tcW w:w="542" w:type="pct"/>
                            <w:tcBorders>
                              <w:top w:val="nil"/>
                              <w:left w:val="nil"/>
                              <w:bottom w:val="nil"/>
                              <w:right w:val="nil"/>
                            </w:tcBorders>
                            <w:hideMark/>
                          </w:tcPr>
                          <w:p w14:paraId="58ADCE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81.9 </w:t>
                            </w:r>
                          </w:p>
                        </w:tc>
                        <w:tc>
                          <w:tcPr>
                            <w:tcW w:w="542" w:type="pct"/>
                            <w:tcBorders>
                              <w:top w:val="nil"/>
                              <w:left w:val="nil"/>
                              <w:bottom w:val="nil"/>
                              <w:right w:val="nil"/>
                            </w:tcBorders>
                            <w:hideMark/>
                          </w:tcPr>
                          <w:p w14:paraId="1EDD1EA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60.9 </w:t>
                            </w:r>
                          </w:p>
                        </w:tc>
                      </w:tr>
                      <w:tr w:rsidR="0055289D" w:rsidRPr="0055289D" w14:paraId="22779A7F" w14:textId="77777777" w:rsidTr="0055289D">
                        <w:trPr>
                          <w:trHeight w:val="204"/>
                        </w:trPr>
                        <w:tc>
                          <w:tcPr>
                            <w:tcW w:w="1748" w:type="pct"/>
                            <w:tcBorders>
                              <w:top w:val="nil"/>
                              <w:left w:val="nil"/>
                              <w:bottom w:val="nil"/>
                              <w:right w:val="nil"/>
                            </w:tcBorders>
                            <w:noWrap/>
                            <w:hideMark/>
                          </w:tcPr>
                          <w:p w14:paraId="4F1C6292"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Inventory Out.</w:t>
                            </w:r>
                          </w:p>
                        </w:tc>
                        <w:tc>
                          <w:tcPr>
                            <w:tcW w:w="542" w:type="pct"/>
                            <w:tcBorders>
                              <w:top w:val="nil"/>
                              <w:left w:val="nil"/>
                              <w:bottom w:val="nil"/>
                              <w:right w:val="nil"/>
                            </w:tcBorders>
                            <w:hideMark/>
                          </w:tcPr>
                          <w:p w14:paraId="0EFE512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84.2 </w:t>
                            </w:r>
                          </w:p>
                        </w:tc>
                        <w:tc>
                          <w:tcPr>
                            <w:tcW w:w="542" w:type="pct"/>
                            <w:tcBorders>
                              <w:top w:val="nil"/>
                              <w:left w:val="nil"/>
                              <w:bottom w:val="nil"/>
                              <w:right w:val="nil"/>
                            </w:tcBorders>
                            <w:hideMark/>
                          </w:tcPr>
                          <w:p w14:paraId="4D7B53E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82.2 </w:t>
                            </w:r>
                          </w:p>
                        </w:tc>
                        <w:tc>
                          <w:tcPr>
                            <w:tcW w:w="542" w:type="pct"/>
                            <w:tcBorders>
                              <w:top w:val="nil"/>
                              <w:left w:val="nil"/>
                              <w:bottom w:val="nil"/>
                              <w:right w:val="nil"/>
                            </w:tcBorders>
                            <w:hideMark/>
                          </w:tcPr>
                          <w:p w14:paraId="0F4DA0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102.4 </w:t>
                            </w:r>
                          </w:p>
                        </w:tc>
                        <w:tc>
                          <w:tcPr>
                            <w:tcW w:w="542" w:type="pct"/>
                            <w:tcBorders>
                              <w:top w:val="nil"/>
                              <w:left w:val="nil"/>
                              <w:bottom w:val="nil"/>
                              <w:right w:val="nil"/>
                            </w:tcBorders>
                            <w:hideMark/>
                          </w:tcPr>
                          <w:p w14:paraId="300001D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114.8 </w:t>
                            </w:r>
                          </w:p>
                        </w:tc>
                        <w:tc>
                          <w:tcPr>
                            <w:tcW w:w="542" w:type="pct"/>
                            <w:tcBorders>
                              <w:top w:val="nil"/>
                              <w:left w:val="nil"/>
                              <w:bottom w:val="nil"/>
                              <w:right w:val="nil"/>
                            </w:tcBorders>
                            <w:hideMark/>
                          </w:tcPr>
                          <w:p w14:paraId="0B5410F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104.9 </w:t>
                            </w:r>
                          </w:p>
                        </w:tc>
                        <w:tc>
                          <w:tcPr>
                            <w:tcW w:w="542" w:type="pct"/>
                            <w:tcBorders>
                              <w:top w:val="nil"/>
                              <w:left w:val="nil"/>
                              <w:bottom w:val="nil"/>
                              <w:right w:val="nil"/>
                            </w:tcBorders>
                            <w:hideMark/>
                          </w:tcPr>
                          <w:p w14:paraId="331AB3F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106.7 </w:t>
                            </w:r>
                          </w:p>
                        </w:tc>
                      </w:tr>
                      <w:tr w:rsidR="0055289D" w:rsidRPr="0055289D" w14:paraId="24F3A9AC" w14:textId="77777777" w:rsidTr="0055289D">
                        <w:trPr>
                          <w:trHeight w:val="204"/>
                        </w:trPr>
                        <w:tc>
                          <w:tcPr>
                            <w:tcW w:w="1748" w:type="pct"/>
                            <w:tcBorders>
                              <w:top w:val="nil"/>
                              <w:left w:val="nil"/>
                              <w:bottom w:val="nil"/>
                              <w:right w:val="nil"/>
                            </w:tcBorders>
                            <w:noWrap/>
                            <w:hideMark/>
                          </w:tcPr>
                          <w:p w14:paraId="616ECCB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Days Payable Out.</w:t>
                            </w:r>
                          </w:p>
                        </w:tc>
                        <w:tc>
                          <w:tcPr>
                            <w:tcW w:w="542" w:type="pct"/>
                            <w:tcBorders>
                              <w:top w:val="nil"/>
                              <w:left w:val="nil"/>
                              <w:bottom w:val="nil"/>
                              <w:right w:val="nil"/>
                            </w:tcBorders>
                            <w:hideMark/>
                          </w:tcPr>
                          <w:p w14:paraId="72B01C0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119.6 </w:t>
                            </w:r>
                          </w:p>
                        </w:tc>
                        <w:tc>
                          <w:tcPr>
                            <w:tcW w:w="542" w:type="pct"/>
                            <w:tcBorders>
                              <w:top w:val="nil"/>
                              <w:left w:val="nil"/>
                              <w:bottom w:val="nil"/>
                              <w:right w:val="nil"/>
                            </w:tcBorders>
                            <w:hideMark/>
                          </w:tcPr>
                          <w:p w14:paraId="69306EC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111.1 </w:t>
                            </w:r>
                          </w:p>
                        </w:tc>
                        <w:tc>
                          <w:tcPr>
                            <w:tcW w:w="542" w:type="pct"/>
                            <w:tcBorders>
                              <w:top w:val="nil"/>
                              <w:left w:val="nil"/>
                              <w:bottom w:val="nil"/>
                              <w:right w:val="nil"/>
                            </w:tcBorders>
                            <w:hideMark/>
                          </w:tcPr>
                          <w:p w14:paraId="02164B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113.2 </w:t>
                            </w:r>
                          </w:p>
                        </w:tc>
                        <w:tc>
                          <w:tcPr>
                            <w:tcW w:w="542" w:type="pct"/>
                            <w:tcBorders>
                              <w:top w:val="nil"/>
                              <w:left w:val="nil"/>
                              <w:bottom w:val="nil"/>
                              <w:right w:val="nil"/>
                            </w:tcBorders>
                            <w:hideMark/>
                          </w:tcPr>
                          <w:p w14:paraId="2C67590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140.4 </w:t>
                            </w:r>
                          </w:p>
                        </w:tc>
                        <w:tc>
                          <w:tcPr>
                            <w:tcW w:w="542" w:type="pct"/>
                            <w:tcBorders>
                              <w:top w:val="nil"/>
                              <w:left w:val="nil"/>
                              <w:bottom w:val="nil"/>
                              <w:right w:val="nil"/>
                            </w:tcBorders>
                            <w:hideMark/>
                          </w:tcPr>
                          <w:p w14:paraId="13CE718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130.9 </w:t>
                            </w:r>
                          </w:p>
                        </w:tc>
                        <w:tc>
                          <w:tcPr>
                            <w:tcW w:w="542" w:type="pct"/>
                            <w:tcBorders>
                              <w:top w:val="nil"/>
                              <w:left w:val="nil"/>
                              <w:bottom w:val="nil"/>
                              <w:right w:val="nil"/>
                            </w:tcBorders>
                            <w:hideMark/>
                          </w:tcPr>
                          <w:p w14:paraId="71E623A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130.6 </w:t>
                            </w:r>
                          </w:p>
                        </w:tc>
                      </w:tr>
                      <w:tr w:rsidR="0055289D" w:rsidRPr="0055289D" w14:paraId="128B955D" w14:textId="77777777" w:rsidTr="0055289D">
                        <w:trPr>
                          <w:trHeight w:val="204"/>
                        </w:trPr>
                        <w:tc>
                          <w:tcPr>
                            <w:tcW w:w="1748" w:type="pct"/>
                            <w:tcBorders>
                              <w:top w:val="nil"/>
                              <w:left w:val="nil"/>
                              <w:bottom w:val="nil"/>
                              <w:right w:val="nil"/>
                            </w:tcBorders>
                            <w:noWrap/>
                            <w:hideMark/>
                          </w:tcPr>
                          <w:p w14:paraId="32C0EED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Avg. Cash Conversion Cycle</w:t>
                            </w:r>
                          </w:p>
                        </w:tc>
                        <w:tc>
                          <w:tcPr>
                            <w:tcW w:w="542" w:type="pct"/>
                            <w:tcBorders>
                              <w:top w:val="nil"/>
                              <w:left w:val="nil"/>
                              <w:bottom w:val="nil"/>
                              <w:right w:val="nil"/>
                            </w:tcBorders>
                            <w:hideMark/>
                          </w:tcPr>
                          <w:p w14:paraId="2E97B9A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15.3 </w:t>
                            </w:r>
                          </w:p>
                        </w:tc>
                        <w:tc>
                          <w:tcPr>
                            <w:tcW w:w="542" w:type="pct"/>
                            <w:tcBorders>
                              <w:top w:val="nil"/>
                              <w:left w:val="nil"/>
                              <w:bottom w:val="nil"/>
                              <w:right w:val="nil"/>
                            </w:tcBorders>
                            <w:hideMark/>
                          </w:tcPr>
                          <w:p w14:paraId="0DB8EAD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36.2 </w:t>
                            </w:r>
                          </w:p>
                        </w:tc>
                        <w:tc>
                          <w:tcPr>
                            <w:tcW w:w="542" w:type="pct"/>
                            <w:tcBorders>
                              <w:top w:val="nil"/>
                              <w:left w:val="nil"/>
                              <w:bottom w:val="nil"/>
                              <w:right w:val="nil"/>
                            </w:tcBorders>
                            <w:hideMark/>
                          </w:tcPr>
                          <w:p w14:paraId="0A16316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74.3 </w:t>
                            </w:r>
                          </w:p>
                        </w:tc>
                        <w:tc>
                          <w:tcPr>
                            <w:tcW w:w="542" w:type="pct"/>
                            <w:tcBorders>
                              <w:top w:val="nil"/>
                              <w:left w:val="nil"/>
                              <w:bottom w:val="nil"/>
                              <w:right w:val="nil"/>
                            </w:tcBorders>
                            <w:hideMark/>
                          </w:tcPr>
                          <w:p w14:paraId="1071A9C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65.9 </w:t>
                            </w:r>
                          </w:p>
                        </w:tc>
                        <w:tc>
                          <w:tcPr>
                            <w:tcW w:w="542" w:type="pct"/>
                            <w:tcBorders>
                              <w:top w:val="nil"/>
                              <w:left w:val="nil"/>
                              <w:bottom w:val="nil"/>
                              <w:right w:val="nil"/>
                            </w:tcBorders>
                            <w:hideMark/>
                          </w:tcPr>
                          <w:p w14:paraId="738A6EE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55.9 </w:t>
                            </w:r>
                          </w:p>
                        </w:tc>
                        <w:tc>
                          <w:tcPr>
                            <w:tcW w:w="542" w:type="pct"/>
                            <w:tcBorders>
                              <w:top w:val="nil"/>
                              <w:left w:val="nil"/>
                              <w:bottom w:val="nil"/>
                              <w:right w:val="nil"/>
                            </w:tcBorders>
                            <w:hideMark/>
                          </w:tcPr>
                          <w:p w14:paraId="20CDCF0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36.9 </w:t>
                            </w:r>
                          </w:p>
                        </w:tc>
                      </w:tr>
                      <w:tr w:rsidR="0055289D" w:rsidRPr="0055289D" w14:paraId="528A138F" w14:textId="77777777" w:rsidTr="0055289D">
                        <w:trPr>
                          <w:trHeight w:val="204"/>
                        </w:trPr>
                        <w:tc>
                          <w:tcPr>
                            <w:tcW w:w="1748" w:type="pct"/>
                            <w:tcBorders>
                              <w:top w:val="nil"/>
                              <w:left w:val="nil"/>
                              <w:bottom w:val="nil"/>
                              <w:right w:val="nil"/>
                            </w:tcBorders>
                            <w:noWrap/>
                            <w:hideMark/>
                          </w:tcPr>
                          <w:p w14:paraId="0FEDBA26"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r w:rsidRPr="0055289D">
                              <w:rPr>
                                <w:rFonts w:ascii="Cambria" w:eastAsia="Times New Roman" w:hAnsi="Cambria" w:cs="Arial"/>
                                <w:b/>
                                <w:bCs/>
                                <w:color w:val="000000"/>
                                <w:kern w:val="0"/>
                                <w:sz w:val="14"/>
                                <w:szCs w:val="14"/>
                                <w:lang w:eastAsia="en-IN"/>
                                <w14:ligatures w14:val="none"/>
                              </w:rPr>
                              <w:t>Long Term Solvency</w:t>
                            </w:r>
                          </w:p>
                        </w:tc>
                        <w:tc>
                          <w:tcPr>
                            <w:tcW w:w="542" w:type="pct"/>
                            <w:tcBorders>
                              <w:top w:val="nil"/>
                              <w:left w:val="nil"/>
                              <w:bottom w:val="nil"/>
                              <w:right w:val="nil"/>
                            </w:tcBorders>
                            <w:noWrap/>
                            <w:hideMark/>
                          </w:tcPr>
                          <w:p w14:paraId="2E0B0179" w14:textId="77777777" w:rsidR="0055289D" w:rsidRPr="0055289D" w:rsidRDefault="0055289D" w:rsidP="0055289D">
                            <w:pPr>
                              <w:spacing w:after="0" w:line="240" w:lineRule="auto"/>
                              <w:rPr>
                                <w:rFonts w:ascii="Cambria" w:eastAsia="Times New Roman" w:hAnsi="Cambria" w:cs="Arial"/>
                                <w:b/>
                                <w:bCs/>
                                <w:color w:val="000000"/>
                                <w:kern w:val="0"/>
                                <w:sz w:val="14"/>
                                <w:szCs w:val="14"/>
                                <w:lang w:eastAsia="en-IN"/>
                                <w14:ligatures w14:val="none"/>
                              </w:rPr>
                            </w:pPr>
                          </w:p>
                        </w:tc>
                        <w:tc>
                          <w:tcPr>
                            <w:tcW w:w="542" w:type="pct"/>
                            <w:tcBorders>
                              <w:top w:val="nil"/>
                              <w:left w:val="nil"/>
                              <w:bottom w:val="nil"/>
                              <w:right w:val="nil"/>
                            </w:tcBorders>
                            <w:noWrap/>
                            <w:hideMark/>
                          </w:tcPr>
                          <w:p w14:paraId="7744453D"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11211D8A"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3E76EBA8"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733B7288"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c>
                          <w:tcPr>
                            <w:tcW w:w="542" w:type="pct"/>
                            <w:tcBorders>
                              <w:top w:val="nil"/>
                              <w:left w:val="nil"/>
                              <w:bottom w:val="nil"/>
                              <w:right w:val="nil"/>
                            </w:tcBorders>
                            <w:noWrap/>
                            <w:hideMark/>
                          </w:tcPr>
                          <w:p w14:paraId="4AA5B7D4" w14:textId="77777777" w:rsidR="0055289D" w:rsidRPr="0055289D" w:rsidRDefault="0055289D" w:rsidP="0055289D">
                            <w:pPr>
                              <w:spacing w:after="0" w:line="240" w:lineRule="auto"/>
                              <w:rPr>
                                <w:rFonts w:ascii="Cambria" w:eastAsia="Times New Roman" w:hAnsi="Cambria" w:cs="Times New Roman"/>
                                <w:kern w:val="0"/>
                                <w:sz w:val="14"/>
                                <w:szCs w:val="14"/>
                                <w:lang w:eastAsia="en-IN"/>
                                <w14:ligatures w14:val="none"/>
                              </w:rPr>
                            </w:pPr>
                          </w:p>
                        </w:tc>
                      </w:tr>
                      <w:tr w:rsidR="0055289D" w:rsidRPr="0055289D" w14:paraId="605D6823" w14:textId="77777777" w:rsidTr="0055289D">
                        <w:trPr>
                          <w:trHeight w:val="204"/>
                        </w:trPr>
                        <w:tc>
                          <w:tcPr>
                            <w:tcW w:w="1748" w:type="pct"/>
                            <w:tcBorders>
                              <w:top w:val="nil"/>
                              <w:left w:val="nil"/>
                              <w:bottom w:val="nil"/>
                              <w:right w:val="nil"/>
                            </w:tcBorders>
                            <w:noWrap/>
                            <w:hideMark/>
                          </w:tcPr>
                          <w:p w14:paraId="161D431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Debt/Equity</w:t>
                            </w:r>
                          </w:p>
                        </w:tc>
                        <w:tc>
                          <w:tcPr>
                            <w:tcW w:w="542" w:type="pct"/>
                            <w:tcBorders>
                              <w:top w:val="nil"/>
                              <w:left w:val="nil"/>
                              <w:bottom w:val="nil"/>
                              <w:right w:val="nil"/>
                            </w:tcBorders>
                            <w:hideMark/>
                          </w:tcPr>
                          <w:p w14:paraId="7BA3CA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41.4% </w:t>
                            </w:r>
                          </w:p>
                        </w:tc>
                        <w:tc>
                          <w:tcPr>
                            <w:tcW w:w="542" w:type="pct"/>
                            <w:tcBorders>
                              <w:top w:val="nil"/>
                              <w:left w:val="nil"/>
                              <w:bottom w:val="nil"/>
                              <w:right w:val="nil"/>
                            </w:tcBorders>
                            <w:hideMark/>
                          </w:tcPr>
                          <w:p w14:paraId="558983D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57.5% </w:t>
                            </w:r>
                          </w:p>
                        </w:tc>
                        <w:tc>
                          <w:tcPr>
                            <w:tcW w:w="542" w:type="pct"/>
                            <w:tcBorders>
                              <w:top w:val="nil"/>
                              <w:left w:val="nil"/>
                              <w:bottom w:val="nil"/>
                              <w:right w:val="nil"/>
                            </w:tcBorders>
                            <w:hideMark/>
                          </w:tcPr>
                          <w:p w14:paraId="1793DC7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91.0% </w:t>
                            </w:r>
                          </w:p>
                        </w:tc>
                        <w:tc>
                          <w:tcPr>
                            <w:tcW w:w="542" w:type="pct"/>
                            <w:tcBorders>
                              <w:top w:val="nil"/>
                              <w:left w:val="nil"/>
                              <w:bottom w:val="nil"/>
                              <w:right w:val="nil"/>
                            </w:tcBorders>
                            <w:hideMark/>
                          </w:tcPr>
                          <w:p w14:paraId="1E7EC49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101.4% </w:t>
                            </w:r>
                          </w:p>
                        </w:tc>
                        <w:tc>
                          <w:tcPr>
                            <w:tcW w:w="542" w:type="pct"/>
                            <w:tcBorders>
                              <w:top w:val="nil"/>
                              <w:left w:val="nil"/>
                              <w:bottom w:val="nil"/>
                              <w:right w:val="nil"/>
                            </w:tcBorders>
                            <w:hideMark/>
                          </w:tcPr>
                          <w:p w14:paraId="004971A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113.8% </w:t>
                            </w:r>
                          </w:p>
                        </w:tc>
                        <w:tc>
                          <w:tcPr>
                            <w:tcW w:w="542" w:type="pct"/>
                            <w:tcBorders>
                              <w:top w:val="nil"/>
                              <w:left w:val="nil"/>
                              <w:bottom w:val="nil"/>
                              <w:right w:val="nil"/>
                            </w:tcBorders>
                            <w:hideMark/>
                          </w:tcPr>
                          <w:p w14:paraId="1C9A23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75.7% </w:t>
                            </w:r>
                          </w:p>
                        </w:tc>
                      </w:tr>
                      <w:tr w:rsidR="0055289D" w:rsidRPr="0055289D" w14:paraId="740A45B5" w14:textId="77777777" w:rsidTr="0055289D">
                        <w:trPr>
                          <w:trHeight w:val="204"/>
                        </w:trPr>
                        <w:tc>
                          <w:tcPr>
                            <w:tcW w:w="1748" w:type="pct"/>
                            <w:tcBorders>
                              <w:top w:val="nil"/>
                              <w:left w:val="nil"/>
                              <w:bottom w:val="nil"/>
                              <w:right w:val="nil"/>
                            </w:tcBorders>
                            <w:noWrap/>
                            <w:hideMark/>
                          </w:tcPr>
                          <w:p w14:paraId="7A70F30F"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Debt/Capital</w:t>
                            </w:r>
                          </w:p>
                        </w:tc>
                        <w:tc>
                          <w:tcPr>
                            <w:tcW w:w="542" w:type="pct"/>
                            <w:tcBorders>
                              <w:top w:val="nil"/>
                              <w:left w:val="nil"/>
                              <w:bottom w:val="nil"/>
                              <w:right w:val="nil"/>
                            </w:tcBorders>
                            <w:hideMark/>
                          </w:tcPr>
                          <w:p w14:paraId="5A2979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29.3% </w:t>
                            </w:r>
                          </w:p>
                        </w:tc>
                        <w:tc>
                          <w:tcPr>
                            <w:tcW w:w="542" w:type="pct"/>
                            <w:tcBorders>
                              <w:top w:val="nil"/>
                              <w:left w:val="nil"/>
                              <w:bottom w:val="nil"/>
                              <w:right w:val="nil"/>
                            </w:tcBorders>
                            <w:hideMark/>
                          </w:tcPr>
                          <w:p w14:paraId="041FDD7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36.5% </w:t>
                            </w:r>
                          </w:p>
                        </w:tc>
                        <w:tc>
                          <w:tcPr>
                            <w:tcW w:w="542" w:type="pct"/>
                            <w:tcBorders>
                              <w:top w:val="nil"/>
                              <w:left w:val="nil"/>
                              <w:bottom w:val="nil"/>
                              <w:right w:val="nil"/>
                            </w:tcBorders>
                            <w:hideMark/>
                          </w:tcPr>
                          <w:p w14:paraId="557ED05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47.7% </w:t>
                            </w:r>
                          </w:p>
                        </w:tc>
                        <w:tc>
                          <w:tcPr>
                            <w:tcW w:w="542" w:type="pct"/>
                            <w:tcBorders>
                              <w:top w:val="nil"/>
                              <w:left w:val="nil"/>
                              <w:bottom w:val="nil"/>
                              <w:right w:val="nil"/>
                            </w:tcBorders>
                            <w:hideMark/>
                          </w:tcPr>
                          <w:p w14:paraId="7D0AFAA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50.4% </w:t>
                            </w:r>
                          </w:p>
                        </w:tc>
                        <w:tc>
                          <w:tcPr>
                            <w:tcW w:w="542" w:type="pct"/>
                            <w:tcBorders>
                              <w:top w:val="nil"/>
                              <w:left w:val="nil"/>
                              <w:bottom w:val="nil"/>
                              <w:right w:val="nil"/>
                            </w:tcBorders>
                            <w:hideMark/>
                          </w:tcPr>
                          <w:p w14:paraId="293EFE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53.2% </w:t>
                            </w:r>
                          </w:p>
                        </w:tc>
                        <w:tc>
                          <w:tcPr>
                            <w:tcW w:w="542" w:type="pct"/>
                            <w:tcBorders>
                              <w:top w:val="nil"/>
                              <w:left w:val="nil"/>
                              <w:bottom w:val="nil"/>
                              <w:right w:val="nil"/>
                            </w:tcBorders>
                            <w:hideMark/>
                          </w:tcPr>
                          <w:p w14:paraId="70B893C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43.1% </w:t>
                            </w:r>
                          </w:p>
                        </w:tc>
                      </w:tr>
                      <w:tr w:rsidR="0055289D" w:rsidRPr="0055289D" w14:paraId="7B7D8057" w14:textId="77777777" w:rsidTr="0055289D">
                        <w:trPr>
                          <w:trHeight w:val="204"/>
                        </w:trPr>
                        <w:tc>
                          <w:tcPr>
                            <w:tcW w:w="1748" w:type="pct"/>
                            <w:tcBorders>
                              <w:top w:val="nil"/>
                              <w:left w:val="nil"/>
                              <w:bottom w:val="nil"/>
                              <w:right w:val="nil"/>
                            </w:tcBorders>
                            <w:noWrap/>
                            <w:hideMark/>
                          </w:tcPr>
                          <w:p w14:paraId="492119E1"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LT Debt/Equity</w:t>
                            </w:r>
                          </w:p>
                        </w:tc>
                        <w:tc>
                          <w:tcPr>
                            <w:tcW w:w="542" w:type="pct"/>
                            <w:tcBorders>
                              <w:top w:val="nil"/>
                              <w:left w:val="nil"/>
                              <w:bottom w:val="nil"/>
                              <w:right w:val="nil"/>
                            </w:tcBorders>
                            <w:hideMark/>
                          </w:tcPr>
                          <w:p w14:paraId="15EAA09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36.9% </w:t>
                            </w:r>
                          </w:p>
                        </w:tc>
                        <w:tc>
                          <w:tcPr>
                            <w:tcW w:w="542" w:type="pct"/>
                            <w:tcBorders>
                              <w:top w:val="nil"/>
                              <w:left w:val="nil"/>
                              <w:bottom w:val="nil"/>
                              <w:right w:val="nil"/>
                            </w:tcBorders>
                            <w:hideMark/>
                          </w:tcPr>
                          <w:p w14:paraId="651F57C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30.0% </w:t>
                            </w:r>
                          </w:p>
                        </w:tc>
                        <w:tc>
                          <w:tcPr>
                            <w:tcW w:w="542" w:type="pct"/>
                            <w:tcBorders>
                              <w:top w:val="nil"/>
                              <w:left w:val="nil"/>
                              <w:bottom w:val="nil"/>
                              <w:right w:val="nil"/>
                            </w:tcBorders>
                            <w:hideMark/>
                          </w:tcPr>
                          <w:p w14:paraId="7E7783D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83.5% </w:t>
                            </w:r>
                          </w:p>
                        </w:tc>
                        <w:tc>
                          <w:tcPr>
                            <w:tcW w:w="542" w:type="pct"/>
                            <w:tcBorders>
                              <w:top w:val="nil"/>
                              <w:left w:val="nil"/>
                              <w:bottom w:val="nil"/>
                              <w:right w:val="nil"/>
                            </w:tcBorders>
                            <w:hideMark/>
                          </w:tcPr>
                          <w:p w14:paraId="4A090C4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94.5% </w:t>
                            </w:r>
                          </w:p>
                        </w:tc>
                        <w:tc>
                          <w:tcPr>
                            <w:tcW w:w="542" w:type="pct"/>
                            <w:tcBorders>
                              <w:top w:val="nil"/>
                              <w:left w:val="nil"/>
                              <w:bottom w:val="nil"/>
                              <w:right w:val="nil"/>
                            </w:tcBorders>
                            <w:hideMark/>
                          </w:tcPr>
                          <w:p w14:paraId="58288C0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77.7% </w:t>
                            </w:r>
                          </w:p>
                        </w:tc>
                        <w:tc>
                          <w:tcPr>
                            <w:tcW w:w="542" w:type="pct"/>
                            <w:tcBorders>
                              <w:top w:val="nil"/>
                              <w:left w:val="nil"/>
                              <w:bottom w:val="nil"/>
                              <w:right w:val="nil"/>
                            </w:tcBorders>
                            <w:hideMark/>
                          </w:tcPr>
                          <w:p w14:paraId="268FF38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65.7% </w:t>
                            </w:r>
                          </w:p>
                        </w:tc>
                      </w:tr>
                      <w:tr w:rsidR="0055289D" w:rsidRPr="0055289D" w14:paraId="3B9ED0A8" w14:textId="77777777" w:rsidTr="0055289D">
                        <w:trPr>
                          <w:trHeight w:val="204"/>
                        </w:trPr>
                        <w:tc>
                          <w:tcPr>
                            <w:tcW w:w="1748" w:type="pct"/>
                            <w:tcBorders>
                              <w:top w:val="nil"/>
                              <w:left w:val="nil"/>
                              <w:bottom w:val="nil"/>
                              <w:right w:val="nil"/>
                            </w:tcBorders>
                            <w:noWrap/>
                            <w:hideMark/>
                          </w:tcPr>
                          <w:p w14:paraId="18B179B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LT Debt/Capital</w:t>
                            </w:r>
                          </w:p>
                        </w:tc>
                        <w:tc>
                          <w:tcPr>
                            <w:tcW w:w="542" w:type="pct"/>
                            <w:tcBorders>
                              <w:top w:val="nil"/>
                              <w:left w:val="nil"/>
                              <w:bottom w:val="nil"/>
                              <w:right w:val="nil"/>
                            </w:tcBorders>
                            <w:hideMark/>
                          </w:tcPr>
                          <w:p w14:paraId="6B9697A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26.1% </w:t>
                            </w:r>
                          </w:p>
                        </w:tc>
                        <w:tc>
                          <w:tcPr>
                            <w:tcW w:w="542" w:type="pct"/>
                            <w:tcBorders>
                              <w:top w:val="nil"/>
                              <w:left w:val="nil"/>
                              <w:bottom w:val="nil"/>
                              <w:right w:val="nil"/>
                            </w:tcBorders>
                            <w:hideMark/>
                          </w:tcPr>
                          <w:p w14:paraId="0B45A4E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19.0% </w:t>
                            </w:r>
                          </w:p>
                        </w:tc>
                        <w:tc>
                          <w:tcPr>
                            <w:tcW w:w="542" w:type="pct"/>
                            <w:tcBorders>
                              <w:top w:val="nil"/>
                              <w:left w:val="nil"/>
                              <w:bottom w:val="nil"/>
                              <w:right w:val="nil"/>
                            </w:tcBorders>
                            <w:hideMark/>
                          </w:tcPr>
                          <w:p w14:paraId="09D449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43.7% </w:t>
                            </w:r>
                          </w:p>
                        </w:tc>
                        <w:tc>
                          <w:tcPr>
                            <w:tcW w:w="542" w:type="pct"/>
                            <w:tcBorders>
                              <w:top w:val="nil"/>
                              <w:left w:val="nil"/>
                              <w:bottom w:val="nil"/>
                              <w:right w:val="nil"/>
                            </w:tcBorders>
                            <w:hideMark/>
                          </w:tcPr>
                          <w:p w14:paraId="3008F91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46.9% </w:t>
                            </w:r>
                          </w:p>
                        </w:tc>
                        <w:tc>
                          <w:tcPr>
                            <w:tcW w:w="542" w:type="pct"/>
                            <w:tcBorders>
                              <w:top w:val="nil"/>
                              <w:left w:val="nil"/>
                              <w:bottom w:val="nil"/>
                              <w:right w:val="nil"/>
                            </w:tcBorders>
                            <w:hideMark/>
                          </w:tcPr>
                          <w:p w14:paraId="6349308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36.4% </w:t>
                            </w:r>
                          </w:p>
                        </w:tc>
                        <w:tc>
                          <w:tcPr>
                            <w:tcW w:w="542" w:type="pct"/>
                            <w:tcBorders>
                              <w:top w:val="nil"/>
                              <w:left w:val="nil"/>
                              <w:bottom w:val="nil"/>
                              <w:right w:val="nil"/>
                            </w:tcBorders>
                            <w:hideMark/>
                          </w:tcPr>
                          <w:p w14:paraId="09D7ECA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37.4% </w:t>
                            </w:r>
                          </w:p>
                        </w:tc>
                      </w:tr>
                      <w:tr w:rsidR="0055289D" w:rsidRPr="0055289D" w14:paraId="27E7F5AD" w14:textId="77777777" w:rsidTr="0055289D">
                        <w:trPr>
                          <w:trHeight w:val="204"/>
                        </w:trPr>
                        <w:tc>
                          <w:tcPr>
                            <w:tcW w:w="1748" w:type="pct"/>
                            <w:tcBorders>
                              <w:top w:val="nil"/>
                              <w:left w:val="nil"/>
                              <w:bottom w:val="nil"/>
                              <w:right w:val="nil"/>
                            </w:tcBorders>
                            <w:noWrap/>
                            <w:hideMark/>
                          </w:tcPr>
                          <w:p w14:paraId="56B79EE3"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Liabilities/Total Assets</w:t>
                            </w:r>
                          </w:p>
                        </w:tc>
                        <w:tc>
                          <w:tcPr>
                            <w:tcW w:w="542" w:type="pct"/>
                            <w:tcBorders>
                              <w:top w:val="nil"/>
                              <w:left w:val="nil"/>
                              <w:bottom w:val="nil"/>
                              <w:right w:val="nil"/>
                            </w:tcBorders>
                            <w:hideMark/>
                          </w:tcPr>
                          <w:p w14:paraId="5D574CD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61.8% </w:t>
                            </w:r>
                          </w:p>
                        </w:tc>
                        <w:tc>
                          <w:tcPr>
                            <w:tcW w:w="542" w:type="pct"/>
                            <w:tcBorders>
                              <w:top w:val="nil"/>
                              <w:left w:val="nil"/>
                              <w:bottom w:val="nil"/>
                              <w:right w:val="nil"/>
                            </w:tcBorders>
                            <w:hideMark/>
                          </w:tcPr>
                          <w:p w14:paraId="792BE74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70.3% </w:t>
                            </w:r>
                          </w:p>
                        </w:tc>
                        <w:tc>
                          <w:tcPr>
                            <w:tcW w:w="542" w:type="pct"/>
                            <w:tcBorders>
                              <w:top w:val="nil"/>
                              <w:left w:val="nil"/>
                              <w:bottom w:val="nil"/>
                              <w:right w:val="nil"/>
                            </w:tcBorders>
                            <w:hideMark/>
                          </w:tcPr>
                          <w:p w14:paraId="2453EBA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70.7% </w:t>
                            </w:r>
                          </w:p>
                        </w:tc>
                        <w:tc>
                          <w:tcPr>
                            <w:tcW w:w="542" w:type="pct"/>
                            <w:tcBorders>
                              <w:top w:val="nil"/>
                              <w:left w:val="nil"/>
                              <w:bottom w:val="nil"/>
                              <w:right w:val="nil"/>
                            </w:tcBorders>
                            <w:hideMark/>
                          </w:tcPr>
                          <w:p w14:paraId="428438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71.8% </w:t>
                            </w:r>
                          </w:p>
                        </w:tc>
                        <w:tc>
                          <w:tcPr>
                            <w:tcW w:w="542" w:type="pct"/>
                            <w:tcBorders>
                              <w:top w:val="nil"/>
                              <w:left w:val="nil"/>
                              <w:bottom w:val="nil"/>
                              <w:right w:val="nil"/>
                            </w:tcBorders>
                            <w:hideMark/>
                          </w:tcPr>
                          <w:p w14:paraId="65713C5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74.3% </w:t>
                            </w:r>
                          </w:p>
                        </w:tc>
                        <w:tc>
                          <w:tcPr>
                            <w:tcW w:w="542" w:type="pct"/>
                            <w:tcBorders>
                              <w:top w:val="nil"/>
                              <w:left w:val="nil"/>
                              <w:bottom w:val="nil"/>
                              <w:right w:val="nil"/>
                            </w:tcBorders>
                            <w:hideMark/>
                          </w:tcPr>
                          <w:p w14:paraId="4423AE7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69.0% </w:t>
                            </w:r>
                          </w:p>
                        </w:tc>
                      </w:tr>
                      <w:tr w:rsidR="0055289D" w:rsidRPr="0055289D" w14:paraId="4AA408AF" w14:textId="77777777" w:rsidTr="0055289D">
                        <w:trPr>
                          <w:trHeight w:val="204"/>
                        </w:trPr>
                        <w:tc>
                          <w:tcPr>
                            <w:tcW w:w="1748" w:type="pct"/>
                            <w:tcBorders>
                              <w:top w:val="nil"/>
                              <w:left w:val="nil"/>
                              <w:bottom w:val="nil"/>
                              <w:right w:val="nil"/>
                            </w:tcBorders>
                            <w:noWrap/>
                            <w:hideMark/>
                          </w:tcPr>
                          <w:p w14:paraId="08C8B26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 / Interest Exp.</w:t>
                            </w:r>
                          </w:p>
                        </w:tc>
                        <w:tc>
                          <w:tcPr>
                            <w:tcW w:w="542" w:type="pct"/>
                            <w:tcBorders>
                              <w:top w:val="nil"/>
                              <w:left w:val="nil"/>
                              <w:bottom w:val="nil"/>
                              <w:right w:val="nil"/>
                            </w:tcBorders>
                            <w:hideMark/>
                          </w:tcPr>
                          <w:p w14:paraId="1671215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0D18CD1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2.5x</w:t>
                            </w:r>
                          </w:p>
                        </w:tc>
                        <w:tc>
                          <w:tcPr>
                            <w:tcW w:w="542" w:type="pct"/>
                            <w:tcBorders>
                              <w:top w:val="nil"/>
                              <w:left w:val="nil"/>
                              <w:bottom w:val="nil"/>
                              <w:right w:val="nil"/>
                            </w:tcBorders>
                            <w:hideMark/>
                          </w:tcPr>
                          <w:p w14:paraId="0B81A87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0.3x</w:t>
                            </w:r>
                          </w:p>
                        </w:tc>
                        <w:tc>
                          <w:tcPr>
                            <w:tcW w:w="542" w:type="pct"/>
                            <w:tcBorders>
                              <w:top w:val="nil"/>
                              <w:left w:val="nil"/>
                              <w:bottom w:val="nil"/>
                              <w:right w:val="nil"/>
                            </w:tcBorders>
                            <w:hideMark/>
                          </w:tcPr>
                          <w:p w14:paraId="082838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0.7x</w:t>
                            </w:r>
                          </w:p>
                        </w:tc>
                        <w:tc>
                          <w:tcPr>
                            <w:tcW w:w="542" w:type="pct"/>
                            <w:tcBorders>
                              <w:top w:val="nil"/>
                              <w:left w:val="nil"/>
                              <w:bottom w:val="nil"/>
                              <w:right w:val="nil"/>
                            </w:tcBorders>
                            <w:hideMark/>
                          </w:tcPr>
                          <w:p w14:paraId="0A0FD98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1D185C9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r>
                      <w:tr w:rsidR="0055289D" w:rsidRPr="0055289D" w14:paraId="52FD76FA" w14:textId="77777777" w:rsidTr="0055289D">
                        <w:trPr>
                          <w:trHeight w:val="204"/>
                        </w:trPr>
                        <w:tc>
                          <w:tcPr>
                            <w:tcW w:w="1748" w:type="pct"/>
                            <w:tcBorders>
                              <w:top w:val="nil"/>
                              <w:left w:val="nil"/>
                              <w:bottom w:val="nil"/>
                              <w:right w:val="nil"/>
                            </w:tcBorders>
                            <w:noWrap/>
                            <w:hideMark/>
                          </w:tcPr>
                          <w:p w14:paraId="11EDEB88"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 / Interest Exp.</w:t>
                            </w:r>
                          </w:p>
                        </w:tc>
                        <w:tc>
                          <w:tcPr>
                            <w:tcW w:w="542" w:type="pct"/>
                            <w:tcBorders>
                              <w:top w:val="nil"/>
                              <w:left w:val="nil"/>
                              <w:bottom w:val="nil"/>
                              <w:right w:val="nil"/>
                            </w:tcBorders>
                            <w:hideMark/>
                          </w:tcPr>
                          <w:p w14:paraId="6F717E9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5.3x</w:t>
                            </w:r>
                          </w:p>
                        </w:tc>
                        <w:tc>
                          <w:tcPr>
                            <w:tcW w:w="542" w:type="pct"/>
                            <w:tcBorders>
                              <w:top w:val="nil"/>
                              <w:left w:val="nil"/>
                              <w:bottom w:val="nil"/>
                              <w:right w:val="nil"/>
                            </w:tcBorders>
                            <w:hideMark/>
                          </w:tcPr>
                          <w:p w14:paraId="7012844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4.8x</w:t>
                            </w:r>
                          </w:p>
                        </w:tc>
                        <w:tc>
                          <w:tcPr>
                            <w:tcW w:w="542" w:type="pct"/>
                            <w:tcBorders>
                              <w:top w:val="nil"/>
                              <w:left w:val="nil"/>
                              <w:bottom w:val="nil"/>
                              <w:right w:val="nil"/>
                            </w:tcBorders>
                            <w:hideMark/>
                          </w:tcPr>
                          <w:p w14:paraId="116989C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1.9x</w:t>
                            </w:r>
                          </w:p>
                        </w:tc>
                        <w:tc>
                          <w:tcPr>
                            <w:tcW w:w="542" w:type="pct"/>
                            <w:tcBorders>
                              <w:top w:val="nil"/>
                              <w:left w:val="nil"/>
                              <w:bottom w:val="nil"/>
                              <w:right w:val="nil"/>
                            </w:tcBorders>
                            <w:hideMark/>
                          </w:tcPr>
                          <w:p w14:paraId="18D6BBF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1.4x</w:t>
                            </w:r>
                          </w:p>
                        </w:tc>
                        <w:tc>
                          <w:tcPr>
                            <w:tcW w:w="542" w:type="pct"/>
                            <w:tcBorders>
                              <w:top w:val="nil"/>
                              <w:left w:val="nil"/>
                              <w:bottom w:val="nil"/>
                              <w:right w:val="nil"/>
                            </w:tcBorders>
                            <w:hideMark/>
                          </w:tcPr>
                          <w:p w14:paraId="00F56FB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0.3x</w:t>
                            </w:r>
                          </w:p>
                        </w:tc>
                        <w:tc>
                          <w:tcPr>
                            <w:tcW w:w="542" w:type="pct"/>
                            <w:tcBorders>
                              <w:top w:val="nil"/>
                              <w:left w:val="nil"/>
                              <w:bottom w:val="nil"/>
                              <w:right w:val="nil"/>
                            </w:tcBorders>
                            <w:hideMark/>
                          </w:tcPr>
                          <w:p w14:paraId="62CC4EF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2.1x</w:t>
                            </w:r>
                          </w:p>
                        </w:tc>
                      </w:tr>
                      <w:tr w:rsidR="0055289D" w:rsidRPr="0055289D" w14:paraId="0A2D5B59" w14:textId="77777777" w:rsidTr="0055289D">
                        <w:trPr>
                          <w:trHeight w:val="204"/>
                        </w:trPr>
                        <w:tc>
                          <w:tcPr>
                            <w:tcW w:w="1748" w:type="pct"/>
                            <w:tcBorders>
                              <w:top w:val="nil"/>
                              <w:left w:val="nil"/>
                              <w:bottom w:val="nil"/>
                              <w:right w:val="nil"/>
                            </w:tcBorders>
                            <w:noWrap/>
                            <w:hideMark/>
                          </w:tcPr>
                          <w:p w14:paraId="60CA2AB0"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(EBITDA-CAPEX) / Interest Exp.</w:t>
                            </w:r>
                          </w:p>
                        </w:tc>
                        <w:tc>
                          <w:tcPr>
                            <w:tcW w:w="542" w:type="pct"/>
                            <w:tcBorders>
                              <w:top w:val="nil"/>
                              <w:left w:val="nil"/>
                              <w:bottom w:val="nil"/>
                              <w:right w:val="nil"/>
                            </w:tcBorders>
                            <w:hideMark/>
                          </w:tcPr>
                          <w:p w14:paraId="46D481E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c>
                          <w:tcPr>
                            <w:tcW w:w="542" w:type="pct"/>
                            <w:tcBorders>
                              <w:top w:val="nil"/>
                              <w:left w:val="nil"/>
                              <w:bottom w:val="nil"/>
                              <w:right w:val="nil"/>
                            </w:tcBorders>
                            <w:hideMark/>
                          </w:tcPr>
                          <w:p w14:paraId="6189085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3.3x</w:t>
                            </w:r>
                          </w:p>
                        </w:tc>
                        <w:tc>
                          <w:tcPr>
                            <w:tcW w:w="542" w:type="pct"/>
                            <w:tcBorders>
                              <w:top w:val="nil"/>
                              <w:left w:val="nil"/>
                              <w:bottom w:val="nil"/>
                              <w:right w:val="nil"/>
                            </w:tcBorders>
                            <w:hideMark/>
                          </w:tcPr>
                          <w:p w14:paraId="61129227"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207DCF1E"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1.2x</w:t>
                            </w:r>
                          </w:p>
                        </w:tc>
                        <w:tc>
                          <w:tcPr>
                            <w:tcW w:w="542" w:type="pct"/>
                            <w:tcBorders>
                              <w:top w:val="nil"/>
                              <w:left w:val="nil"/>
                              <w:bottom w:val="nil"/>
                              <w:right w:val="nil"/>
                            </w:tcBorders>
                            <w:hideMark/>
                          </w:tcPr>
                          <w:p w14:paraId="157F696C"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0.2x</w:t>
                            </w:r>
                          </w:p>
                        </w:tc>
                        <w:tc>
                          <w:tcPr>
                            <w:tcW w:w="542" w:type="pct"/>
                            <w:tcBorders>
                              <w:top w:val="nil"/>
                              <w:left w:val="nil"/>
                              <w:bottom w:val="nil"/>
                              <w:right w:val="nil"/>
                            </w:tcBorders>
                            <w:hideMark/>
                          </w:tcPr>
                          <w:p w14:paraId="53FC1E9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1.9x</w:t>
                            </w:r>
                          </w:p>
                        </w:tc>
                      </w:tr>
                      <w:tr w:rsidR="0055289D" w:rsidRPr="0055289D" w14:paraId="30F2C58B" w14:textId="77777777" w:rsidTr="0055289D">
                        <w:trPr>
                          <w:trHeight w:val="204"/>
                        </w:trPr>
                        <w:tc>
                          <w:tcPr>
                            <w:tcW w:w="1748" w:type="pct"/>
                            <w:tcBorders>
                              <w:top w:val="nil"/>
                              <w:left w:val="nil"/>
                              <w:bottom w:val="nil"/>
                              <w:right w:val="nil"/>
                            </w:tcBorders>
                            <w:noWrap/>
                            <w:hideMark/>
                          </w:tcPr>
                          <w:p w14:paraId="0916216E"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Debt/EBITDA</w:t>
                            </w:r>
                          </w:p>
                        </w:tc>
                        <w:tc>
                          <w:tcPr>
                            <w:tcW w:w="542" w:type="pct"/>
                            <w:tcBorders>
                              <w:top w:val="nil"/>
                              <w:left w:val="nil"/>
                              <w:bottom w:val="nil"/>
                              <w:right w:val="nil"/>
                            </w:tcBorders>
                            <w:hideMark/>
                          </w:tcPr>
                          <w:p w14:paraId="310D200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2.5x</w:t>
                            </w:r>
                          </w:p>
                        </w:tc>
                        <w:tc>
                          <w:tcPr>
                            <w:tcW w:w="542" w:type="pct"/>
                            <w:tcBorders>
                              <w:top w:val="nil"/>
                              <w:left w:val="nil"/>
                              <w:bottom w:val="nil"/>
                              <w:right w:val="nil"/>
                            </w:tcBorders>
                            <w:hideMark/>
                          </w:tcPr>
                          <w:p w14:paraId="5F916BD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3.5x</w:t>
                            </w:r>
                          </w:p>
                        </w:tc>
                        <w:tc>
                          <w:tcPr>
                            <w:tcW w:w="542" w:type="pct"/>
                            <w:tcBorders>
                              <w:top w:val="nil"/>
                              <w:left w:val="nil"/>
                              <w:bottom w:val="nil"/>
                              <w:right w:val="nil"/>
                            </w:tcBorders>
                            <w:hideMark/>
                          </w:tcPr>
                          <w:p w14:paraId="68E276F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12.9x</w:t>
                            </w:r>
                          </w:p>
                        </w:tc>
                        <w:tc>
                          <w:tcPr>
                            <w:tcW w:w="542" w:type="pct"/>
                            <w:tcBorders>
                              <w:top w:val="nil"/>
                              <w:left w:val="nil"/>
                              <w:bottom w:val="nil"/>
                              <w:right w:val="nil"/>
                            </w:tcBorders>
                            <w:hideMark/>
                          </w:tcPr>
                          <w:p w14:paraId="52FA982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5.9x</w:t>
                            </w:r>
                          </w:p>
                        </w:tc>
                        <w:tc>
                          <w:tcPr>
                            <w:tcW w:w="542" w:type="pct"/>
                            <w:tcBorders>
                              <w:top w:val="nil"/>
                              <w:left w:val="nil"/>
                              <w:bottom w:val="nil"/>
                              <w:right w:val="nil"/>
                            </w:tcBorders>
                            <w:hideMark/>
                          </w:tcPr>
                          <w:p w14:paraId="72AAFEE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25.7x</w:t>
                            </w:r>
                          </w:p>
                        </w:tc>
                        <w:tc>
                          <w:tcPr>
                            <w:tcW w:w="542" w:type="pct"/>
                            <w:tcBorders>
                              <w:top w:val="nil"/>
                              <w:left w:val="nil"/>
                              <w:bottom w:val="nil"/>
                              <w:right w:val="nil"/>
                            </w:tcBorders>
                            <w:hideMark/>
                          </w:tcPr>
                          <w:p w14:paraId="2500F63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3.6x</w:t>
                            </w:r>
                          </w:p>
                        </w:tc>
                      </w:tr>
                      <w:tr w:rsidR="0055289D" w:rsidRPr="0055289D" w14:paraId="38792908" w14:textId="77777777" w:rsidTr="0055289D">
                        <w:trPr>
                          <w:trHeight w:val="204"/>
                        </w:trPr>
                        <w:tc>
                          <w:tcPr>
                            <w:tcW w:w="1748" w:type="pct"/>
                            <w:tcBorders>
                              <w:top w:val="nil"/>
                              <w:left w:val="nil"/>
                              <w:bottom w:val="nil"/>
                              <w:right w:val="nil"/>
                            </w:tcBorders>
                            <w:noWrap/>
                            <w:hideMark/>
                          </w:tcPr>
                          <w:p w14:paraId="6C91415B"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Debt/EBITDA</w:t>
                            </w:r>
                          </w:p>
                        </w:tc>
                        <w:tc>
                          <w:tcPr>
                            <w:tcW w:w="542" w:type="pct"/>
                            <w:tcBorders>
                              <w:top w:val="nil"/>
                              <w:left w:val="nil"/>
                              <w:bottom w:val="nil"/>
                              <w:right w:val="nil"/>
                            </w:tcBorders>
                            <w:hideMark/>
                          </w:tcPr>
                          <w:p w14:paraId="1B85346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6038F08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1.1x</w:t>
                            </w:r>
                          </w:p>
                        </w:tc>
                        <w:tc>
                          <w:tcPr>
                            <w:tcW w:w="542" w:type="pct"/>
                            <w:tcBorders>
                              <w:top w:val="nil"/>
                              <w:left w:val="nil"/>
                              <w:bottom w:val="nil"/>
                              <w:right w:val="nil"/>
                            </w:tcBorders>
                            <w:hideMark/>
                          </w:tcPr>
                          <w:p w14:paraId="036FFDA1"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7.7x</w:t>
                            </w:r>
                          </w:p>
                        </w:tc>
                        <w:tc>
                          <w:tcPr>
                            <w:tcW w:w="542" w:type="pct"/>
                            <w:tcBorders>
                              <w:top w:val="nil"/>
                              <w:left w:val="nil"/>
                              <w:bottom w:val="nil"/>
                              <w:right w:val="nil"/>
                            </w:tcBorders>
                            <w:hideMark/>
                          </w:tcPr>
                          <w:p w14:paraId="7A61BEC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4.4x</w:t>
                            </w:r>
                          </w:p>
                        </w:tc>
                        <w:tc>
                          <w:tcPr>
                            <w:tcW w:w="542" w:type="pct"/>
                            <w:tcBorders>
                              <w:top w:val="nil"/>
                              <w:left w:val="nil"/>
                              <w:bottom w:val="nil"/>
                              <w:right w:val="nil"/>
                            </w:tcBorders>
                            <w:hideMark/>
                          </w:tcPr>
                          <w:p w14:paraId="12E01E4D"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17.8x</w:t>
                            </w:r>
                          </w:p>
                        </w:tc>
                        <w:tc>
                          <w:tcPr>
                            <w:tcW w:w="542" w:type="pct"/>
                            <w:tcBorders>
                              <w:top w:val="nil"/>
                              <w:left w:val="nil"/>
                              <w:bottom w:val="nil"/>
                              <w:right w:val="nil"/>
                            </w:tcBorders>
                            <w:hideMark/>
                          </w:tcPr>
                          <w:p w14:paraId="3AF7335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2.8x</w:t>
                            </w:r>
                          </w:p>
                        </w:tc>
                      </w:tr>
                      <w:tr w:rsidR="0055289D" w:rsidRPr="0055289D" w14:paraId="1F0D409E" w14:textId="77777777" w:rsidTr="0055289D">
                        <w:trPr>
                          <w:trHeight w:val="204"/>
                        </w:trPr>
                        <w:tc>
                          <w:tcPr>
                            <w:tcW w:w="1748" w:type="pct"/>
                            <w:tcBorders>
                              <w:top w:val="nil"/>
                              <w:left w:val="nil"/>
                              <w:bottom w:val="nil"/>
                              <w:right w:val="nil"/>
                            </w:tcBorders>
                            <w:noWrap/>
                            <w:hideMark/>
                          </w:tcPr>
                          <w:p w14:paraId="1B27F9FD"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Total Debt/(EBITDA-CAPEX)</w:t>
                            </w:r>
                          </w:p>
                        </w:tc>
                        <w:tc>
                          <w:tcPr>
                            <w:tcW w:w="542" w:type="pct"/>
                            <w:tcBorders>
                              <w:top w:val="nil"/>
                              <w:left w:val="nil"/>
                              <w:bottom w:val="nil"/>
                              <w:right w:val="nil"/>
                            </w:tcBorders>
                            <w:hideMark/>
                          </w:tcPr>
                          <w:p w14:paraId="67AE2FD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3.7x</w:t>
                            </w:r>
                          </w:p>
                        </w:tc>
                        <w:tc>
                          <w:tcPr>
                            <w:tcW w:w="542" w:type="pct"/>
                            <w:tcBorders>
                              <w:top w:val="nil"/>
                              <w:left w:val="nil"/>
                              <w:bottom w:val="nil"/>
                              <w:right w:val="nil"/>
                            </w:tcBorders>
                            <w:hideMark/>
                          </w:tcPr>
                          <w:p w14:paraId="206DDED0"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5.0x</w:t>
                            </w:r>
                          </w:p>
                        </w:tc>
                        <w:tc>
                          <w:tcPr>
                            <w:tcW w:w="542" w:type="pct"/>
                            <w:tcBorders>
                              <w:top w:val="nil"/>
                              <w:left w:val="nil"/>
                              <w:bottom w:val="nil"/>
                              <w:right w:val="nil"/>
                            </w:tcBorders>
                            <w:hideMark/>
                          </w:tcPr>
                          <w:p w14:paraId="3209A2A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36B10F3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6.9x</w:t>
                            </w:r>
                          </w:p>
                        </w:tc>
                        <w:tc>
                          <w:tcPr>
                            <w:tcW w:w="542" w:type="pct"/>
                            <w:tcBorders>
                              <w:top w:val="nil"/>
                              <w:left w:val="nil"/>
                              <w:bottom w:val="nil"/>
                              <w:right w:val="nil"/>
                            </w:tcBorders>
                            <w:hideMark/>
                          </w:tcPr>
                          <w:p w14:paraId="41A1C68A"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42.5x</w:t>
                            </w:r>
                          </w:p>
                        </w:tc>
                        <w:tc>
                          <w:tcPr>
                            <w:tcW w:w="542" w:type="pct"/>
                            <w:tcBorders>
                              <w:top w:val="nil"/>
                              <w:left w:val="nil"/>
                              <w:bottom w:val="nil"/>
                              <w:right w:val="nil"/>
                            </w:tcBorders>
                            <w:hideMark/>
                          </w:tcPr>
                          <w:p w14:paraId="764A64E3"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3.9x</w:t>
                            </w:r>
                          </w:p>
                        </w:tc>
                      </w:tr>
                      <w:tr w:rsidR="0055289D" w:rsidRPr="0055289D" w14:paraId="4DC87D02" w14:textId="77777777" w:rsidTr="0055289D">
                        <w:trPr>
                          <w:trHeight w:val="204"/>
                        </w:trPr>
                        <w:tc>
                          <w:tcPr>
                            <w:tcW w:w="1748" w:type="pct"/>
                            <w:tcBorders>
                              <w:top w:val="nil"/>
                              <w:left w:val="nil"/>
                              <w:bottom w:val="nil"/>
                              <w:right w:val="nil"/>
                            </w:tcBorders>
                            <w:noWrap/>
                            <w:hideMark/>
                          </w:tcPr>
                          <w:p w14:paraId="5A74B375"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Net Debt/(EBITDA-CAPEX)</w:t>
                            </w:r>
                          </w:p>
                        </w:tc>
                        <w:tc>
                          <w:tcPr>
                            <w:tcW w:w="542" w:type="pct"/>
                            <w:tcBorders>
                              <w:top w:val="nil"/>
                              <w:left w:val="nil"/>
                              <w:bottom w:val="nil"/>
                              <w:right w:val="nil"/>
                            </w:tcBorders>
                            <w:hideMark/>
                          </w:tcPr>
                          <w:p w14:paraId="4A1562F9"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3182D1A2"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1.6x</w:t>
                            </w:r>
                          </w:p>
                        </w:tc>
                        <w:tc>
                          <w:tcPr>
                            <w:tcW w:w="542" w:type="pct"/>
                            <w:tcBorders>
                              <w:top w:val="nil"/>
                              <w:left w:val="nil"/>
                              <w:bottom w:val="nil"/>
                              <w:right w:val="nil"/>
                            </w:tcBorders>
                            <w:hideMark/>
                          </w:tcPr>
                          <w:p w14:paraId="02B1124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NM</w:t>
                            </w:r>
                          </w:p>
                        </w:tc>
                        <w:tc>
                          <w:tcPr>
                            <w:tcW w:w="542" w:type="pct"/>
                            <w:tcBorders>
                              <w:top w:val="nil"/>
                              <w:left w:val="nil"/>
                              <w:bottom w:val="nil"/>
                              <w:right w:val="nil"/>
                            </w:tcBorders>
                            <w:hideMark/>
                          </w:tcPr>
                          <w:p w14:paraId="5E16691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5.2x</w:t>
                            </w:r>
                          </w:p>
                        </w:tc>
                        <w:tc>
                          <w:tcPr>
                            <w:tcW w:w="542" w:type="pct"/>
                            <w:tcBorders>
                              <w:top w:val="nil"/>
                              <w:left w:val="nil"/>
                              <w:bottom w:val="nil"/>
                              <w:right w:val="nil"/>
                            </w:tcBorders>
                            <w:hideMark/>
                          </w:tcPr>
                          <w:p w14:paraId="1CCA352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29.4x</w:t>
                            </w:r>
                          </w:p>
                        </w:tc>
                        <w:tc>
                          <w:tcPr>
                            <w:tcW w:w="542" w:type="pct"/>
                            <w:tcBorders>
                              <w:top w:val="nil"/>
                              <w:left w:val="nil"/>
                              <w:bottom w:val="nil"/>
                              <w:right w:val="nil"/>
                            </w:tcBorders>
                            <w:hideMark/>
                          </w:tcPr>
                          <w:p w14:paraId="1466FB6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3.0x</w:t>
                            </w:r>
                          </w:p>
                        </w:tc>
                      </w:tr>
                      <w:tr w:rsidR="0055289D" w:rsidRPr="0055289D" w14:paraId="21BAE661" w14:textId="77777777" w:rsidTr="0055289D">
                        <w:trPr>
                          <w:trHeight w:val="204"/>
                        </w:trPr>
                        <w:tc>
                          <w:tcPr>
                            <w:tcW w:w="1748" w:type="pct"/>
                            <w:tcBorders>
                              <w:top w:val="nil"/>
                              <w:left w:val="nil"/>
                              <w:bottom w:val="nil"/>
                              <w:right w:val="nil"/>
                            </w:tcBorders>
                            <w:noWrap/>
                            <w:hideMark/>
                          </w:tcPr>
                          <w:p w14:paraId="1F708B99" w14:textId="77777777" w:rsidR="0055289D" w:rsidRPr="0055289D" w:rsidRDefault="0055289D" w:rsidP="0055289D">
                            <w:pPr>
                              <w:spacing w:after="0" w:line="240" w:lineRule="auto"/>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Altman Z Score</w:t>
                            </w:r>
                          </w:p>
                        </w:tc>
                        <w:tc>
                          <w:tcPr>
                            <w:tcW w:w="542" w:type="pct"/>
                            <w:tcBorders>
                              <w:top w:val="nil"/>
                              <w:left w:val="nil"/>
                              <w:bottom w:val="nil"/>
                              <w:right w:val="nil"/>
                            </w:tcBorders>
                            <w:hideMark/>
                          </w:tcPr>
                          <w:p w14:paraId="3BA8263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3.86 </w:t>
                            </w:r>
                          </w:p>
                        </w:tc>
                        <w:tc>
                          <w:tcPr>
                            <w:tcW w:w="542" w:type="pct"/>
                            <w:tcBorders>
                              <w:top w:val="nil"/>
                              <w:left w:val="nil"/>
                              <w:bottom w:val="nil"/>
                              <w:right w:val="nil"/>
                            </w:tcBorders>
                            <w:hideMark/>
                          </w:tcPr>
                          <w:p w14:paraId="3CCE6684"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5.58 </w:t>
                            </w:r>
                          </w:p>
                        </w:tc>
                        <w:tc>
                          <w:tcPr>
                            <w:tcW w:w="542" w:type="pct"/>
                            <w:tcBorders>
                              <w:top w:val="nil"/>
                              <w:left w:val="nil"/>
                              <w:bottom w:val="nil"/>
                              <w:right w:val="nil"/>
                            </w:tcBorders>
                            <w:hideMark/>
                          </w:tcPr>
                          <w:p w14:paraId="553FB6AF"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3.96 </w:t>
                            </w:r>
                          </w:p>
                        </w:tc>
                        <w:tc>
                          <w:tcPr>
                            <w:tcW w:w="542" w:type="pct"/>
                            <w:tcBorders>
                              <w:top w:val="nil"/>
                              <w:left w:val="nil"/>
                              <w:bottom w:val="nil"/>
                              <w:right w:val="nil"/>
                            </w:tcBorders>
                            <w:hideMark/>
                          </w:tcPr>
                          <w:p w14:paraId="08504486"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2.0 </w:t>
                            </w:r>
                          </w:p>
                        </w:tc>
                        <w:tc>
                          <w:tcPr>
                            <w:tcW w:w="542" w:type="pct"/>
                            <w:tcBorders>
                              <w:top w:val="nil"/>
                              <w:left w:val="nil"/>
                              <w:bottom w:val="nil"/>
                              <w:right w:val="nil"/>
                            </w:tcBorders>
                            <w:hideMark/>
                          </w:tcPr>
                          <w:p w14:paraId="0A618035"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1.48 </w:t>
                            </w:r>
                          </w:p>
                        </w:tc>
                        <w:tc>
                          <w:tcPr>
                            <w:tcW w:w="542" w:type="pct"/>
                            <w:tcBorders>
                              <w:top w:val="nil"/>
                              <w:left w:val="nil"/>
                              <w:bottom w:val="nil"/>
                              <w:right w:val="nil"/>
                            </w:tcBorders>
                            <w:hideMark/>
                          </w:tcPr>
                          <w:p w14:paraId="59801538" w14:textId="77777777" w:rsidR="0055289D" w:rsidRPr="0055289D" w:rsidRDefault="0055289D" w:rsidP="0055289D">
                            <w:pPr>
                              <w:spacing w:after="0" w:line="240" w:lineRule="auto"/>
                              <w:jc w:val="right"/>
                              <w:rPr>
                                <w:rFonts w:ascii="Cambria" w:eastAsia="Times New Roman" w:hAnsi="Cambria" w:cs="Arial"/>
                                <w:color w:val="000000"/>
                                <w:kern w:val="0"/>
                                <w:sz w:val="14"/>
                                <w:szCs w:val="14"/>
                                <w:lang w:eastAsia="en-IN"/>
                                <w14:ligatures w14:val="none"/>
                              </w:rPr>
                            </w:pPr>
                            <w:r w:rsidRPr="0055289D">
                              <w:rPr>
                                <w:rFonts w:ascii="Cambria" w:eastAsia="Times New Roman" w:hAnsi="Cambria" w:cs="Arial"/>
                                <w:color w:val="000000"/>
                                <w:kern w:val="0"/>
                                <w:sz w:val="14"/>
                                <w:szCs w:val="14"/>
                                <w:lang w:eastAsia="en-IN"/>
                                <w14:ligatures w14:val="none"/>
                              </w:rPr>
                              <w:t xml:space="preserve">                1.61 </w:t>
                            </w:r>
                          </w:p>
                        </w:tc>
                      </w:tr>
                    </w:tbl>
                    <w:p w14:paraId="77059265" w14:textId="32C076D7" w:rsidR="00936F69" w:rsidRDefault="00936F69"/>
                  </w:txbxContent>
                </v:textbox>
                <w10:wrap type="square" anchorx="margin"/>
              </v:shape>
            </w:pict>
          </mc:Fallback>
        </mc:AlternateContent>
      </w:r>
      <w:r w:rsidR="002A3247" w:rsidRPr="00456405">
        <w:rPr>
          <w:rFonts w:ascii="Cambria" w:hAnsi="Cambria"/>
          <w:b/>
          <w:bCs/>
          <w:sz w:val="24"/>
          <w:szCs w:val="24"/>
        </w:rPr>
        <w:br/>
      </w:r>
      <w:r w:rsidR="00BA0542" w:rsidRPr="00456405">
        <w:rPr>
          <w:rFonts w:ascii="Cambria" w:hAnsi="Cambria"/>
          <w:b/>
          <w:bCs/>
          <w:sz w:val="24"/>
          <w:szCs w:val="24"/>
        </w:rPr>
        <w:br/>
      </w:r>
      <w:r w:rsidR="00DE6BE9" w:rsidRPr="00456405">
        <w:rPr>
          <w:rFonts w:ascii="Cambria" w:hAnsi="Cambria"/>
          <w:b/>
          <w:bCs/>
          <w:sz w:val="24"/>
          <w:szCs w:val="24"/>
        </w:rPr>
        <w:br/>
      </w:r>
      <w:r w:rsidR="00DE6BE9" w:rsidRPr="00456405">
        <w:rPr>
          <w:rFonts w:ascii="Cambria" w:hAnsi="Cambria"/>
          <w:b/>
          <w:bCs/>
          <w:sz w:val="24"/>
          <w:szCs w:val="24"/>
        </w:rPr>
        <w:br/>
      </w:r>
      <w:r w:rsidR="00DE6BE9" w:rsidRPr="00456405">
        <w:rPr>
          <w:rFonts w:ascii="Cambria" w:hAnsi="Cambria"/>
          <w:b/>
          <w:bCs/>
          <w:sz w:val="24"/>
          <w:szCs w:val="24"/>
        </w:rPr>
        <w:br/>
      </w:r>
      <w:r w:rsidR="00DE6BE9" w:rsidRPr="00456405">
        <w:rPr>
          <w:rFonts w:ascii="Cambria" w:hAnsi="Cambria"/>
          <w:b/>
          <w:bCs/>
          <w:sz w:val="24"/>
          <w:szCs w:val="24"/>
        </w:rPr>
        <w:br/>
      </w:r>
      <w:r w:rsidR="00DE6BE9" w:rsidRPr="00456405">
        <w:rPr>
          <w:rFonts w:ascii="Cambria" w:hAnsi="Cambria"/>
          <w:b/>
          <w:bCs/>
          <w:sz w:val="24"/>
          <w:szCs w:val="24"/>
        </w:rPr>
        <w:br/>
      </w:r>
      <w:r w:rsidR="00DE6BE9"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noProof/>
          <w:sz w:val="24"/>
          <w:szCs w:val="24"/>
        </w:rPr>
        <w:lastRenderedPageBreak/>
        <mc:AlternateContent>
          <mc:Choice Requires="wps">
            <w:drawing>
              <wp:anchor distT="45720" distB="45720" distL="114300" distR="114300" simplePos="0" relativeHeight="251739136" behindDoc="0" locked="0" layoutInCell="1" allowOverlap="1" wp14:anchorId="54ACC067" wp14:editId="24411D3E">
                <wp:simplePos x="0" y="0"/>
                <wp:positionH relativeFrom="margin">
                  <wp:posOffset>15240</wp:posOffset>
                </wp:positionH>
                <wp:positionV relativeFrom="page">
                  <wp:posOffset>914400</wp:posOffset>
                </wp:positionV>
                <wp:extent cx="6172200" cy="6492240"/>
                <wp:effectExtent l="0" t="0" r="0" b="3810"/>
                <wp:wrapSquare wrapText="bothSides"/>
                <wp:docPr id="1414548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92240"/>
                        </a:xfrm>
                        <a:prstGeom prst="rect">
                          <a:avLst/>
                        </a:prstGeom>
                        <a:noFill/>
                        <a:ln w="9525">
                          <a:noFill/>
                          <a:miter lim="800000"/>
                          <a:headEnd/>
                          <a:tailEnd/>
                        </a:ln>
                      </wps:spPr>
                      <wps:txbx>
                        <w:txbxContent>
                          <w:tbl>
                            <w:tblPr>
                              <w:tblW w:w="5000" w:type="pct"/>
                              <w:tblLook w:val="04A0" w:firstRow="1" w:lastRow="0" w:firstColumn="1" w:lastColumn="0" w:noHBand="0" w:noVBand="1"/>
                            </w:tblPr>
                            <w:tblGrid>
                              <w:gridCol w:w="3178"/>
                              <w:gridCol w:w="1053"/>
                              <w:gridCol w:w="1032"/>
                              <w:gridCol w:w="1032"/>
                              <w:gridCol w:w="1053"/>
                              <w:gridCol w:w="1032"/>
                              <w:gridCol w:w="1053"/>
                            </w:tblGrid>
                            <w:tr w:rsidR="007B6FA5" w:rsidRPr="007B6FA5" w14:paraId="1C594C2A" w14:textId="77777777" w:rsidTr="007B6FA5">
                              <w:trPr>
                                <w:trHeight w:val="336"/>
                              </w:trPr>
                              <w:tc>
                                <w:tcPr>
                                  <w:tcW w:w="5000" w:type="pct"/>
                                  <w:gridSpan w:val="7"/>
                                  <w:tcBorders>
                                    <w:top w:val="nil"/>
                                    <w:left w:val="nil"/>
                                    <w:bottom w:val="nil"/>
                                    <w:right w:val="nil"/>
                                  </w:tcBorders>
                                  <w:noWrap/>
                                  <w:vAlign w:val="bottom"/>
                                  <w:hideMark/>
                                </w:tcPr>
                                <w:p w14:paraId="34F7AA9E"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Magazine Luiza S.A. (</w:t>
                                  </w:r>
                                  <w:r w:rsidRPr="007B6FA5">
                                    <w:rPr>
                                      <w:rFonts w:ascii="Cambria" w:eastAsia="Times New Roman" w:hAnsi="Cambria" w:cs="Arial"/>
                                      <w:b/>
                                      <w:bCs/>
                                      <w:color w:val="000000"/>
                                      <w:kern w:val="0"/>
                                      <w:sz w:val="14"/>
                                      <w:szCs w:val="14"/>
                                      <w:lang w:eastAsia="en-IN"/>
                                      <w14:ligatures w14:val="none"/>
                                    </w:rPr>
                                    <w:t>BOVESPA:MGLU3) &gt; Financials &gt; Income Statement</w:t>
                                  </w:r>
                                </w:p>
                              </w:tc>
                            </w:tr>
                            <w:tr w:rsidR="007B6FA5" w:rsidRPr="007B6FA5" w14:paraId="27594DE8" w14:textId="77777777" w:rsidTr="007B6FA5">
                              <w:trPr>
                                <w:trHeight w:val="204"/>
                              </w:trPr>
                              <w:tc>
                                <w:tcPr>
                                  <w:tcW w:w="1685" w:type="pct"/>
                                  <w:tcBorders>
                                    <w:top w:val="nil"/>
                                    <w:left w:val="nil"/>
                                    <w:bottom w:val="nil"/>
                                    <w:right w:val="nil"/>
                                  </w:tcBorders>
                                  <w:shd w:val="clear" w:color="000000" w:fill="003366"/>
                                  <w:noWrap/>
                                  <w:vAlign w:val="bottom"/>
                                  <w:hideMark/>
                                </w:tcPr>
                                <w:p w14:paraId="28CB95CA"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Income Statement</w:t>
                                  </w:r>
                                </w:p>
                              </w:tc>
                              <w:tc>
                                <w:tcPr>
                                  <w:tcW w:w="558" w:type="pct"/>
                                  <w:tcBorders>
                                    <w:top w:val="nil"/>
                                    <w:left w:val="nil"/>
                                    <w:bottom w:val="nil"/>
                                    <w:right w:val="nil"/>
                                  </w:tcBorders>
                                  <w:shd w:val="clear" w:color="000000" w:fill="003366"/>
                                  <w:noWrap/>
                                  <w:vAlign w:val="bottom"/>
                                  <w:hideMark/>
                                </w:tcPr>
                                <w:p w14:paraId="253E3882"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5F0A89B3"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325173E4"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58" w:type="pct"/>
                                  <w:tcBorders>
                                    <w:top w:val="nil"/>
                                    <w:left w:val="nil"/>
                                    <w:bottom w:val="nil"/>
                                    <w:right w:val="nil"/>
                                  </w:tcBorders>
                                  <w:shd w:val="clear" w:color="000000" w:fill="003366"/>
                                  <w:noWrap/>
                                  <w:vAlign w:val="bottom"/>
                                  <w:hideMark/>
                                </w:tcPr>
                                <w:p w14:paraId="79D7BFD3"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64E70539"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58" w:type="pct"/>
                                  <w:tcBorders>
                                    <w:top w:val="nil"/>
                                    <w:left w:val="nil"/>
                                    <w:bottom w:val="nil"/>
                                    <w:right w:val="nil"/>
                                  </w:tcBorders>
                                  <w:shd w:val="clear" w:color="000000" w:fill="003366"/>
                                  <w:noWrap/>
                                  <w:vAlign w:val="bottom"/>
                                  <w:hideMark/>
                                </w:tcPr>
                                <w:p w14:paraId="0DC05A6A"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r>
                            <w:tr w:rsidR="007B6FA5" w:rsidRPr="007B6FA5" w14:paraId="113493F1" w14:textId="77777777" w:rsidTr="007B6FA5">
                              <w:trPr>
                                <w:trHeight w:val="816"/>
                              </w:trPr>
                              <w:tc>
                                <w:tcPr>
                                  <w:tcW w:w="1685" w:type="pct"/>
                                  <w:tcBorders>
                                    <w:top w:val="nil"/>
                                    <w:left w:val="nil"/>
                                    <w:bottom w:val="nil"/>
                                    <w:right w:val="nil"/>
                                  </w:tcBorders>
                                  <w:shd w:val="clear" w:color="000000" w:fill="F0F0DC"/>
                                  <w:vAlign w:val="bottom"/>
                                  <w:hideMark/>
                                </w:tcPr>
                                <w:p w14:paraId="280E7601"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For the Fiscal Period Ending</w:t>
                                  </w:r>
                                </w:p>
                              </w:tc>
                              <w:tc>
                                <w:tcPr>
                                  <w:tcW w:w="558" w:type="pct"/>
                                  <w:tcBorders>
                                    <w:top w:val="nil"/>
                                    <w:left w:val="nil"/>
                                    <w:bottom w:val="nil"/>
                                    <w:right w:val="nil"/>
                                  </w:tcBorders>
                                  <w:shd w:val="clear" w:color="000000" w:fill="F0F0DC"/>
                                  <w:vAlign w:val="bottom"/>
                                  <w:hideMark/>
                                </w:tcPr>
                                <w:p w14:paraId="4DD1CB1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Dec-31-2019</w:t>
                                  </w:r>
                                </w:p>
                              </w:tc>
                              <w:tc>
                                <w:tcPr>
                                  <w:tcW w:w="547" w:type="pct"/>
                                  <w:tcBorders>
                                    <w:top w:val="nil"/>
                                    <w:left w:val="nil"/>
                                    <w:bottom w:val="nil"/>
                                    <w:right w:val="nil"/>
                                  </w:tcBorders>
                                  <w:shd w:val="clear" w:color="000000" w:fill="F0F0DC"/>
                                  <w:vAlign w:val="bottom"/>
                                  <w:hideMark/>
                                </w:tcPr>
                                <w:p w14:paraId="0469438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Dec-31-2020</w:t>
                                  </w:r>
                                </w:p>
                              </w:tc>
                              <w:tc>
                                <w:tcPr>
                                  <w:tcW w:w="547" w:type="pct"/>
                                  <w:tcBorders>
                                    <w:top w:val="nil"/>
                                    <w:left w:val="nil"/>
                                    <w:bottom w:val="nil"/>
                                    <w:right w:val="nil"/>
                                  </w:tcBorders>
                                  <w:shd w:val="clear" w:color="000000" w:fill="F0F0DC"/>
                                  <w:vAlign w:val="bottom"/>
                                  <w:hideMark/>
                                </w:tcPr>
                                <w:p w14:paraId="5550ED9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Dec-31-2021</w:t>
                                  </w:r>
                                </w:p>
                              </w:tc>
                              <w:tc>
                                <w:tcPr>
                                  <w:tcW w:w="558" w:type="pct"/>
                                  <w:tcBorders>
                                    <w:top w:val="nil"/>
                                    <w:left w:val="nil"/>
                                    <w:bottom w:val="nil"/>
                                    <w:right w:val="nil"/>
                                  </w:tcBorders>
                                  <w:shd w:val="clear" w:color="000000" w:fill="F0F0DC"/>
                                  <w:vAlign w:val="bottom"/>
                                  <w:hideMark/>
                                </w:tcPr>
                                <w:p w14:paraId="1CB74EE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Dec-31-2022</w:t>
                                  </w:r>
                                </w:p>
                              </w:tc>
                              <w:tc>
                                <w:tcPr>
                                  <w:tcW w:w="547" w:type="pct"/>
                                  <w:tcBorders>
                                    <w:top w:val="nil"/>
                                    <w:left w:val="nil"/>
                                    <w:bottom w:val="nil"/>
                                    <w:right w:val="nil"/>
                                  </w:tcBorders>
                                  <w:shd w:val="clear" w:color="000000" w:fill="F0F0DC"/>
                                  <w:vAlign w:val="bottom"/>
                                  <w:hideMark/>
                                </w:tcPr>
                                <w:p w14:paraId="3F5B1C0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Dec-31-2023</w:t>
                                  </w:r>
                                </w:p>
                              </w:tc>
                              <w:tc>
                                <w:tcPr>
                                  <w:tcW w:w="558" w:type="pct"/>
                                  <w:tcBorders>
                                    <w:top w:val="nil"/>
                                    <w:left w:val="nil"/>
                                    <w:bottom w:val="nil"/>
                                    <w:right w:val="nil"/>
                                  </w:tcBorders>
                                  <w:shd w:val="clear" w:color="000000" w:fill="F0F0DC"/>
                                  <w:vAlign w:val="bottom"/>
                                  <w:hideMark/>
                                </w:tcPr>
                                <w:p w14:paraId="2550360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LTM</w:t>
                                  </w:r>
                                  <w:r w:rsidRPr="007B6FA5">
                                    <w:rPr>
                                      <w:rFonts w:ascii="Cambria" w:eastAsia="Times New Roman" w:hAnsi="Cambria" w:cs="Arial"/>
                                      <w:b/>
                                      <w:bCs/>
                                      <w:color w:val="000000"/>
                                      <w:kern w:val="0"/>
                                      <w:sz w:val="14"/>
                                      <w:szCs w:val="14"/>
                                      <w:lang w:eastAsia="en-IN"/>
                                      <w14:ligatures w14:val="none"/>
                                    </w:rPr>
                                    <w:b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Sep-30-2024</w:t>
                                  </w:r>
                                </w:p>
                              </w:tc>
                            </w:tr>
                            <w:tr w:rsidR="007B6FA5" w:rsidRPr="007B6FA5" w14:paraId="67FB28D3" w14:textId="77777777" w:rsidTr="007B6FA5">
                              <w:trPr>
                                <w:trHeight w:val="204"/>
                              </w:trPr>
                              <w:tc>
                                <w:tcPr>
                                  <w:tcW w:w="1685" w:type="pct"/>
                                  <w:tcBorders>
                                    <w:top w:val="nil"/>
                                    <w:left w:val="nil"/>
                                    <w:bottom w:val="nil"/>
                                    <w:right w:val="nil"/>
                                  </w:tcBorders>
                                  <w:shd w:val="clear" w:color="000000" w:fill="F0F0DC"/>
                                  <w:vAlign w:val="bottom"/>
                                  <w:hideMark/>
                                </w:tcPr>
                                <w:p w14:paraId="291C3448" w14:textId="77777777" w:rsidR="007B6FA5" w:rsidRPr="007B6FA5" w:rsidRDefault="007B6FA5" w:rsidP="007B6FA5">
                                  <w:pPr>
                                    <w:spacing w:after="0" w:line="240" w:lineRule="auto"/>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Currency</w:t>
                                  </w:r>
                                </w:p>
                              </w:tc>
                              <w:tc>
                                <w:tcPr>
                                  <w:tcW w:w="558" w:type="pct"/>
                                  <w:tcBorders>
                                    <w:top w:val="nil"/>
                                    <w:left w:val="nil"/>
                                    <w:bottom w:val="nil"/>
                                    <w:right w:val="nil"/>
                                  </w:tcBorders>
                                  <w:shd w:val="clear" w:color="000000" w:fill="F0F0DC"/>
                                  <w:vAlign w:val="bottom"/>
                                  <w:hideMark/>
                                </w:tcPr>
                                <w:p w14:paraId="3A0E7CAF"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58D206D6"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0C5D219A"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58" w:type="pct"/>
                                  <w:tcBorders>
                                    <w:top w:val="nil"/>
                                    <w:left w:val="nil"/>
                                    <w:bottom w:val="nil"/>
                                    <w:right w:val="nil"/>
                                  </w:tcBorders>
                                  <w:shd w:val="clear" w:color="000000" w:fill="F0F0DC"/>
                                  <w:vAlign w:val="bottom"/>
                                  <w:hideMark/>
                                </w:tcPr>
                                <w:p w14:paraId="6BDECCF6"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5D69E629"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58" w:type="pct"/>
                                  <w:tcBorders>
                                    <w:top w:val="nil"/>
                                    <w:left w:val="nil"/>
                                    <w:bottom w:val="nil"/>
                                    <w:right w:val="nil"/>
                                  </w:tcBorders>
                                  <w:shd w:val="clear" w:color="000000" w:fill="F0F0DC"/>
                                  <w:vAlign w:val="bottom"/>
                                  <w:hideMark/>
                                </w:tcPr>
                                <w:p w14:paraId="42AFA935"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r>
                            <w:tr w:rsidR="003C2F53" w:rsidRPr="007B6FA5" w14:paraId="2F60E85F" w14:textId="77777777" w:rsidTr="007B6FA5">
                              <w:trPr>
                                <w:trHeight w:val="204"/>
                              </w:trPr>
                              <w:tc>
                                <w:tcPr>
                                  <w:tcW w:w="1685" w:type="pct"/>
                                  <w:tcBorders>
                                    <w:top w:val="nil"/>
                                    <w:left w:val="nil"/>
                                    <w:bottom w:val="nil"/>
                                    <w:right w:val="nil"/>
                                  </w:tcBorders>
                                  <w:noWrap/>
                                  <w:hideMark/>
                                </w:tcPr>
                                <w:p w14:paraId="295A06F0"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Revenue</w:t>
                                  </w:r>
                                </w:p>
                              </w:tc>
                              <w:tc>
                                <w:tcPr>
                                  <w:tcW w:w="558" w:type="pct"/>
                                  <w:tcBorders>
                                    <w:top w:val="nil"/>
                                    <w:left w:val="nil"/>
                                    <w:bottom w:val="nil"/>
                                    <w:right w:val="nil"/>
                                  </w:tcBorders>
                                  <w:hideMark/>
                                </w:tcPr>
                                <w:p w14:paraId="7DC8E85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4.9 </w:t>
                                  </w:r>
                                </w:p>
                              </w:tc>
                              <w:tc>
                                <w:tcPr>
                                  <w:tcW w:w="547" w:type="pct"/>
                                  <w:tcBorders>
                                    <w:top w:val="nil"/>
                                    <w:left w:val="nil"/>
                                    <w:bottom w:val="nil"/>
                                    <w:right w:val="nil"/>
                                  </w:tcBorders>
                                  <w:hideMark/>
                                </w:tcPr>
                                <w:p w14:paraId="1F85886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5.6 </w:t>
                                  </w:r>
                                </w:p>
                              </w:tc>
                              <w:tc>
                                <w:tcPr>
                                  <w:tcW w:w="547" w:type="pct"/>
                                  <w:tcBorders>
                                    <w:top w:val="nil"/>
                                    <w:left w:val="nil"/>
                                    <w:bottom w:val="nil"/>
                                    <w:right w:val="nil"/>
                                  </w:tcBorders>
                                  <w:hideMark/>
                                </w:tcPr>
                                <w:p w14:paraId="60CE9F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6.3 </w:t>
                                  </w:r>
                                </w:p>
                              </w:tc>
                              <w:tc>
                                <w:tcPr>
                                  <w:tcW w:w="558" w:type="pct"/>
                                  <w:tcBorders>
                                    <w:top w:val="nil"/>
                                    <w:left w:val="nil"/>
                                    <w:bottom w:val="nil"/>
                                    <w:right w:val="nil"/>
                                  </w:tcBorders>
                                  <w:hideMark/>
                                </w:tcPr>
                                <w:p w14:paraId="71CCA12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7.1 </w:t>
                                  </w:r>
                                </w:p>
                              </w:tc>
                              <w:tc>
                                <w:tcPr>
                                  <w:tcW w:w="547" w:type="pct"/>
                                  <w:tcBorders>
                                    <w:top w:val="nil"/>
                                    <w:left w:val="nil"/>
                                    <w:bottom w:val="nil"/>
                                    <w:right w:val="nil"/>
                                  </w:tcBorders>
                                  <w:hideMark/>
                                </w:tcPr>
                                <w:p w14:paraId="524FD57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7.6 </w:t>
                                  </w:r>
                                </w:p>
                              </w:tc>
                              <w:tc>
                                <w:tcPr>
                                  <w:tcW w:w="558" w:type="pct"/>
                                  <w:tcBorders>
                                    <w:top w:val="nil"/>
                                    <w:left w:val="nil"/>
                                    <w:bottom w:val="nil"/>
                                    <w:right w:val="nil"/>
                                  </w:tcBorders>
                                  <w:hideMark/>
                                </w:tcPr>
                                <w:p w14:paraId="5BBE521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6.9 </w:t>
                                  </w:r>
                                </w:p>
                              </w:tc>
                            </w:tr>
                            <w:tr w:rsidR="003C2F53" w:rsidRPr="007B6FA5" w14:paraId="0376D0C8" w14:textId="77777777" w:rsidTr="007B6FA5">
                              <w:trPr>
                                <w:trHeight w:val="204"/>
                              </w:trPr>
                              <w:tc>
                                <w:tcPr>
                                  <w:tcW w:w="1685" w:type="pct"/>
                                  <w:tcBorders>
                                    <w:top w:val="nil"/>
                                    <w:left w:val="nil"/>
                                    <w:bottom w:val="nil"/>
                                    <w:right w:val="nil"/>
                                  </w:tcBorders>
                                  <w:noWrap/>
                                  <w:hideMark/>
                                </w:tcPr>
                                <w:p w14:paraId="33BF431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Total Revenue</w:t>
                                  </w:r>
                                </w:p>
                              </w:tc>
                              <w:tc>
                                <w:tcPr>
                                  <w:tcW w:w="558" w:type="pct"/>
                                  <w:tcBorders>
                                    <w:top w:val="single" w:sz="4" w:space="0" w:color="000000"/>
                                    <w:left w:val="nil"/>
                                    <w:bottom w:val="nil"/>
                                    <w:right w:val="nil"/>
                                  </w:tcBorders>
                                  <w:hideMark/>
                                </w:tcPr>
                                <w:p w14:paraId="4B7D237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4.9 </w:t>
                                  </w:r>
                                </w:p>
                              </w:tc>
                              <w:tc>
                                <w:tcPr>
                                  <w:tcW w:w="547" w:type="pct"/>
                                  <w:tcBorders>
                                    <w:top w:val="single" w:sz="4" w:space="0" w:color="000000"/>
                                    <w:left w:val="nil"/>
                                    <w:bottom w:val="nil"/>
                                    <w:right w:val="nil"/>
                                  </w:tcBorders>
                                  <w:hideMark/>
                                </w:tcPr>
                                <w:p w14:paraId="1AC5835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5.6 </w:t>
                                  </w:r>
                                </w:p>
                              </w:tc>
                              <w:tc>
                                <w:tcPr>
                                  <w:tcW w:w="547" w:type="pct"/>
                                  <w:tcBorders>
                                    <w:top w:val="single" w:sz="4" w:space="0" w:color="000000"/>
                                    <w:left w:val="nil"/>
                                    <w:bottom w:val="nil"/>
                                    <w:right w:val="nil"/>
                                  </w:tcBorders>
                                  <w:hideMark/>
                                </w:tcPr>
                                <w:p w14:paraId="264C598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6.3 </w:t>
                                  </w:r>
                                </w:p>
                              </w:tc>
                              <w:tc>
                                <w:tcPr>
                                  <w:tcW w:w="558" w:type="pct"/>
                                  <w:tcBorders>
                                    <w:top w:val="single" w:sz="4" w:space="0" w:color="000000"/>
                                    <w:left w:val="nil"/>
                                    <w:bottom w:val="nil"/>
                                    <w:right w:val="nil"/>
                                  </w:tcBorders>
                                  <w:hideMark/>
                                </w:tcPr>
                                <w:p w14:paraId="5A1451D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7.1 </w:t>
                                  </w:r>
                                </w:p>
                              </w:tc>
                              <w:tc>
                                <w:tcPr>
                                  <w:tcW w:w="547" w:type="pct"/>
                                  <w:tcBorders>
                                    <w:top w:val="single" w:sz="4" w:space="0" w:color="000000"/>
                                    <w:left w:val="nil"/>
                                    <w:bottom w:val="nil"/>
                                    <w:right w:val="nil"/>
                                  </w:tcBorders>
                                  <w:hideMark/>
                                </w:tcPr>
                                <w:p w14:paraId="5895446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7.6 </w:t>
                                  </w:r>
                                </w:p>
                              </w:tc>
                              <w:tc>
                                <w:tcPr>
                                  <w:tcW w:w="558" w:type="pct"/>
                                  <w:tcBorders>
                                    <w:top w:val="single" w:sz="4" w:space="0" w:color="000000"/>
                                    <w:left w:val="nil"/>
                                    <w:bottom w:val="nil"/>
                                    <w:right w:val="nil"/>
                                  </w:tcBorders>
                                  <w:hideMark/>
                                </w:tcPr>
                                <w:p w14:paraId="716D26C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6.9 </w:t>
                                  </w:r>
                                </w:p>
                              </w:tc>
                            </w:tr>
                            <w:tr w:rsidR="003C2F53" w:rsidRPr="007B6FA5" w14:paraId="0082937F" w14:textId="77777777" w:rsidTr="007B6FA5">
                              <w:trPr>
                                <w:trHeight w:val="204"/>
                              </w:trPr>
                              <w:tc>
                                <w:tcPr>
                                  <w:tcW w:w="1685" w:type="pct"/>
                                  <w:tcBorders>
                                    <w:top w:val="nil"/>
                                    <w:left w:val="nil"/>
                                    <w:bottom w:val="nil"/>
                                    <w:right w:val="nil"/>
                                  </w:tcBorders>
                                  <w:noWrap/>
                                  <w:hideMark/>
                                </w:tcPr>
                                <w:p w14:paraId="00344C9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Cost Of Goods Sold</w:t>
                                  </w:r>
                                </w:p>
                              </w:tc>
                              <w:tc>
                                <w:tcPr>
                                  <w:tcW w:w="558" w:type="pct"/>
                                  <w:tcBorders>
                                    <w:top w:val="nil"/>
                                    <w:left w:val="nil"/>
                                    <w:bottom w:val="nil"/>
                                    <w:right w:val="nil"/>
                                  </w:tcBorders>
                                  <w:hideMark/>
                                </w:tcPr>
                                <w:p w14:paraId="716C19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3.6 </w:t>
                                  </w:r>
                                </w:p>
                              </w:tc>
                              <w:tc>
                                <w:tcPr>
                                  <w:tcW w:w="547" w:type="pct"/>
                                  <w:tcBorders>
                                    <w:top w:val="nil"/>
                                    <w:left w:val="nil"/>
                                    <w:bottom w:val="nil"/>
                                    <w:right w:val="nil"/>
                                  </w:tcBorders>
                                  <w:hideMark/>
                                </w:tcPr>
                                <w:p w14:paraId="5B1DDD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4.2 </w:t>
                                  </w:r>
                                </w:p>
                              </w:tc>
                              <w:tc>
                                <w:tcPr>
                                  <w:tcW w:w="547" w:type="pct"/>
                                  <w:tcBorders>
                                    <w:top w:val="nil"/>
                                    <w:left w:val="nil"/>
                                    <w:bottom w:val="nil"/>
                                    <w:right w:val="nil"/>
                                  </w:tcBorders>
                                  <w:hideMark/>
                                </w:tcPr>
                                <w:p w14:paraId="23C7F35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4.8 </w:t>
                                  </w:r>
                                </w:p>
                              </w:tc>
                              <w:tc>
                                <w:tcPr>
                                  <w:tcW w:w="558" w:type="pct"/>
                                  <w:tcBorders>
                                    <w:top w:val="nil"/>
                                    <w:left w:val="nil"/>
                                    <w:bottom w:val="nil"/>
                                    <w:right w:val="nil"/>
                                  </w:tcBorders>
                                  <w:hideMark/>
                                </w:tcPr>
                                <w:p w14:paraId="48CEF0A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5.1 </w:t>
                                  </w:r>
                                </w:p>
                              </w:tc>
                              <w:tc>
                                <w:tcPr>
                                  <w:tcW w:w="547" w:type="pct"/>
                                  <w:tcBorders>
                                    <w:top w:val="nil"/>
                                    <w:left w:val="nil"/>
                                    <w:bottom w:val="nil"/>
                                    <w:right w:val="nil"/>
                                  </w:tcBorders>
                                  <w:hideMark/>
                                </w:tcPr>
                                <w:p w14:paraId="45F3ECC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5.5 </w:t>
                                  </w:r>
                                </w:p>
                              </w:tc>
                              <w:tc>
                                <w:tcPr>
                                  <w:tcW w:w="558" w:type="pct"/>
                                  <w:tcBorders>
                                    <w:top w:val="nil"/>
                                    <w:left w:val="nil"/>
                                    <w:bottom w:val="nil"/>
                                    <w:right w:val="nil"/>
                                  </w:tcBorders>
                                  <w:hideMark/>
                                </w:tcPr>
                                <w:p w14:paraId="39D020A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4.8 </w:t>
                                  </w:r>
                                </w:p>
                              </w:tc>
                            </w:tr>
                            <w:tr w:rsidR="003C2F53" w:rsidRPr="007B6FA5" w14:paraId="5DD9EA74" w14:textId="77777777" w:rsidTr="007B6FA5">
                              <w:trPr>
                                <w:trHeight w:val="204"/>
                              </w:trPr>
                              <w:tc>
                                <w:tcPr>
                                  <w:tcW w:w="1685" w:type="pct"/>
                                  <w:tcBorders>
                                    <w:top w:val="nil"/>
                                    <w:left w:val="nil"/>
                                    <w:bottom w:val="nil"/>
                                    <w:right w:val="nil"/>
                                  </w:tcBorders>
                                  <w:noWrap/>
                                  <w:hideMark/>
                                </w:tcPr>
                                <w:p w14:paraId="2C613246"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Gross Profit</w:t>
                                  </w:r>
                                </w:p>
                              </w:tc>
                              <w:tc>
                                <w:tcPr>
                                  <w:tcW w:w="558" w:type="pct"/>
                                  <w:tcBorders>
                                    <w:top w:val="single" w:sz="4" w:space="0" w:color="000000"/>
                                    <w:left w:val="nil"/>
                                    <w:bottom w:val="nil"/>
                                    <w:right w:val="nil"/>
                                  </w:tcBorders>
                                  <w:hideMark/>
                                </w:tcPr>
                                <w:p w14:paraId="27D277A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504621C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2D8B473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1.5 </w:t>
                                  </w:r>
                                </w:p>
                              </w:tc>
                              <w:tc>
                                <w:tcPr>
                                  <w:tcW w:w="558" w:type="pct"/>
                                  <w:tcBorders>
                                    <w:top w:val="single" w:sz="4" w:space="0" w:color="000000"/>
                                    <w:left w:val="nil"/>
                                    <w:bottom w:val="nil"/>
                                    <w:right w:val="nil"/>
                                  </w:tcBorders>
                                  <w:hideMark/>
                                </w:tcPr>
                                <w:p w14:paraId="53370E3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2.0 </w:t>
                                  </w:r>
                                </w:p>
                              </w:tc>
                              <w:tc>
                                <w:tcPr>
                                  <w:tcW w:w="547" w:type="pct"/>
                                  <w:tcBorders>
                                    <w:top w:val="single" w:sz="4" w:space="0" w:color="000000"/>
                                    <w:left w:val="nil"/>
                                    <w:bottom w:val="nil"/>
                                    <w:right w:val="nil"/>
                                  </w:tcBorders>
                                  <w:hideMark/>
                                </w:tcPr>
                                <w:p w14:paraId="022A72D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2.1 </w:t>
                                  </w:r>
                                </w:p>
                              </w:tc>
                              <w:tc>
                                <w:tcPr>
                                  <w:tcW w:w="558" w:type="pct"/>
                                  <w:tcBorders>
                                    <w:top w:val="single" w:sz="4" w:space="0" w:color="000000"/>
                                    <w:left w:val="nil"/>
                                    <w:bottom w:val="nil"/>
                                    <w:right w:val="nil"/>
                                  </w:tcBorders>
                                  <w:hideMark/>
                                </w:tcPr>
                                <w:p w14:paraId="318531F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2.1 </w:t>
                                  </w:r>
                                </w:p>
                              </w:tc>
                            </w:tr>
                            <w:tr w:rsidR="003C2F53" w:rsidRPr="007B6FA5" w14:paraId="709C0801" w14:textId="77777777" w:rsidTr="007B6FA5">
                              <w:trPr>
                                <w:trHeight w:val="204"/>
                              </w:trPr>
                              <w:tc>
                                <w:tcPr>
                                  <w:tcW w:w="1685" w:type="pct"/>
                                  <w:tcBorders>
                                    <w:top w:val="nil"/>
                                    <w:left w:val="nil"/>
                                    <w:bottom w:val="nil"/>
                                    <w:right w:val="nil"/>
                                  </w:tcBorders>
                                  <w:noWrap/>
                                  <w:hideMark/>
                                </w:tcPr>
                                <w:p w14:paraId="0C04574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Selling General &amp; Admin Exp.</w:t>
                                  </w:r>
                                </w:p>
                              </w:tc>
                              <w:tc>
                                <w:tcPr>
                                  <w:tcW w:w="558" w:type="pct"/>
                                  <w:tcBorders>
                                    <w:top w:val="nil"/>
                                    <w:left w:val="nil"/>
                                    <w:bottom w:val="nil"/>
                                    <w:right w:val="nil"/>
                                  </w:tcBorders>
                                  <w:hideMark/>
                                </w:tcPr>
                                <w:p w14:paraId="1D962C2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1.0 </w:t>
                                  </w:r>
                                </w:p>
                              </w:tc>
                              <w:tc>
                                <w:tcPr>
                                  <w:tcW w:w="547" w:type="pct"/>
                                  <w:tcBorders>
                                    <w:top w:val="nil"/>
                                    <w:left w:val="nil"/>
                                    <w:bottom w:val="nil"/>
                                    <w:right w:val="nil"/>
                                  </w:tcBorders>
                                  <w:hideMark/>
                                </w:tcPr>
                                <w:p w14:paraId="252854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1.2 </w:t>
                                  </w:r>
                                </w:p>
                              </w:tc>
                              <w:tc>
                                <w:tcPr>
                                  <w:tcW w:w="547" w:type="pct"/>
                                  <w:tcBorders>
                                    <w:top w:val="nil"/>
                                    <w:left w:val="nil"/>
                                    <w:bottom w:val="nil"/>
                                    <w:right w:val="nil"/>
                                  </w:tcBorders>
                                  <w:hideMark/>
                                </w:tcPr>
                                <w:p w14:paraId="17516E0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1.3 </w:t>
                                  </w:r>
                                </w:p>
                              </w:tc>
                              <w:tc>
                                <w:tcPr>
                                  <w:tcW w:w="558" w:type="pct"/>
                                  <w:tcBorders>
                                    <w:top w:val="nil"/>
                                    <w:left w:val="nil"/>
                                    <w:bottom w:val="nil"/>
                                    <w:right w:val="nil"/>
                                  </w:tcBorders>
                                  <w:hideMark/>
                                </w:tcPr>
                                <w:p w14:paraId="29F7405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1.5 </w:t>
                                  </w:r>
                                </w:p>
                              </w:tc>
                              <w:tc>
                                <w:tcPr>
                                  <w:tcW w:w="547" w:type="pct"/>
                                  <w:tcBorders>
                                    <w:top w:val="nil"/>
                                    <w:left w:val="nil"/>
                                    <w:bottom w:val="nil"/>
                                    <w:right w:val="nil"/>
                                  </w:tcBorders>
                                  <w:hideMark/>
                                </w:tcPr>
                                <w:p w14:paraId="0D6C00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1.7 </w:t>
                                  </w:r>
                                </w:p>
                              </w:tc>
                              <w:tc>
                                <w:tcPr>
                                  <w:tcW w:w="558" w:type="pct"/>
                                  <w:tcBorders>
                                    <w:top w:val="nil"/>
                                    <w:left w:val="nil"/>
                                    <w:bottom w:val="nil"/>
                                    <w:right w:val="nil"/>
                                  </w:tcBorders>
                                  <w:hideMark/>
                                </w:tcPr>
                                <w:p w14:paraId="0365B9F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1.6 </w:t>
                                  </w:r>
                                </w:p>
                              </w:tc>
                            </w:tr>
                            <w:tr w:rsidR="003C2F53" w:rsidRPr="007B6FA5" w14:paraId="7F16A4AF" w14:textId="77777777" w:rsidTr="007B6FA5">
                              <w:trPr>
                                <w:trHeight w:val="204"/>
                              </w:trPr>
                              <w:tc>
                                <w:tcPr>
                                  <w:tcW w:w="1685" w:type="pct"/>
                                  <w:tcBorders>
                                    <w:top w:val="nil"/>
                                    <w:left w:val="nil"/>
                                    <w:bottom w:val="nil"/>
                                    <w:right w:val="nil"/>
                                  </w:tcBorders>
                                  <w:noWrap/>
                                  <w:hideMark/>
                                </w:tcPr>
                                <w:p w14:paraId="2CEBEEF3"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Provision for Bad Debts</w:t>
                                  </w:r>
                                </w:p>
                              </w:tc>
                              <w:tc>
                                <w:tcPr>
                                  <w:tcW w:w="558" w:type="pct"/>
                                  <w:tcBorders>
                                    <w:top w:val="nil"/>
                                    <w:left w:val="nil"/>
                                    <w:bottom w:val="nil"/>
                                    <w:right w:val="nil"/>
                                  </w:tcBorders>
                                  <w:hideMark/>
                                </w:tcPr>
                                <w:p w14:paraId="723A98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D0C5BB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E2800C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0FB1D49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34347A3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C4285D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4052AE7F" w14:textId="77777777" w:rsidTr="007B6FA5">
                              <w:trPr>
                                <w:trHeight w:val="204"/>
                              </w:trPr>
                              <w:tc>
                                <w:tcPr>
                                  <w:tcW w:w="1685" w:type="pct"/>
                                  <w:tcBorders>
                                    <w:top w:val="nil"/>
                                    <w:left w:val="nil"/>
                                    <w:bottom w:val="nil"/>
                                    <w:right w:val="nil"/>
                                  </w:tcBorders>
                                  <w:noWrap/>
                                  <w:hideMark/>
                                </w:tcPr>
                                <w:p w14:paraId="22B8C443"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Depreciation &amp; Amort.</w:t>
                                  </w:r>
                                </w:p>
                              </w:tc>
                              <w:tc>
                                <w:tcPr>
                                  <w:tcW w:w="558" w:type="pct"/>
                                  <w:tcBorders>
                                    <w:top w:val="nil"/>
                                    <w:left w:val="nil"/>
                                    <w:bottom w:val="nil"/>
                                    <w:right w:val="nil"/>
                                  </w:tcBorders>
                                  <w:hideMark/>
                                </w:tcPr>
                                <w:p w14:paraId="254E0D6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E64810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0B5EEB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E94874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3317691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24287D1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r>
                            <w:tr w:rsidR="003C2F53" w:rsidRPr="007B6FA5" w14:paraId="14682802" w14:textId="77777777" w:rsidTr="007B6FA5">
                              <w:trPr>
                                <w:trHeight w:val="204"/>
                              </w:trPr>
                              <w:tc>
                                <w:tcPr>
                                  <w:tcW w:w="1685" w:type="pct"/>
                                  <w:tcBorders>
                                    <w:top w:val="nil"/>
                                    <w:left w:val="nil"/>
                                    <w:bottom w:val="nil"/>
                                    <w:right w:val="nil"/>
                                  </w:tcBorders>
                                  <w:noWrap/>
                                  <w:hideMark/>
                                </w:tcPr>
                                <w:p w14:paraId="3EFD1641"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Operating Expense/(Income)</w:t>
                                  </w:r>
                                </w:p>
                              </w:tc>
                              <w:tc>
                                <w:tcPr>
                                  <w:tcW w:w="558" w:type="pct"/>
                                  <w:tcBorders>
                                    <w:top w:val="nil"/>
                                    <w:left w:val="nil"/>
                                    <w:bottom w:val="nil"/>
                                    <w:right w:val="nil"/>
                                  </w:tcBorders>
                                  <w:hideMark/>
                                </w:tcPr>
                                <w:p w14:paraId="0E4B867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2726EA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B0CCED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t>
                                  </w:r>
                                </w:p>
                              </w:tc>
                              <w:tc>
                                <w:tcPr>
                                  <w:tcW w:w="558" w:type="pct"/>
                                  <w:tcBorders>
                                    <w:top w:val="nil"/>
                                    <w:left w:val="nil"/>
                                    <w:bottom w:val="nil"/>
                                    <w:right w:val="nil"/>
                                  </w:tcBorders>
                                  <w:hideMark/>
                                </w:tcPr>
                                <w:p w14:paraId="35671E5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002D3A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77F944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r>
                            <w:tr w:rsidR="003C2F53" w:rsidRPr="007B6FA5" w14:paraId="6D329FC2" w14:textId="77777777" w:rsidTr="007B6FA5">
                              <w:trPr>
                                <w:trHeight w:val="204"/>
                              </w:trPr>
                              <w:tc>
                                <w:tcPr>
                                  <w:tcW w:w="1685" w:type="pct"/>
                                  <w:tcBorders>
                                    <w:top w:val="nil"/>
                                    <w:left w:val="nil"/>
                                    <w:bottom w:val="nil"/>
                                    <w:right w:val="nil"/>
                                  </w:tcBorders>
                                  <w:noWrap/>
                                  <w:hideMark/>
                                </w:tcPr>
                                <w:p w14:paraId="7AD3A1C0"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Other Operating Exp., Total</w:t>
                                  </w:r>
                                </w:p>
                              </w:tc>
                              <w:tc>
                                <w:tcPr>
                                  <w:tcW w:w="558" w:type="pct"/>
                                  <w:tcBorders>
                                    <w:top w:val="single" w:sz="4" w:space="0" w:color="000000"/>
                                    <w:left w:val="nil"/>
                                    <w:bottom w:val="nil"/>
                                    <w:right w:val="nil"/>
                                  </w:tcBorders>
                                  <w:hideMark/>
                                </w:tcPr>
                                <w:p w14:paraId="23F1387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1.2 </w:t>
                                  </w:r>
                                </w:p>
                              </w:tc>
                              <w:tc>
                                <w:tcPr>
                                  <w:tcW w:w="547" w:type="pct"/>
                                  <w:tcBorders>
                                    <w:top w:val="single" w:sz="4" w:space="0" w:color="000000"/>
                                    <w:left w:val="nil"/>
                                    <w:bottom w:val="nil"/>
                                    <w:right w:val="nil"/>
                                  </w:tcBorders>
                                  <w:hideMark/>
                                </w:tcPr>
                                <w:p w14:paraId="780FEE7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1.3 </w:t>
                                  </w:r>
                                </w:p>
                              </w:tc>
                              <w:tc>
                                <w:tcPr>
                                  <w:tcW w:w="547" w:type="pct"/>
                                  <w:tcBorders>
                                    <w:top w:val="single" w:sz="4" w:space="0" w:color="000000"/>
                                    <w:left w:val="nil"/>
                                    <w:bottom w:val="nil"/>
                                    <w:right w:val="nil"/>
                                  </w:tcBorders>
                                  <w:hideMark/>
                                </w:tcPr>
                                <w:p w14:paraId="163D39A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1.5 </w:t>
                                  </w:r>
                                </w:p>
                              </w:tc>
                              <w:tc>
                                <w:tcPr>
                                  <w:tcW w:w="558" w:type="pct"/>
                                  <w:tcBorders>
                                    <w:top w:val="single" w:sz="4" w:space="0" w:color="000000"/>
                                    <w:left w:val="nil"/>
                                    <w:bottom w:val="nil"/>
                                    <w:right w:val="nil"/>
                                  </w:tcBorders>
                                  <w:hideMark/>
                                </w:tcPr>
                                <w:p w14:paraId="45D8B80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1.8 </w:t>
                                  </w:r>
                                </w:p>
                              </w:tc>
                              <w:tc>
                                <w:tcPr>
                                  <w:tcW w:w="547" w:type="pct"/>
                                  <w:tcBorders>
                                    <w:top w:val="single" w:sz="4" w:space="0" w:color="000000"/>
                                    <w:left w:val="nil"/>
                                    <w:bottom w:val="nil"/>
                                    <w:right w:val="nil"/>
                                  </w:tcBorders>
                                  <w:hideMark/>
                                </w:tcPr>
                                <w:p w14:paraId="26186C30"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2.2 </w:t>
                                  </w:r>
                                </w:p>
                              </w:tc>
                              <w:tc>
                                <w:tcPr>
                                  <w:tcW w:w="558" w:type="pct"/>
                                  <w:tcBorders>
                                    <w:top w:val="single" w:sz="4" w:space="0" w:color="000000"/>
                                    <w:left w:val="nil"/>
                                    <w:bottom w:val="nil"/>
                                    <w:right w:val="nil"/>
                                  </w:tcBorders>
                                  <w:hideMark/>
                                </w:tcPr>
                                <w:p w14:paraId="11FB352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1.9 </w:t>
                                  </w:r>
                                </w:p>
                              </w:tc>
                            </w:tr>
                            <w:tr w:rsidR="003C2F53" w:rsidRPr="007B6FA5" w14:paraId="2270E67C" w14:textId="77777777" w:rsidTr="007B6FA5">
                              <w:trPr>
                                <w:trHeight w:val="204"/>
                              </w:trPr>
                              <w:tc>
                                <w:tcPr>
                                  <w:tcW w:w="1685" w:type="pct"/>
                                  <w:tcBorders>
                                    <w:top w:val="nil"/>
                                    <w:left w:val="nil"/>
                                    <w:bottom w:val="nil"/>
                                    <w:right w:val="nil"/>
                                  </w:tcBorders>
                                  <w:noWrap/>
                                  <w:hideMark/>
                                </w:tcPr>
                                <w:p w14:paraId="4A27D51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Operating Income</w:t>
                                  </w:r>
                                </w:p>
                              </w:tc>
                              <w:tc>
                                <w:tcPr>
                                  <w:tcW w:w="558" w:type="pct"/>
                                  <w:tcBorders>
                                    <w:top w:val="nil"/>
                                    <w:left w:val="nil"/>
                                    <w:bottom w:val="nil"/>
                                    <w:right w:val="nil"/>
                                  </w:tcBorders>
                                  <w:hideMark/>
                                </w:tcPr>
                                <w:p w14:paraId="752646F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587E593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0232406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0.0 </w:t>
                                  </w:r>
                                </w:p>
                              </w:tc>
                              <w:tc>
                                <w:tcPr>
                                  <w:tcW w:w="558" w:type="pct"/>
                                  <w:tcBorders>
                                    <w:top w:val="nil"/>
                                    <w:left w:val="nil"/>
                                    <w:bottom w:val="nil"/>
                                    <w:right w:val="nil"/>
                                  </w:tcBorders>
                                  <w:hideMark/>
                                </w:tcPr>
                                <w:p w14:paraId="5CDE18B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4F6822F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69133F5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0.3 </w:t>
                                  </w:r>
                                </w:p>
                              </w:tc>
                            </w:tr>
                            <w:tr w:rsidR="003C2F53" w:rsidRPr="007B6FA5" w14:paraId="6E03B068" w14:textId="77777777" w:rsidTr="007B6FA5">
                              <w:trPr>
                                <w:trHeight w:val="204"/>
                              </w:trPr>
                              <w:tc>
                                <w:tcPr>
                                  <w:tcW w:w="1685" w:type="pct"/>
                                  <w:tcBorders>
                                    <w:top w:val="nil"/>
                                    <w:left w:val="nil"/>
                                    <w:bottom w:val="nil"/>
                                    <w:right w:val="nil"/>
                                  </w:tcBorders>
                                  <w:noWrap/>
                                  <w:hideMark/>
                                </w:tcPr>
                                <w:p w14:paraId="6046F7A4"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Interest Expense</w:t>
                                  </w:r>
                                </w:p>
                              </w:tc>
                              <w:tc>
                                <w:tcPr>
                                  <w:tcW w:w="558" w:type="pct"/>
                                  <w:tcBorders>
                                    <w:top w:val="nil"/>
                                    <w:left w:val="nil"/>
                                    <w:bottom w:val="nil"/>
                                    <w:right w:val="nil"/>
                                  </w:tcBorders>
                                  <w:hideMark/>
                                </w:tcPr>
                                <w:p w14:paraId="1D972B3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B60BD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595C95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FED353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A1E7BB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5E7C9F9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r>
                            <w:tr w:rsidR="003C2F53" w:rsidRPr="007B6FA5" w14:paraId="0CF81E35" w14:textId="77777777" w:rsidTr="007B6FA5">
                              <w:trPr>
                                <w:trHeight w:val="204"/>
                              </w:trPr>
                              <w:tc>
                                <w:tcPr>
                                  <w:tcW w:w="1685" w:type="pct"/>
                                  <w:tcBorders>
                                    <w:top w:val="nil"/>
                                    <w:left w:val="nil"/>
                                    <w:bottom w:val="nil"/>
                                    <w:right w:val="nil"/>
                                  </w:tcBorders>
                                  <w:noWrap/>
                                  <w:hideMark/>
                                </w:tcPr>
                                <w:p w14:paraId="1E938157"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Interest and Invest. Income</w:t>
                                  </w:r>
                                </w:p>
                              </w:tc>
                              <w:tc>
                                <w:tcPr>
                                  <w:tcW w:w="558" w:type="pct"/>
                                  <w:tcBorders>
                                    <w:top w:val="nil"/>
                                    <w:left w:val="nil"/>
                                    <w:bottom w:val="nil"/>
                                    <w:right w:val="nil"/>
                                  </w:tcBorders>
                                  <w:hideMark/>
                                </w:tcPr>
                                <w:p w14:paraId="1BD5AE5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F8D066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103AB6D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37853CD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D7B925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8AA01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3C6C39E6" w14:textId="77777777" w:rsidTr="007B6FA5">
                              <w:trPr>
                                <w:trHeight w:val="204"/>
                              </w:trPr>
                              <w:tc>
                                <w:tcPr>
                                  <w:tcW w:w="1685" w:type="pct"/>
                                  <w:tcBorders>
                                    <w:top w:val="nil"/>
                                    <w:left w:val="nil"/>
                                    <w:bottom w:val="nil"/>
                                    <w:right w:val="nil"/>
                                  </w:tcBorders>
                                  <w:noWrap/>
                                  <w:hideMark/>
                                </w:tcPr>
                                <w:p w14:paraId="25AB84BD"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Interest Exp.</w:t>
                                  </w:r>
                                </w:p>
                              </w:tc>
                              <w:tc>
                                <w:tcPr>
                                  <w:tcW w:w="558" w:type="pct"/>
                                  <w:tcBorders>
                                    <w:top w:val="single" w:sz="4" w:space="0" w:color="000000"/>
                                    <w:left w:val="nil"/>
                                    <w:bottom w:val="nil"/>
                                    <w:right w:val="nil"/>
                                  </w:tcBorders>
                                  <w:hideMark/>
                                </w:tcPr>
                                <w:p w14:paraId="401003F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4174717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2B30F90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10CE80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D31CF9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5AF6782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F440126" w14:textId="77777777" w:rsidTr="007B6FA5">
                              <w:trPr>
                                <w:trHeight w:val="204"/>
                              </w:trPr>
                              <w:tc>
                                <w:tcPr>
                                  <w:tcW w:w="1685" w:type="pct"/>
                                  <w:tcBorders>
                                    <w:top w:val="nil"/>
                                    <w:left w:val="nil"/>
                                    <w:bottom w:val="nil"/>
                                    <w:right w:val="nil"/>
                                  </w:tcBorders>
                                  <w:noWrap/>
                                  <w:hideMark/>
                                </w:tcPr>
                                <w:p w14:paraId="1EF5FC35"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Income/(Loss) from Affiliates</w:t>
                                  </w:r>
                                </w:p>
                              </w:tc>
                              <w:tc>
                                <w:tcPr>
                                  <w:tcW w:w="558" w:type="pct"/>
                                  <w:tcBorders>
                                    <w:top w:val="nil"/>
                                    <w:left w:val="nil"/>
                                    <w:bottom w:val="nil"/>
                                    <w:right w:val="nil"/>
                                  </w:tcBorders>
                                  <w:hideMark/>
                                </w:tcPr>
                                <w:p w14:paraId="5DD933F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0AAE2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6AEA7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556FBFF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B24813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027EA31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r>
                            <w:tr w:rsidR="003C2F53" w:rsidRPr="007B6FA5" w14:paraId="3327652F" w14:textId="77777777" w:rsidTr="007B6FA5">
                              <w:trPr>
                                <w:trHeight w:val="204"/>
                              </w:trPr>
                              <w:tc>
                                <w:tcPr>
                                  <w:tcW w:w="1685" w:type="pct"/>
                                  <w:tcBorders>
                                    <w:top w:val="nil"/>
                                    <w:left w:val="nil"/>
                                    <w:bottom w:val="nil"/>
                                    <w:right w:val="nil"/>
                                  </w:tcBorders>
                                  <w:noWrap/>
                                  <w:hideMark/>
                                </w:tcPr>
                                <w:p w14:paraId="7EECED70"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Non-Operating Inc. (Exp.)</w:t>
                                  </w:r>
                                </w:p>
                              </w:tc>
                              <w:tc>
                                <w:tcPr>
                                  <w:tcW w:w="558" w:type="pct"/>
                                  <w:tcBorders>
                                    <w:top w:val="nil"/>
                                    <w:left w:val="nil"/>
                                    <w:bottom w:val="nil"/>
                                    <w:right w:val="nil"/>
                                  </w:tcBorders>
                                  <w:hideMark/>
                                </w:tcPr>
                                <w:p w14:paraId="625DE25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6C0F8C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415981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7B7910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E6DD25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062ACD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1C62EC85" w14:textId="77777777" w:rsidTr="007B6FA5">
                              <w:trPr>
                                <w:trHeight w:val="204"/>
                              </w:trPr>
                              <w:tc>
                                <w:tcPr>
                                  <w:tcW w:w="1685" w:type="pct"/>
                                  <w:tcBorders>
                                    <w:top w:val="nil"/>
                                    <w:left w:val="nil"/>
                                    <w:bottom w:val="nil"/>
                                    <w:right w:val="nil"/>
                                  </w:tcBorders>
                                  <w:noWrap/>
                                  <w:hideMark/>
                                </w:tcPr>
                                <w:p w14:paraId="096178C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EBT Excl. Unusual Items</w:t>
                                  </w:r>
                                </w:p>
                              </w:tc>
                              <w:tc>
                                <w:tcPr>
                                  <w:tcW w:w="558" w:type="pct"/>
                                  <w:tcBorders>
                                    <w:top w:val="single" w:sz="4" w:space="0" w:color="000000"/>
                                    <w:left w:val="nil"/>
                                    <w:bottom w:val="nil"/>
                                    <w:right w:val="nil"/>
                                  </w:tcBorders>
                                  <w:hideMark/>
                                </w:tcPr>
                                <w:p w14:paraId="7B62D5F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19B81C2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71C1A4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1C29963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0273EC0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(0.5)  </w:t>
                                  </w:r>
                                </w:p>
                              </w:tc>
                              <w:tc>
                                <w:tcPr>
                                  <w:tcW w:w="558" w:type="pct"/>
                                  <w:tcBorders>
                                    <w:top w:val="single" w:sz="4" w:space="0" w:color="000000"/>
                                    <w:left w:val="nil"/>
                                    <w:bottom w:val="nil"/>
                                    <w:right w:val="nil"/>
                                  </w:tcBorders>
                                  <w:hideMark/>
                                </w:tcPr>
                                <w:p w14:paraId="3432D00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0.0 </w:t>
                                  </w:r>
                                </w:p>
                              </w:tc>
                            </w:tr>
                            <w:tr w:rsidR="003C2F53" w:rsidRPr="007B6FA5" w14:paraId="22A59B72" w14:textId="77777777" w:rsidTr="007B6FA5">
                              <w:trPr>
                                <w:trHeight w:val="204"/>
                              </w:trPr>
                              <w:tc>
                                <w:tcPr>
                                  <w:tcW w:w="1685" w:type="pct"/>
                                  <w:tcBorders>
                                    <w:top w:val="nil"/>
                                    <w:left w:val="nil"/>
                                    <w:bottom w:val="nil"/>
                                    <w:right w:val="nil"/>
                                  </w:tcBorders>
                                  <w:noWrap/>
                                  <w:hideMark/>
                                </w:tcPr>
                                <w:p w14:paraId="1A18643D"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Legal Settlements</w:t>
                                  </w:r>
                                </w:p>
                              </w:tc>
                              <w:tc>
                                <w:tcPr>
                                  <w:tcW w:w="558" w:type="pct"/>
                                  <w:tcBorders>
                                    <w:top w:val="nil"/>
                                    <w:left w:val="nil"/>
                                    <w:bottom w:val="nil"/>
                                    <w:right w:val="nil"/>
                                  </w:tcBorders>
                                  <w:hideMark/>
                                </w:tcPr>
                                <w:p w14:paraId="34CA3B4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D51A2D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FE19A0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CDDE82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82057E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BD8AE5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3E178EC0" w14:textId="77777777" w:rsidTr="007B6FA5">
                              <w:trPr>
                                <w:trHeight w:val="204"/>
                              </w:trPr>
                              <w:tc>
                                <w:tcPr>
                                  <w:tcW w:w="1685" w:type="pct"/>
                                  <w:tcBorders>
                                    <w:top w:val="nil"/>
                                    <w:left w:val="nil"/>
                                    <w:bottom w:val="nil"/>
                                    <w:right w:val="nil"/>
                                  </w:tcBorders>
                                  <w:noWrap/>
                                  <w:hideMark/>
                                </w:tcPr>
                                <w:p w14:paraId="46493BB5"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Unusual Items</w:t>
                                  </w:r>
                                </w:p>
                              </w:tc>
                              <w:tc>
                                <w:tcPr>
                                  <w:tcW w:w="558" w:type="pct"/>
                                  <w:tcBorders>
                                    <w:top w:val="nil"/>
                                    <w:left w:val="nil"/>
                                    <w:bottom w:val="nil"/>
                                    <w:right w:val="nil"/>
                                  </w:tcBorders>
                                  <w:hideMark/>
                                </w:tcPr>
                                <w:p w14:paraId="028459B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A715AA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9AE93F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196FC53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FEDE8A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50363C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r>
                            <w:tr w:rsidR="003C2F53" w:rsidRPr="007B6FA5" w14:paraId="3B37B795" w14:textId="77777777" w:rsidTr="007B6FA5">
                              <w:trPr>
                                <w:trHeight w:val="204"/>
                              </w:trPr>
                              <w:tc>
                                <w:tcPr>
                                  <w:tcW w:w="1685" w:type="pct"/>
                                  <w:tcBorders>
                                    <w:top w:val="nil"/>
                                    <w:left w:val="nil"/>
                                    <w:bottom w:val="nil"/>
                                    <w:right w:val="nil"/>
                                  </w:tcBorders>
                                  <w:noWrap/>
                                  <w:hideMark/>
                                </w:tcPr>
                                <w:p w14:paraId="28CC443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EBT Incl. Unusual Items</w:t>
                                  </w:r>
                                </w:p>
                              </w:tc>
                              <w:tc>
                                <w:tcPr>
                                  <w:tcW w:w="558" w:type="pct"/>
                                  <w:tcBorders>
                                    <w:top w:val="single" w:sz="4" w:space="0" w:color="000000"/>
                                    <w:left w:val="nil"/>
                                    <w:bottom w:val="nil"/>
                                    <w:right w:val="nil"/>
                                  </w:tcBorders>
                                  <w:hideMark/>
                                </w:tcPr>
                                <w:p w14:paraId="3F613A4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0.3 </w:t>
                                  </w:r>
                                </w:p>
                              </w:tc>
                              <w:tc>
                                <w:tcPr>
                                  <w:tcW w:w="547" w:type="pct"/>
                                  <w:tcBorders>
                                    <w:top w:val="single" w:sz="4" w:space="0" w:color="000000"/>
                                    <w:left w:val="nil"/>
                                    <w:bottom w:val="nil"/>
                                    <w:right w:val="nil"/>
                                  </w:tcBorders>
                                  <w:hideMark/>
                                </w:tcPr>
                                <w:p w14:paraId="1006C41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E9E571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58" w:type="pct"/>
                                  <w:tcBorders>
                                    <w:top w:val="single" w:sz="4" w:space="0" w:color="000000"/>
                                    <w:left w:val="nil"/>
                                    <w:bottom w:val="nil"/>
                                    <w:right w:val="nil"/>
                                  </w:tcBorders>
                                  <w:hideMark/>
                                </w:tcPr>
                                <w:p w14:paraId="4B7FDCE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034B6CB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(0.4)  </w:t>
                                  </w:r>
                                </w:p>
                              </w:tc>
                              <w:tc>
                                <w:tcPr>
                                  <w:tcW w:w="558" w:type="pct"/>
                                  <w:tcBorders>
                                    <w:top w:val="single" w:sz="4" w:space="0" w:color="000000"/>
                                    <w:left w:val="nil"/>
                                    <w:bottom w:val="nil"/>
                                    <w:right w:val="nil"/>
                                  </w:tcBorders>
                                  <w:hideMark/>
                                </w:tcPr>
                                <w:p w14:paraId="7F9611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r>
                            <w:tr w:rsidR="003C2F53" w:rsidRPr="007B6FA5" w14:paraId="35112084" w14:textId="77777777" w:rsidTr="007B6FA5">
                              <w:trPr>
                                <w:trHeight w:val="204"/>
                              </w:trPr>
                              <w:tc>
                                <w:tcPr>
                                  <w:tcW w:w="1685" w:type="pct"/>
                                  <w:tcBorders>
                                    <w:top w:val="nil"/>
                                    <w:left w:val="nil"/>
                                    <w:bottom w:val="nil"/>
                                    <w:right w:val="nil"/>
                                  </w:tcBorders>
                                  <w:noWrap/>
                                  <w:hideMark/>
                                </w:tcPr>
                                <w:p w14:paraId="638AA25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Income Tax Expense</w:t>
                                  </w:r>
                                </w:p>
                              </w:tc>
                              <w:tc>
                                <w:tcPr>
                                  <w:tcW w:w="558" w:type="pct"/>
                                  <w:tcBorders>
                                    <w:top w:val="nil"/>
                                    <w:left w:val="nil"/>
                                    <w:bottom w:val="nil"/>
                                    <w:right w:val="nil"/>
                                  </w:tcBorders>
                                  <w:hideMark/>
                                </w:tcPr>
                                <w:p w14:paraId="58840F2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D45E93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E10B69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23A00B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63982D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58" w:type="pct"/>
                                  <w:tcBorders>
                                    <w:top w:val="nil"/>
                                    <w:left w:val="nil"/>
                                    <w:bottom w:val="nil"/>
                                    <w:right w:val="nil"/>
                                  </w:tcBorders>
                                  <w:hideMark/>
                                </w:tcPr>
                                <w:p w14:paraId="275CFAE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72658CD4" w14:textId="77777777" w:rsidTr="007B6FA5">
                              <w:trPr>
                                <w:trHeight w:val="204"/>
                              </w:trPr>
                              <w:tc>
                                <w:tcPr>
                                  <w:tcW w:w="1685" w:type="pct"/>
                                  <w:tcBorders>
                                    <w:top w:val="nil"/>
                                    <w:left w:val="nil"/>
                                    <w:bottom w:val="nil"/>
                                    <w:right w:val="nil"/>
                                  </w:tcBorders>
                                  <w:noWrap/>
                                  <w:hideMark/>
                                </w:tcPr>
                                <w:p w14:paraId="6D194A2F"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Earnings from Cont. Ops.</w:t>
                                  </w:r>
                                </w:p>
                              </w:tc>
                              <w:tc>
                                <w:tcPr>
                                  <w:tcW w:w="558" w:type="pct"/>
                                  <w:tcBorders>
                                    <w:top w:val="single" w:sz="4" w:space="0" w:color="000000"/>
                                    <w:left w:val="nil"/>
                                    <w:bottom w:val="nil"/>
                                    <w:right w:val="nil"/>
                                  </w:tcBorders>
                                  <w:hideMark/>
                                </w:tcPr>
                                <w:p w14:paraId="7E3FCBE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07F682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2CBF31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45399F7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EA821A0"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231EDF3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6B5087C3" w14:textId="77777777" w:rsidTr="007B6FA5">
                              <w:trPr>
                                <w:trHeight w:val="204"/>
                              </w:trPr>
                              <w:tc>
                                <w:tcPr>
                                  <w:tcW w:w="1685" w:type="pct"/>
                                  <w:tcBorders>
                                    <w:top w:val="nil"/>
                                    <w:left w:val="nil"/>
                                    <w:bottom w:val="nil"/>
                                    <w:right w:val="nil"/>
                                  </w:tcBorders>
                                  <w:noWrap/>
                                  <w:hideMark/>
                                </w:tcPr>
                                <w:p w14:paraId="3CD89109"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Income to Company</w:t>
                                  </w:r>
                                </w:p>
                              </w:tc>
                              <w:tc>
                                <w:tcPr>
                                  <w:tcW w:w="558" w:type="pct"/>
                                  <w:tcBorders>
                                    <w:top w:val="single" w:sz="4" w:space="0" w:color="000000"/>
                                    <w:left w:val="nil"/>
                                    <w:bottom w:val="nil"/>
                                    <w:right w:val="nil"/>
                                  </w:tcBorders>
                                  <w:hideMark/>
                                </w:tcPr>
                                <w:p w14:paraId="5B40CF0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6053015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B66DFC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64A40DE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4B6B96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70F4684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D60DC9E" w14:textId="77777777" w:rsidTr="007B6FA5">
                              <w:trPr>
                                <w:trHeight w:val="204"/>
                              </w:trPr>
                              <w:tc>
                                <w:tcPr>
                                  <w:tcW w:w="1685" w:type="pct"/>
                                  <w:tcBorders>
                                    <w:top w:val="nil"/>
                                    <w:left w:val="nil"/>
                                    <w:bottom w:val="nil"/>
                                    <w:right w:val="nil"/>
                                  </w:tcBorders>
                                  <w:noWrap/>
                                  <w:hideMark/>
                                </w:tcPr>
                                <w:p w14:paraId="0B753150"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Income</w:t>
                                  </w:r>
                                </w:p>
                              </w:tc>
                              <w:tc>
                                <w:tcPr>
                                  <w:tcW w:w="558" w:type="pct"/>
                                  <w:tcBorders>
                                    <w:top w:val="single" w:sz="4" w:space="0" w:color="000000"/>
                                    <w:left w:val="nil"/>
                                    <w:bottom w:val="nil"/>
                                    <w:right w:val="nil"/>
                                  </w:tcBorders>
                                  <w:hideMark/>
                                </w:tcPr>
                                <w:p w14:paraId="29F18C1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0.2 </w:t>
                                  </w:r>
                                </w:p>
                              </w:tc>
                              <w:tc>
                                <w:tcPr>
                                  <w:tcW w:w="547" w:type="pct"/>
                                  <w:tcBorders>
                                    <w:top w:val="single" w:sz="4" w:space="0" w:color="000000"/>
                                    <w:left w:val="nil"/>
                                    <w:bottom w:val="nil"/>
                                    <w:right w:val="nil"/>
                                  </w:tcBorders>
                                  <w:hideMark/>
                                </w:tcPr>
                                <w:p w14:paraId="32978FB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B713F0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58" w:type="pct"/>
                                  <w:tcBorders>
                                    <w:top w:val="single" w:sz="4" w:space="0" w:color="000000"/>
                                    <w:left w:val="nil"/>
                                    <w:bottom w:val="nil"/>
                                    <w:right w:val="nil"/>
                                  </w:tcBorders>
                                  <w:hideMark/>
                                </w:tcPr>
                                <w:p w14:paraId="428B46A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421881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(0.2)  </w:t>
                                  </w:r>
                                </w:p>
                              </w:tc>
                              <w:tc>
                                <w:tcPr>
                                  <w:tcW w:w="558" w:type="pct"/>
                                  <w:tcBorders>
                                    <w:top w:val="single" w:sz="4" w:space="0" w:color="000000"/>
                                    <w:left w:val="nil"/>
                                    <w:bottom w:val="nil"/>
                                    <w:right w:val="nil"/>
                                  </w:tcBorders>
                                  <w:hideMark/>
                                </w:tcPr>
                                <w:p w14:paraId="456EF95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r>
                            <w:tr w:rsidR="003C2F53" w:rsidRPr="007B6FA5" w14:paraId="5004077D" w14:textId="77777777" w:rsidTr="007B6FA5">
                              <w:trPr>
                                <w:trHeight w:val="204"/>
                              </w:trPr>
                              <w:tc>
                                <w:tcPr>
                                  <w:tcW w:w="1685" w:type="pct"/>
                                  <w:tcBorders>
                                    <w:top w:val="nil"/>
                                    <w:left w:val="nil"/>
                                    <w:bottom w:val="nil"/>
                                    <w:right w:val="nil"/>
                                  </w:tcBorders>
                                  <w:noWrap/>
                                  <w:hideMark/>
                                </w:tcPr>
                                <w:p w14:paraId="17FC7AF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NI to Common </w:t>
                                  </w:r>
                                  <w:r w:rsidRPr="007B6FA5">
                                    <w:rPr>
                                      <w:rFonts w:ascii="Cambria" w:eastAsia="Times New Roman" w:hAnsi="Cambria" w:cs="Arial"/>
                                      <w:b/>
                                      <w:bCs/>
                                      <w:color w:val="000000"/>
                                      <w:kern w:val="0"/>
                                      <w:sz w:val="14"/>
                                      <w:szCs w:val="14"/>
                                      <w:lang w:eastAsia="en-IN"/>
                                      <w14:ligatures w14:val="none"/>
                                    </w:rPr>
                                    <w:t>Incl Extra Items</w:t>
                                  </w:r>
                                </w:p>
                              </w:tc>
                              <w:tc>
                                <w:tcPr>
                                  <w:tcW w:w="558" w:type="pct"/>
                                  <w:tcBorders>
                                    <w:top w:val="nil"/>
                                    <w:left w:val="nil"/>
                                    <w:bottom w:val="nil"/>
                                    <w:right w:val="nil"/>
                                  </w:tcBorders>
                                  <w:hideMark/>
                                </w:tcPr>
                                <w:p w14:paraId="4C05CF8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15F6AB8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331E68A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30A2958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684E5BD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nil"/>
                                    <w:left w:val="nil"/>
                                    <w:bottom w:val="nil"/>
                                    <w:right w:val="nil"/>
                                  </w:tcBorders>
                                  <w:hideMark/>
                                </w:tcPr>
                                <w:p w14:paraId="2126291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7C82AA9" w14:textId="77777777" w:rsidTr="007B6FA5">
                              <w:trPr>
                                <w:trHeight w:val="204"/>
                              </w:trPr>
                              <w:tc>
                                <w:tcPr>
                                  <w:tcW w:w="1685" w:type="pct"/>
                                  <w:tcBorders>
                                    <w:top w:val="nil"/>
                                    <w:left w:val="nil"/>
                                    <w:bottom w:val="nil"/>
                                    <w:right w:val="nil"/>
                                  </w:tcBorders>
                                  <w:noWrap/>
                                  <w:hideMark/>
                                </w:tcPr>
                                <w:p w14:paraId="45A02AF7"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NI to Common Excl. Extra Items</w:t>
                                  </w:r>
                                </w:p>
                              </w:tc>
                              <w:tc>
                                <w:tcPr>
                                  <w:tcW w:w="558" w:type="pct"/>
                                  <w:tcBorders>
                                    <w:top w:val="nil"/>
                                    <w:left w:val="nil"/>
                                    <w:bottom w:val="nil"/>
                                    <w:right w:val="nil"/>
                                  </w:tcBorders>
                                  <w:hideMark/>
                                </w:tcPr>
                                <w:p w14:paraId="2C9D166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2172457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37E0A9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40E0B0B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E82FE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nil"/>
                                    <w:left w:val="nil"/>
                                    <w:bottom w:val="nil"/>
                                    <w:right w:val="nil"/>
                                  </w:tcBorders>
                                  <w:hideMark/>
                                </w:tcPr>
                                <w:p w14:paraId="1481849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7B6FA5" w:rsidRPr="007B6FA5" w14:paraId="50E181F1" w14:textId="77777777" w:rsidTr="007B6FA5">
                              <w:trPr>
                                <w:trHeight w:val="204"/>
                              </w:trPr>
                              <w:tc>
                                <w:tcPr>
                                  <w:tcW w:w="1685" w:type="pct"/>
                                  <w:tcBorders>
                                    <w:top w:val="nil"/>
                                    <w:left w:val="nil"/>
                                    <w:bottom w:val="nil"/>
                                    <w:right w:val="nil"/>
                                  </w:tcBorders>
                                  <w:noWrap/>
                                  <w:hideMark/>
                                </w:tcPr>
                                <w:p w14:paraId="651969C3"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Per Share Items</w:t>
                                  </w:r>
                                </w:p>
                              </w:tc>
                              <w:tc>
                                <w:tcPr>
                                  <w:tcW w:w="558" w:type="pct"/>
                                  <w:tcBorders>
                                    <w:top w:val="nil"/>
                                    <w:left w:val="nil"/>
                                    <w:bottom w:val="nil"/>
                                    <w:right w:val="nil"/>
                                  </w:tcBorders>
                                  <w:noWrap/>
                                  <w:hideMark/>
                                </w:tcPr>
                                <w:p w14:paraId="1AFB4BE9"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p>
                              </w:tc>
                              <w:tc>
                                <w:tcPr>
                                  <w:tcW w:w="547" w:type="pct"/>
                                  <w:tcBorders>
                                    <w:top w:val="nil"/>
                                    <w:left w:val="nil"/>
                                    <w:bottom w:val="nil"/>
                                    <w:right w:val="nil"/>
                                  </w:tcBorders>
                                  <w:noWrap/>
                                  <w:hideMark/>
                                </w:tcPr>
                                <w:p w14:paraId="359BFCF7"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3C4468F8"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277BD8BF"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5536EB61"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36F0D9D5"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r>
                            <w:tr w:rsidR="003C2F53" w:rsidRPr="007B6FA5" w14:paraId="04F8456D" w14:textId="77777777" w:rsidTr="007B6FA5">
                              <w:trPr>
                                <w:trHeight w:val="204"/>
                              </w:trPr>
                              <w:tc>
                                <w:tcPr>
                                  <w:tcW w:w="1685" w:type="pct"/>
                                  <w:tcBorders>
                                    <w:top w:val="nil"/>
                                    <w:left w:val="nil"/>
                                    <w:bottom w:val="nil"/>
                                    <w:right w:val="nil"/>
                                  </w:tcBorders>
                                  <w:noWrap/>
                                  <w:hideMark/>
                                </w:tcPr>
                                <w:p w14:paraId="7642D1EA"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Basic EPS</w:t>
                                  </w:r>
                                </w:p>
                              </w:tc>
                              <w:tc>
                                <w:tcPr>
                                  <w:tcW w:w="558" w:type="pct"/>
                                  <w:tcBorders>
                                    <w:top w:val="nil"/>
                                    <w:left w:val="nil"/>
                                    <w:bottom w:val="nil"/>
                                    <w:right w:val="nil"/>
                                  </w:tcBorders>
                                  <w:hideMark/>
                                </w:tcPr>
                                <w:p w14:paraId="7C7BF64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3AA37D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2D020AC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426576E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49901FC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391F687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1207A4B5" w14:textId="77777777" w:rsidTr="007B6FA5">
                              <w:trPr>
                                <w:trHeight w:val="204"/>
                              </w:trPr>
                              <w:tc>
                                <w:tcPr>
                                  <w:tcW w:w="1685" w:type="pct"/>
                                  <w:tcBorders>
                                    <w:top w:val="nil"/>
                                    <w:left w:val="nil"/>
                                    <w:bottom w:val="nil"/>
                                    <w:right w:val="nil"/>
                                  </w:tcBorders>
                                  <w:noWrap/>
                                  <w:hideMark/>
                                </w:tcPr>
                                <w:p w14:paraId="438C1B0C"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Basic EPS Excl. Extra Items</w:t>
                                  </w:r>
                                </w:p>
                              </w:tc>
                              <w:tc>
                                <w:tcPr>
                                  <w:tcW w:w="558" w:type="pct"/>
                                  <w:tcBorders>
                                    <w:top w:val="nil"/>
                                    <w:left w:val="nil"/>
                                    <w:bottom w:val="nil"/>
                                    <w:right w:val="nil"/>
                                  </w:tcBorders>
                                  <w:hideMark/>
                                </w:tcPr>
                                <w:p w14:paraId="70F67AE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3AD56D5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28D1A8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0E43ECC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5EDE46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1036668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6184394F" w14:textId="77777777" w:rsidTr="007B6FA5">
                              <w:trPr>
                                <w:trHeight w:val="204"/>
                              </w:trPr>
                              <w:tc>
                                <w:tcPr>
                                  <w:tcW w:w="1685" w:type="pct"/>
                                  <w:tcBorders>
                                    <w:top w:val="nil"/>
                                    <w:left w:val="nil"/>
                                    <w:bottom w:val="nil"/>
                                    <w:right w:val="nil"/>
                                  </w:tcBorders>
                                  <w:noWrap/>
                                  <w:hideMark/>
                                </w:tcPr>
                                <w:p w14:paraId="4A46638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Weighted Avg. Basic Shares Out.</w:t>
                                  </w:r>
                                </w:p>
                              </w:tc>
                              <w:tc>
                                <w:tcPr>
                                  <w:tcW w:w="558" w:type="pct"/>
                                  <w:tcBorders>
                                    <w:top w:val="nil"/>
                                    <w:left w:val="nil"/>
                                    <w:bottom w:val="nil"/>
                                    <w:right w:val="nil"/>
                                  </w:tcBorders>
                                  <w:hideMark/>
                                </w:tcPr>
                                <w:p w14:paraId="09663A7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0.6 </w:t>
                                  </w:r>
                                </w:p>
                              </w:tc>
                              <w:tc>
                                <w:tcPr>
                                  <w:tcW w:w="547" w:type="pct"/>
                                  <w:tcBorders>
                                    <w:top w:val="nil"/>
                                    <w:left w:val="nil"/>
                                    <w:bottom w:val="nil"/>
                                    <w:right w:val="nil"/>
                                  </w:tcBorders>
                                  <w:hideMark/>
                                </w:tcPr>
                                <w:p w14:paraId="31DCE48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0.6 </w:t>
                                  </w:r>
                                </w:p>
                              </w:tc>
                              <w:tc>
                                <w:tcPr>
                                  <w:tcW w:w="547" w:type="pct"/>
                                  <w:tcBorders>
                                    <w:top w:val="nil"/>
                                    <w:left w:val="nil"/>
                                    <w:bottom w:val="nil"/>
                                    <w:right w:val="nil"/>
                                  </w:tcBorders>
                                  <w:hideMark/>
                                </w:tcPr>
                                <w:p w14:paraId="0238FDD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5F6E19C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1DE00C3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37415C7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r>
                            <w:tr w:rsidR="003C2F53" w:rsidRPr="007B6FA5" w14:paraId="6B7D5DE2" w14:textId="77777777" w:rsidTr="007B6FA5">
                              <w:trPr>
                                <w:trHeight w:val="204"/>
                              </w:trPr>
                              <w:tc>
                                <w:tcPr>
                                  <w:tcW w:w="1685" w:type="pct"/>
                                  <w:tcBorders>
                                    <w:top w:val="nil"/>
                                    <w:left w:val="nil"/>
                                    <w:bottom w:val="nil"/>
                                    <w:right w:val="nil"/>
                                  </w:tcBorders>
                                  <w:noWrap/>
                                  <w:hideMark/>
                                </w:tcPr>
                                <w:p w14:paraId="289778D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Diluted EPS</w:t>
                                  </w:r>
                                </w:p>
                              </w:tc>
                              <w:tc>
                                <w:tcPr>
                                  <w:tcW w:w="558" w:type="pct"/>
                                  <w:tcBorders>
                                    <w:top w:val="nil"/>
                                    <w:left w:val="nil"/>
                                    <w:bottom w:val="nil"/>
                                    <w:right w:val="nil"/>
                                  </w:tcBorders>
                                  <w:hideMark/>
                                </w:tcPr>
                                <w:p w14:paraId="5604CF7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1196E00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641CDB9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4221C79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24F1BBA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68B7BA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4F665A0F" w14:textId="77777777" w:rsidTr="007B6FA5">
                              <w:trPr>
                                <w:trHeight w:val="204"/>
                              </w:trPr>
                              <w:tc>
                                <w:tcPr>
                                  <w:tcW w:w="1685" w:type="pct"/>
                                  <w:tcBorders>
                                    <w:top w:val="nil"/>
                                    <w:left w:val="nil"/>
                                    <w:bottom w:val="nil"/>
                                    <w:right w:val="nil"/>
                                  </w:tcBorders>
                                  <w:noWrap/>
                                  <w:hideMark/>
                                </w:tcPr>
                                <w:p w14:paraId="4387A80E"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Diluted EPS Excl. Extra Items</w:t>
                                  </w:r>
                                </w:p>
                              </w:tc>
                              <w:tc>
                                <w:tcPr>
                                  <w:tcW w:w="558" w:type="pct"/>
                                  <w:tcBorders>
                                    <w:top w:val="nil"/>
                                    <w:left w:val="nil"/>
                                    <w:bottom w:val="nil"/>
                                    <w:right w:val="nil"/>
                                  </w:tcBorders>
                                  <w:hideMark/>
                                </w:tcPr>
                                <w:p w14:paraId="4646EBC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29D081E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3F13FC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7CB9014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607294A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26BD836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2DFBCE06" w14:textId="77777777" w:rsidTr="007B6FA5">
                              <w:trPr>
                                <w:trHeight w:val="204"/>
                              </w:trPr>
                              <w:tc>
                                <w:tcPr>
                                  <w:tcW w:w="1685" w:type="pct"/>
                                  <w:tcBorders>
                                    <w:top w:val="nil"/>
                                    <w:left w:val="nil"/>
                                    <w:bottom w:val="nil"/>
                                    <w:right w:val="nil"/>
                                  </w:tcBorders>
                                  <w:noWrap/>
                                  <w:hideMark/>
                                </w:tcPr>
                                <w:p w14:paraId="2499DD46"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Weighted Avg. Diluted Shares Out.</w:t>
                                  </w:r>
                                </w:p>
                              </w:tc>
                              <w:tc>
                                <w:tcPr>
                                  <w:tcW w:w="558" w:type="pct"/>
                                  <w:tcBorders>
                                    <w:top w:val="nil"/>
                                    <w:left w:val="nil"/>
                                    <w:bottom w:val="nil"/>
                                    <w:right w:val="nil"/>
                                  </w:tcBorders>
                                  <w:hideMark/>
                                </w:tcPr>
                                <w:p w14:paraId="3DCA88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1DE411B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518934B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17B7F4A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07323A1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2CEA278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r>
                            <w:tr w:rsidR="003C2F53" w:rsidRPr="007B6FA5" w14:paraId="612FE1ED" w14:textId="77777777" w:rsidTr="007B6FA5">
                              <w:trPr>
                                <w:trHeight w:val="204"/>
                              </w:trPr>
                              <w:tc>
                                <w:tcPr>
                                  <w:tcW w:w="1685" w:type="pct"/>
                                  <w:tcBorders>
                                    <w:top w:val="nil"/>
                                    <w:left w:val="nil"/>
                                    <w:bottom w:val="nil"/>
                                    <w:right w:val="nil"/>
                                  </w:tcBorders>
                                  <w:noWrap/>
                                  <w:hideMark/>
                                </w:tcPr>
                                <w:p w14:paraId="301B7D72"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Normalized Basic EPS</w:t>
                                  </w:r>
                                </w:p>
                              </w:tc>
                              <w:tc>
                                <w:tcPr>
                                  <w:tcW w:w="558" w:type="pct"/>
                                  <w:tcBorders>
                                    <w:top w:val="nil"/>
                                    <w:left w:val="nil"/>
                                    <w:bottom w:val="nil"/>
                                    <w:right w:val="nil"/>
                                  </w:tcBorders>
                                  <w:hideMark/>
                                </w:tcPr>
                                <w:p w14:paraId="29A839E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$0.19 </w:t>
                                  </w:r>
                                </w:p>
                              </w:tc>
                              <w:tc>
                                <w:tcPr>
                                  <w:tcW w:w="547" w:type="pct"/>
                                  <w:tcBorders>
                                    <w:top w:val="nil"/>
                                    <w:left w:val="nil"/>
                                    <w:bottom w:val="nil"/>
                                    <w:right w:val="nil"/>
                                  </w:tcBorders>
                                  <w:hideMark/>
                                </w:tcPr>
                                <w:p w14:paraId="35C25BA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$0.06 </w:t>
                                  </w:r>
                                </w:p>
                              </w:tc>
                              <w:tc>
                                <w:tcPr>
                                  <w:tcW w:w="547" w:type="pct"/>
                                  <w:tcBorders>
                                    <w:top w:val="nil"/>
                                    <w:left w:val="nil"/>
                                    <w:bottom w:val="nil"/>
                                    <w:right w:val="nil"/>
                                  </w:tcBorders>
                                  <w:hideMark/>
                                </w:tcPr>
                                <w:p w14:paraId="7C434F3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($0.08) </w:t>
                                  </w:r>
                                </w:p>
                              </w:tc>
                              <w:tc>
                                <w:tcPr>
                                  <w:tcW w:w="558" w:type="pct"/>
                                  <w:tcBorders>
                                    <w:top w:val="nil"/>
                                    <w:left w:val="nil"/>
                                    <w:bottom w:val="nil"/>
                                    <w:right w:val="nil"/>
                                  </w:tcBorders>
                                  <w:hideMark/>
                                </w:tcPr>
                                <w:p w14:paraId="3D41DAC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($0.21) </w:t>
                                  </w:r>
                                </w:p>
                              </w:tc>
                              <w:tc>
                                <w:tcPr>
                                  <w:tcW w:w="547" w:type="pct"/>
                                  <w:tcBorders>
                                    <w:top w:val="nil"/>
                                    <w:left w:val="nil"/>
                                    <w:bottom w:val="nil"/>
                                    <w:right w:val="nil"/>
                                  </w:tcBorders>
                                  <w:hideMark/>
                                </w:tcPr>
                                <w:p w14:paraId="2271CA6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($0.42) </w:t>
                                  </w:r>
                                </w:p>
                              </w:tc>
                              <w:tc>
                                <w:tcPr>
                                  <w:tcW w:w="558" w:type="pct"/>
                                  <w:tcBorders>
                                    <w:top w:val="nil"/>
                                    <w:left w:val="nil"/>
                                    <w:bottom w:val="nil"/>
                                    <w:right w:val="nil"/>
                                  </w:tcBorders>
                                  <w:hideMark/>
                                </w:tcPr>
                                <w:p w14:paraId="026E6BF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$0.02 </w:t>
                                  </w:r>
                                </w:p>
                              </w:tc>
                            </w:tr>
                            <w:tr w:rsidR="003C2F53" w:rsidRPr="007B6FA5" w14:paraId="508DA599" w14:textId="77777777" w:rsidTr="007B6FA5">
                              <w:trPr>
                                <w:trHeight w:val="204"/>
                              </w:trPr>
                              <w:tc>
                                <w:tcPr>
                                  <w:tcW w:w="1685" w:type="pct"/>
                                  <w:tcBorders>
                                    <w:top w:val="nil"/>
                                    <w:left w:val="nil"/>
                                    <w:bottom w:val="nil"/>
                                    <w:right w:val="nil"/>
                                  </w:tcBorders>
                                  <w:noWrap/>
                                  <w:hideMark/>
                                </w:tcPr>
                                <w:p w14:paraId="04FB3817"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Normalized Diluted EPS</w:t>
                                  </w:r>
                                </w:p>
                              </w:tc>
                              <w:tc>
                                <w:tcPr>
                                  <w:tcW w:w="558" w:type="pct"/>
                                  <w:tcBorders>
                                    <w:top w:val="nil"/>
                                    <w:left w:val="nil"/>
                                    <w:bottom w:val="nil"/>
                                    <w:right w:val="nil"/>
                                  </w:tcBorders>
                                  <w:hideMark/>
                                </w:tcPr>
                                <w:p w14:paraId="34A37F8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0.19 </w:t>
                                  </w:r>
                                </w:p>
                              </w:tc>
                              <w:tc>
                                <w:tcPr>
                                  <w:tcW w:w="547" w:type="pct"/>
                                  <w:tcBorders>
                                    <w:top w:val="nil"/>
                                    <w:left w:val="nil"/>
                                    <w:bottom w:val="nil"/>
                                    <w:right w:val="nil"/>
                                  </w:tcBorders>
                                  <w:hideMark/>
                                </w:tcPr>
                                <w:p w14:paraId="7F6143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0.06 </w:t>
                                  </w:r>
                                </w:p>
                              </w:tc>
                              <w:tc>
                                <w:tcPr>
                                  <w:tcW w:w="547" w:type="pct"/>
                                  <w:tcBorders>
                                    <w:top w:val="nil"/>
                                    <w:left w:val="nil"/>
                                    <w:bottom w:val="nil"/>
                                    <w:right w:val="nil"/>
                                  </w:tcBorders>
                                  <w:hideMark/>
                                </w:tcPr>
                                <w:p w14:paraId="51571D9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(0.08)  </w:t>
                                  </w:r>
                                </w:p>
                              </w:tc>
                              <w:tc>
                                <w:tcPr>
                                  <w:tcW w:w="558" w:type="pct"/>
                                  <w:tcBorders>
                                    <w:top w:val="nil"/>
                                    <w:left w:val="nil"/>
                                    <w:bottom w:val="nil"/>
                                    <w:right w:val="nil"/>
                                  </w:tcBorders>
                                  <w:hideMark/>
                                </w:tcPr>
                                <w:p w14:paraId="16174D6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(0.21)  </w:t>
                                  </w:r>
                                </w:p>
                              </w:tc>
                              <w:tc>
                                <w:tcPr>
                                  <w:tcW w:w="547" w:type="pct"/>
                                  <w:tcBorders>
                                    <w:top w:val="nil"/>
                                    <w:left w:val="nil"/>
                                    <w:bottom w:val="nil"/>
                                    <w:right w:val="nil"/>
                                  </w:tcBorders>
                                  <w:hideMark/>
                                </w:tcPr>
                                <w:p w14:paraId="1702161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(0.42)  </w:t>
                                  </w:r>
                                </w:p>
                              </w:tc>
                              <w:tc>
                                <w:tcPr>
                                  <w:tcW w:w="558" w:type="pct"/>
                                  <w:tcBorders>
                                    <w:top w:val="nil"/>
                                    <w:left w:val="nil"/>
                                    <w:bottom w:val="nil"/>
                                    <w:right w:val="nil"/>
                                  </w:tcBorders>
                                  <w:hideMark/>
                                </w:tcPr>
                                <w:p w14:paraId="4615E2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0.02 </w:t>
                                  </w:r>
                                </w:p>
                              </w:tc>
                            </w:tr>
                            <w:tr w:rsidR="003C2F53" w:rsidRPr="007B6FA5" w14:paraId="67440244" w14:textId="77777777" w:rsidTr="007B6FA5">
                              <w:trPr>
                                <w:trHeight w:val="204"/>
                              </w:trPr>
                              <w:tc>
                                <w:tcPr>
                                  <w:tcW w:w="1685" w:type="pct"/>
                                  <w:tcBorders>
                                    <w:top w:val="nil"/>
                                    <w:left w:val="nil"/>
                                    <w:bottom w:val="nil"/>
                                    <w:right w:val="nil"/>
                                  </w:tcBorders>
                                  <w:noWrap/>
                                  <w:hideMark/>
                                </w:tcPr>
                                <w:p w14:paraId="6516C41C"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Payout Ratio %</w:t>
                                  </w:r>
                                </w:p>
                              </w:tc>
                              <w:tc>
                                <w:tcPr>
                                  <w:tcW w:w="558" w:type="pct"/>
                                  <w:tcBorders>
                                    <w:top w:val="nil"/>
                                    <w:left w:val="nil"/>
                                    <w:bottom w:val="nil"/>
                                    <w:right w:val="nil"/>
                                  </w:tcBorders>
                                  <w:hideMark/>
                                </w:tcPr>
                                <w:p w14:paraId="356E44B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19.7% </w:t>
                                  </w:r>
                                </w:p>
                              </w:tc>
                              <w:tc>
                                <w:tcPr>
                                  <w:tcW w:w="547" w:type="pct"/>
                                  <w:tcBorders>
                                    <w:top w:val="nil"/>
                                    <w:left w:val="nil"/>
                                    <w:bottom w:val="nil"/>
                                    <w:right w:val="nil"/>
                                  </w:tcBorders>
                                  <w:hideMark/>
                                </w:tcPr>
                                <w:p w14:paraId="624F9C9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76.4% </w:t>
                                  </w:r>
                                </w:p>
                              </w:tc>
                              <w:tc>
                                <w:tcPr>
                                  <w:tcW w:w="547" w:type="pct"/>
                                  <w:tcBorders>
                                    <w:top w:val="nil"/>
                                    <w:left w:val="nil"/>
                                    <w:bottom w:val="nil"/>
                                    <w:right w:val="nil"/>
                                  </w:tcBorders>
                                  <w:hideMark/>
                                </w:tcPr>
                                <w:p w14:paraId="2338155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24.7% </w:t>
                                  </w:r>
                                </w:p>
                              </w:tc>
                              <w:tc>
                                <w:tcPr>
                                  <w:tcW w:w="558" w:type="pct"/>
                                  <w:tcBorders>
                                    <w:top w:val="nil"/>
                                    <w:left w:val="nil"/>
                                    <w:bottom w:val="nil"/>
                                    <w:right w:val="nil"/>
                                  </w:tcBorders>
                                  <w:hideMark/>
                                </w:tcPr>
                                <w:p w14:paraId="3997906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NM</w:t>
                                  </w:r>
                                </w:p>
                              </w:tc>
                              <w:tc>
                                <w:tcPr>
                                  <w:tcW w:w="547" w:type="pct"/>
                                  <w:tcBorders>
                                    <w:top w:val="nil"/>
                                    <w:left w:val="nil"/>
                                    <w:bottom w:val="nil"/>
                                    <w:right w:val="nil"/>
                                  </w:tcBorders>
                                  <w:hideMark/>
                                </w:tcPr>
                                <w:p w14:paraId="068CC66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c>
                                <w:tcPr>
                                  <w:tcW w:w="558" w:type="pct"/>
                                  <w:tcBorders>
                                    <w:top w:val="nil"/>
                                    <w:left w:val="nil"/>
                                    <w:bottom w:val="nil"/>
                                    <w:right w:val="nil"/>
                                  </w:tcBorders>
                                  <w:hideMark/>
                                </w:tcPr>
                                <w:p w14:paraId="61A3E2E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r>
                            <w:tr w:rsidR="003C2F53" w:rsidRPr="007B6FA5" w14:paraId="26AD2098" w14:textId="77777777" w:rsidTr="007B6FA5">
                              <w:trPr>
                                <w:trHeight w:val="204"/>
                              </w:trPr>
                              <w:tc>
                                <w:tcPr>
                                  <w:tcW w:w="1685" w:type="pct"/>
                                  <w:tcBorders>
                                    <w:top w:val="nil"/>
                                    <w:left w:val="nil"/>
                                    <w:bottom w:val="nil"/>
                                    <w:right w:val="nil"/>
                                  </w:tcBorders>
                                  <w:noWrap/>
                                  <w:hideMark/>
                                </w:tcPr>
                                <w:p w14:paraId="3717E8C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Shares per Depository Receipt</w:t>
                                  </w:r>
                                </w:p>
                              </w:tc>
                              <w:tc>
                                <w:tcPr>
                                  <w:tcW w:w="558" w:type="pct"/>
                                  <w:tcBorders>
                                    <w:top w:val="nil"/>
                                    <w:left w:val="nil"/>
                                    <w:bottom w:val="nil"/>
                                    <w:right w:val="nil"/>
                                  </w:tcBorders>
                                  <w:hideMark/>
                                </w:tcPr>
                                <w:p w14:paraId="2B4B1B9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7B6DB01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3A094C7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58" w:type="pct"/>
                                  <w:tcBorders>
                                    <w:top w:val="nil"/>
                                    <w:left w:val="nil"/>
                                    <w:bottom w:val="nil"/>
                                    <w:right w:val="nil"/>
                                  </w:tcBorders>
                                  <w:hideMark/>
                                </w:tcPr>
                                <w:p w14:paraId="11C6DFC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15837C6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58" w:type="pct"/>
                                  <w:tcBorders>
                                    <w:top w:val="nil"/>
                                    <w:left w:val="nil"/>
                                    <w:bottom w:val="nil"/>
                                    <w:right w:val="nil"/>
                                  </w:tcBorders>
                                  <w:hideMark/>
                                </w:tcPr>
                                <w:p w14:paraId="7048749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r>
                            <w:tr w:rsidR="007B6FA5" w:rsidRPr="007B6FA5" w14:paraId="4E4904A0" w14:textId="77777777" w:rsidTr="007B6FA5">
                              <w:trPr>
                                <w:trHeight w:val="204"/>
                              </w:trPr>
                              <w:tc>
                                <w:tcPr>
                                  <w:tcW w:w="1685" w:type="pct"/>
                                  <w:tcBorders>
                                    <w:top w:val="nil"/>
                                    <w:left w:val="nil"/>
                                    <w:bottom w:val="nil"/>
                                    <w:right w:val="nil"/>
                                  </w:tcBorders>
                                  <w:noWrap/>
                                  <w:hideMark/>
                                </w:tcPr>
                                <w:p w14:paraId="5AC81DFD"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Supplemental Items</w:t>
                                  </w:r>
                                </w:p>
                              </w:tc>
                              <w:tc>
                                <w:tcPr>
                                  <w:tcW w:w="558" w:type="pct"/>
                                  <w:tcBorders>
                                    <w:top w:val="nil"/>
                                    <w:left w:val="nil"/>
                                    <w:bottom w:val="nil"/>
                                    <w:right w:val="nil"/>
                                  </w:tcBorders>
                                  <w:noWrap/>
                                  <w:hideMark/>
                                </w:tcPr>
                                <w:p w14:paraId="4A336AA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p>
                              </w:tc>
                              <w:tc>
                                <w:tcPr>
                                  <w:tcW w:w="547" w:type="pct"/>
                                  <w:tcBorders>
                                    <w:top w:val="nil"/>
                                    <w:left w:val="nil"/>
                                    <w:bottom w:val="nil"/>
                                    <w:right w:val="nil"/>
                                  </w:tcBorders>
                                  <w:noWrap/>
                                  <w:hideMark/>
                                </w:tcPr>
                                <w:p w14:paraId="318F1FD2"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5AC499FF"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4354BC41"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24C6E3AE"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7D194A6C"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r>
                            <w:tr w:rsidR="003C2F53" w:rsidRPr="007B6FA5" w14:paraId="2A9D7C2D" w14:textId="77777777" w:rsidTr="007B6FA5">
                              <w:trPr>
                                <w:trHeight w:val="204"/>
                              </w:trPr>
                              <w:tc>
                                <w:tcPr>
                                  <w:tcW w:w="1685" w:type="pct"/>
                                  <w:tcBorders>
                                    <w:top w:val="nil"/>
                                    <w:left w:val="nil"/>
                                    <w:bottom w:val="nil"/>
                                    <w:right w:val="nil"/>
                                  </w:tcBorders>
                                  <w:noWrap/>
                                  <w:hideMark/>
                                </w:tcPr>
                                <w:p w14:paraId="62433D79"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EBITDA</w:t>
                                  </w:r>
                                </w:p>
                              </w:tc>
                              <w:tc>
                                <w:tcPr>
                                  <w:tcW w:w="558" w:type="pct"/>
                                  <w:tcBorders>
                                    <w:top w:val="nil"/>
                                    <w:left w:val="nil"/>
                                    <w:bottom w:val="nil"/>
                                    <w:right w:val="nil"/>
                                  </w:tcBorders>
                                  <w:hideMark/>
                                </w:tcPr>
                                <w:p w14:paraId="489A328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E90801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88FBF0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6DA0A8B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477461C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56D7A9E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05DFF071" w14:textId="77777777" w:rsidTr="007B6FA5">
                              <w:trPr>
                                <w:trHeight w:val="204"/>
                              </w:trPr>
                              <w:tc>
                                <w:tcPr>
                                  <w:tcW w:w="1685" w:type="pct"/>
                                  <w:tcBorders>
                                    <w:top w:val="nil"/>
                                    <w:left w:val="nil"/>
                                    <w:bottom w:val="nil"/>
                                    <w:right w:val="nil"/>
                                  </w:tcBorders>
                                  <w:noWrap/>
                                  <w:hideMark/>
                                </w:tcPr>
                                <w:p w14:paraId="76B196D9"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EBITA</w:t>
                                  </w:r>
                                </w:p>
                              </w:tc>
                              <w:tc>
                                <w:tcPr>
                                  <w:tcW w:w="558" w:type="pct"/>
                                  <w:tcBorders>
                                    <w:top w:val="nil"/>
                                    <w:left w:val="nil"/>
                                    <w:bottom w:val="nil"/>
                                    <w:right w:val="nil"/>
                                  </w:tcBorders>
                                  <w:hideMark/>
                                </w:tcPr>
                                <w:p w14:paraId="15F4EE2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060460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86B2C7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0294EA5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5EF6F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6DA2493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3E1ED75F" w14:textId="77777777" w:rsidTr="007B6FA5">
                              <w:trPr>
                                <w:trHeight w:val="204"/>
                              </w:trPr>
                              <w:tc>
                                <w:tcPr>
                                  <w:tcW w:w="1685" w:type="pct"/>
                                  <w:tcBorders>
                                    <w:top w:val="nil"/>
                                    <w:left w:val="nil"/>
                                    <w:bottom w:val="nil"/>
                                    <w:right w:val="nil"/>
                                  </w:tcBorders>
                                  <w:noWrap/>
                                  <w:hideMark/>
                                </w:tcPr>
                                <w:p w14:paraId="7B17E5B4"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w:t>
                                  </w:r>
                                </w:p>
                              </w:tc>
                              <w:tc>
                                <w:tcPr>
                                  <w:tcW w:w="558" w:type="pct"/>
                                  <w:tcBorders>
                                    <w:top w:val="nil"/>
                                    <w:left w:val="nil"/>
                                    <w:bottom w:val="nil"/>
                                    <w:right w:val="nil"/>
                                  </w:tcBorders>
                                  <w:hideMark/>
                                </w:tcPr>
                                <w:p w14:paraId="5ED4359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E19680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FB8C3E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6E3FB2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1CA288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225BFDA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60C13FDB" w14:textId="77777777" w:rsidTr="007B6FA5">
                              <w:trPr>
                                <w:trHeight w:val="204"/>
                              </w:trPr>
                              <w:tc>
                                <w:tcPr>
                                  <w:tcW w:w="1685" w:type="pct"/>
                                  <w:tcBorders>
                                    <w:top w:val="nil"/>
                                    <w:left w:val="nil"/>
                                    <w:bottom w:val="nil"/>
                                    <w:right w:val="nil"/>
                                  </w:tcBorders>
                                  <w:noWrap/>
                                  <w:hideMark/>
                                </w:tcPr>
                                <w:p w14:paraId="403919F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p>
                              </w:tc>
                              <w:tc>
                                <w:tcPr>
                                  <w:tcW w:w="558" w:type="pct"/>
                                  <w:tcBorders>
                                    <w:top w:val="nil"/>
                                    <w:left w:val="nil"/>
                                    <w:bottom w:val="nil"/>
                                    <w:right w:val="nil"/>
                                  </w:tcBorders>
                                  <w:hideMark/>
                                </w:tcPr>
                                <w:p w14:paraId="69A643B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2A80B0A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605C31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61A540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B17328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43F9C9D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r>
                          </w:tbl>
                          <w:p w14:paraId="76E9B1DC" w14:textId="5C1BE39B" w:rsidR="00DE6BE9" w:rsidRDefault="00DE6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CC067" id="_x0000_s1068" type="#_x0000_t202" style="position:absolute;left:0;text-align:left;margin-left:1.2pt;margin-top:1in;width:486pt;height:511.2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" filled="f" stroked="f">
                <v:textbox>
                  <w:txbxContent>
                    <w:tbl>
                      <w:tblPr>
                        <w:tblW w:w="5000" w:type="pct"/>
                        <w:tblLook w:val="04A0" w:firstRow="1" w:lastRow="0" w:firstColumn="1" w:lastColumn="0" w:noHBand="0" w:noVBand="1"/>
                      </w:tblPr>
                      <w:tblGrid>
                        <w:gridCol w:w="3178"/>
                        <w:gridCol w:w="1053"/>
                        <w:gridCol w:w="1032"/>
                        <w:gridCol w:w="1032"/>
                        <w:gridCol w:w="1053"/>
                        <w:gridCol w:w="1032"/>
                        <w:gridCol w:w="1053"/>
                      </w:tblGrid>
                      <w:tr w:rsidR="007B6FA5" w:rsidRPr="007B6FA5" w14:paraId="1C594C2A" w14:textId="77777777" w:rsidTr="007B6FA5">
                        <w:trPr>
                          <w:trHeight w:val="336"/>
                        </w:trPr>
                        <w:tc>
                          <w:tcPr>
                            <w:tcW w:w="5000" w:type="pct"/>
                            <w:gridSpan w:val="7"/>
                            <w:tcBorders>
                              <w:top w:val="nil"/>
                              <w:left w:val="nil"/>
                              <w:bottom w:val="nil"/>
                              <w:right w:val="nil"/>
                            </w:tcBorders>
                            <w:noWrap/>
                            <w:vAlign w:val="bottom"/>
                            <w:hideMark/>
                          </w:tcPr>
                          <w:p w14:paraId="34F7AA9E"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Magazine Luiza S.A. (</w:t>
                            </w:r>
                            <w:r w:rsidRPr="007B6FA5">
                              <w:rPr>
                                <w:rFonts w:ascii="Cambria" w:eastAsia="Times New Roman" w:hAnsi="Cambria" w:cs="Arial"/>
                                <w:b/>
                                <w:bCs/>
                                <w:color w:val="000000"/>
                                <w:kern w:val="0"/>
                                <w:sz w:val="14"/>
                                <w:szCs w:val="14"/>
                                <w:lang w:eastAsia="en-IN"/>
                                <w14:ligatures w14:val="none"/>
                              </w:rPr>
                              <w:t>BOVESPA:MGLU3) &gt; Financials &gt; Income Statement</w:t>
                            </w:r>
                          </w:p>
                        </w:tc>
                      </w:tr>
                      <w:tr w:rsidR="007B6FA5" w:rsidRPr="007B6FA5" w14:paraId="27594DE8" w14:textId="77777777" w:rsidTr="007B6FA5">
                        <w:trPr>
                          <w:trHeight w:val="204"/>
                        </w:trPr>
                        <w:tc>
                          <w:tcPr>
                            <w:tcW w:w="1685" w:type="pct"/>
                            <w:tcBorders>
                              <w:top w:val="nil"/>
                              <w:left w:val="nil"/>
                              <w:bottom w:val="nil"/>
                              <w:right w:val="nil"/>
                            </w:tcBorders>
                            <w:shd w:val="clear" w:color="000000" w:fill="003366"/>
                            <w:noWrap/>
                            <w:vAlign w:val="bottom"/>
                            <w:hideMark/>
                          </w:tcPr>
                          <w:p w14:paraId="28CB95CA"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Income Statement</w:t>
                            </w:r>
                          </w:p>
                        </w:tc>
                        <w:tc>
                          <w:tcPr>
                            <w:tcW w:w="558" w:type="pct"/>
                            <w:tcBorders>
                              <w:top w:val="nil"/>
                              <w:left w:val="nil"/>
                              <w:bottom w:val="nil"/>
                              <w:right w:val="nil"/>
                            </w:tcBorders>
                            <w:shd w:val="clear" w:color="000000" w:fill="003366"/>
                            <w:noWrap/>
                            <w:vAlign w:val="bottom"/>
                            <w:hideMark/>
                          </w:tcPr>
                          <w:p w14:paraId="253E3882"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5F0A89B3"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325173E4"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58" w:type="pct"/>
                            <w:tcBorders>
                              <w:top w:val="nil"/>
                              <w:left w:val="nil"/>
                              <w:bottom w:val="nil"/>
                              <w:right w:val="nil"/>
                            </w:tcBorders>
                            <w:shd w:val="clear" w:color="000000" w:fill="003366"/>
                            <w:noWrap/>
                            <w:vAlign w:val="bottom"/>
                            <w:hideMark/>
                          </w:tcPr>
                          <w:p w14:paraId="79D7BFD3"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64E70539"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c>
                          <w:tcPr>
                            <w:tcW w:w="558" w:type="pct"/>
                            <w:tcBorders>
                              <w:top w:val="nil"/>
                              <w:left w:val="nil"/>
                              <w:bottom w:val="nil"/>
                              <w:right w:val="nil"/>
                            </w:tcBorders>
                            <w:shd w:val="clear" w:color="000000" w:fill="003366"/>
                            <w:noWrap/>
                            <w:vAlign w:val="bottom"/>
                            <w:hideMark/>
                          </w:tcPr>
                          <w:p w14:paraId="0DC05A6A" w14:textId="77777777" w:rsidR="007B6FA5" w:rsidRPr="007B6FA5" w:rsidRDefault="007B6FA5" w:rsidP="007B6FA5">
                            <w:pPr>
                              <w:spacing w:after="0" w:line="240" w:lineRule="auto"/>
                              <w:rPr>
                                <w:rFonts w:ascii="Cambria" w:eastAsia="Times New Roman" w:hAnsi="Cambria" w:cs="Arial"/>
                                <w:b/>
                                <w:bCs/>
                                <w:color w:val="FFFFFF"/>
                                <w:kern w:val="0"/>
                                <w:sz w:val="14"/>
                                <w:szCs w:val="14"/>
                                <w:lang w:eastAsia="en-IN"/>
                                <w14:ligatures w14:val="none"/>
                              </w:rPr>
                            </w:pPr>
                            <w:r w:rsidRPr="007B6FA5">
                              <w:rPr>
                                <w:rFonts w:ascii="Cambria" w:eastAsia="Times New Roman" w:hAnsi="Cambria" w:cs="Arial"/>
                                <w:b/>
                                <w:bCs/>
                                <w:color w:val="FFFFFF"/>
                                <w:kern w:val="0"/>
                                <w:sz w:val="14"/>
                                <w:szCs w:val="14"/>
                                <w:lang w:eastAsia="en-IN"/>
                                <w14:ligatures w14:val="none"/>
                              </w:rPr>
                              <w:t> </w:t>
                            </w:r>
                          </w:p>
                        </w:tc>
                      </w:tr>
                      <w:tr w:rsidR="007B6FA5" w:rsidRPr="007B6FA5" w14:paraId="113493F1" w14:textId="77777777" w:rsidTr="007B6FA5">
                        <w:trPr>
                          <w:trHeight w:val="816"/>
                        </w:trPr>
                        <w:tc>
                          <w:tcPr>
                            <w:tcW w:w="1685" w:type="pct"/>
                            <w:tcBorders>
                              <w:top w:val="nil"/>
                              <w:left w:val="nil"/>
                              <w:bottom w:val="nil"/>
                              <w:right w:val="nil"/>
                            </w:tcBorders>
                            <w:shd w:val="clear" w:color="000000" w:fill="F0F0DC"/>
                            <w:vAlign w:val="bottom"/>
                            <w:hideMark/>
                          </w:tcPr>
                          <w:p w14:paraId="280E7601"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For the Fiscal Period Ending</w:t>
                            </w:r>
                          </w:p>
                        </w:tc>
                        <w:tc>
                          <w:tcPr>
                            <w:tcW w:w="558" w:type="pct"/>
                            <w:tcBorders>
                              <w:top w:val="nil"/>
                              <w:left w:val="nil"/>
                              <w:bottom w:val="nil"/>
                              <w:right w:val="nil"/>
                            </w:tcBorders>
                            <w:shd w:val="clear" w:color="000000" w:fill="F0F0DC"/>
                            <w:vAlign w:val="bottom"/>
                            <w:hideMark/>
                          </w:tcPr>
                          <w:p w14:paraId="4DD1CB1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Dec-31-2019</w:t>
                            </w:r>
                          </w:p>
                        </w:tc>
                        <w:tc>
                          <w:tcPr>
                            <w:tcW w:w="547" w:type="pct"/>
                            <w:tcBorders>
                              <w:top w:val="nil"/>
                              <w:left w:val="nil"/>
                              <w:bottom w:val="nil"/>
                              <w:right w:val="nil"/>
                            </w:tcBorders>
                            <w:shd w:val="clear" w:color="000000" w:fill="F0F0DC"/>
                            <w:vAlign w:val="bottom"/>
                            <w:hideMark/>
                          </w:tcPr>
                          <w:p w14:paraId="0469438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Dec-31-2020</w:t>
                            </w:r>
                          </w:p>
                        </w:tc>
                        <w:tc>
                          <w:tcPr>
                            <w:tcW w:w="547" w:type="pct"/>
                            <w:tcBorders>
                              <w:top w:val="nil"/>
                              <w:left w:val="nil"/>
                              <w:bottom w:val="nil"/>
                              <w:right w:val="nil"/>
                            </w:tcBorders>
                            <w:shd w:val="clear" w:color="000000" w:fill="F0F0DC"/>
                            <w:vAlign w:val="bottom"/>
                            <w:hideMark/>
                          </w:tcPr>
                          <w:p w14:paraId="5550ED9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Dec-31-2021</w:t>
                            </w:r>
                          </w:p>
                        </w:tc>
                        <w:tc>
                          <w:tcPr>
                            <w:tcW w:w="558" w:type="pct"/>
                            <w:tcBorders>
                              <w:top w:val="nil"/>
                              <w:left w:val="nil"/>
                              <w:bottom w:val="nil"/>
                              <w:right w:val="nil"/>
                            </w:tcBorders>
                            <w:shd w:val="clear" w:color="000000" w:fill="F0F0DC"/>
                            <w:vAlign w:val="bottom"/>
                            <w:hideMark/>
                          </w:tcPr>
                          <w:p w14:paraId="1CB74EE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Dec-31-2022</w:t>
                            </w:r>
                          </w:p>
                        </w:tc>
                        <w:tc>
                          <w:tcPr>
                            <w:tcW w:w="547" w:type="pct"/>
                            <w:tcBorders>
                              <w:top w:val="nil"/>
                              <w:left w:val="nil"/>
                              <w:bottom w:val="nil"/>
                              <w:right w:val="nil"/>
                            </w:tcBorders>
                            <w:shd w:val="clear" w:color="000000" w:fill="F0F0DC"/>
                            <w:vAlign w:val="bottom"/>
                            <w:hideMark/>
                          </w:tcPr>
                          <w:p w14:paraId="3F5B1C0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12 months</w:t>
                            </w:r>
                            <w:r w:rsidRPr="007B6FA5">
                              <w:rPr>
                                <w:rFonts w:ascii="Cambria" w:eastAsia="Times New Roman" w:hAnsi="Cambria" w:cs="Arial"/>
                                <w:b/>
                                <w:bCs/>
                                <w:color w:val="000000"/>
                                <w:kern w:val="0"/>
                                <w:sz w:val="14"/>
                                <w:szCs w:val="14"/>
                                <w:lang w:eastAsia="en-IN"/>
                                <w14:ligatures w14:val="none"/>
                              </w:rPr>
                              <w:br/>
                              <w:t>Dec-31-2023</w:t>
                            </w:r>
                          </w:p>
                        </w:tc>
                        <w:tc>
                          <w:tcPr>
                            <w:tcW w:w="558" w:type="pct"/>
                            <w:tcBorders>
                              <w:top w:val="nil"/>
                              <w:left w:val="nil"/>
                              <w:bottom w:val="nil"/>
                              <w:right w:val="nil"/>
                            </w:tcBorders>
                            <w:shd w:val="clear" w:color="000000" w:fill="F0F0DC"/>
                            <w:vAlign w:val="bottom"/>
                            <w:hideMark/>
                          </w:tcPr>
                          <w:p w14:paraId="2550360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LTM</w:t>
                            </w:r>
                            <w:r w:rsidRPr="007B6FA5">
                              <w:rPr>
                                <w:rFonts w:ascii="Cambria" w:eastAsia="Times New Roman" w:hAnsi="Cambria" w:cs="Arial"/>
                                <w:b/>
                                <w:bCs/>
                                <w:color w:val="000000"/>
                                <w:kern w:val="0"/>
                                <w:sz w:val="14"/>
                                <w:szCs w:val="14"/>
                                <w:lang w:eastAsia="en-IN"/>
                                <w14:ligatures w14:val="none"/>
                              </w:rPr>
                              <w:br/>
                              <w:t>Reclassified</w:t>
                            </w:r>
                            <w:r w:rsidRPr="007B6FA5">
                              <w:rPr>
                                <w:rFonts w:ascii="Cambria" w:eastAsia="Times New Roman" w:hAnsi="Cambria" w:cs="Arial"/>
                                <w:b/>
                                <w:bCs/>
                                <w:color w:val="000000"/>
                                <w:kern w:val="0"/>
                                <w:sz w:val="14"/>
                                <w:szCs w:val="14"/>
                                <w:lang w:eastAsia="en-IN"/>
                                <w14:ligatures w14:val="none"/>
                              </w:rPr>
                              <w:br/>
                              <w:t>12 months</w:t>
                            </w:r>
                            <w:r w:rsidRPr="007B6FA5">
                              <w:rPr>
                                <w:rFonts w:ascii="Cambria" w:eastAsia="Times New Roman" w:hAnsi="Cambria" w:cs="Arial"/>
                                <w:b/>
                                <w:bCs/>
                                <w:color w:val="000000"/>
                                <w:kern w:val="0"/>
                                <w:sz w:val="14"/>
                                <w:szCs w:val="14"/>
                                <w:lang w:eastAsia="en-IN"/>
                                <w14:ligatures w14:val="none"/>
                              </w:rPr>
                              <w:br/>
                              <w:t>Sep-30-2024</w:t>
                            </w:r>
                          </w:p>
                        </w:tc>
                      </w:tr>
                      <w:tr w:rsidR="007B6FA5" w:rsidRPr="007B6FA5" w14:paraId="67FB28D3" w14:textId="77777777" w:rsidTr="007B6FA5">
                        <w:trPr>
                          <w:trHeight w:val="204"/>
                        </w:trPr>
                        <w:tc>
                          <w:tcPr>
                            <w:tcW w:w="1685" w:type="pct"/>
                            <w:tcBorders>
                              <w:top w:val="nil"/>
                              <w:left w:val="nil"/>
                              <w:bottom w:val="nil"/>
                              <w:right w:val="nil"/>
                            </w:tcBorders>
                            <w:shd w:val="clear" w:color="000000" w:fill="F0F0DC"/>
                            <w:vAlign w:val="bottom"/>
                            <w:hideMark/>
                          </w:tcPr>
                          <w:p w14:paraId="291C3448" w14:textId="77777777" w:rsidR="007B6FA5" w:rsidRPr="007B6FA5" w:rsidRDefault="007B6FA5" w:rsidP="007B6FA5">
                            <w:pPr>
                              <w:spacing w:after="0" w:line="240" w:lineRule="auto"/>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Currency</w:t>
                            </w:r>
                          </w:p>
                        </w:tc>
                        <w:tc>
                          <w:tcPr>
                            <w:tcW w:w="558" w:type="pct"/>
                            <w:tcBorders>
                              <w:top w:val="nil"/>
                              <w:left w:val="nil"/>
                              <w:bottom w:val="nil"/>
                              <w:right w:val="nil"/>
                            </w:tcBorders>
                            <w:shd w:val="clear" w:color="000000" w:fill="F0F0DC"/>
                            <w:vAlign w:val="bottom"/>
                            <w:hideMark/>
                          </w:tcPr>
                          <w:p w14:paraId="3A0E7CAF"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58D206D6"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0C5D219A"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58" w:type="pct"/>
                            <w:tcBorders>
                              <w:top w:val="nil"/>
                              <w:left w:val="nil"/>
                              <w:bottom w:val="nil"/>
                              <w:right w:val="nil"/>
                            </w:tcBorders>
                            <w:shd w:val="clear" w:color="000000" w:fill="F0F0DC"/>
                            <w:vAlign w:val="bottom"/>
                            <w:hideMark/>
                          </w:tcPr>
                          <w:p w14:paraId="6BDECCF6"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5D69E629"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c>
                          <w:tcPr>
                            <w:tcW w:w="558" w:type="pct"/>
                            <w:tcBorders>
                              <w:top w:val="nil"/>
                              <w:left w:val="nil"/>
                              <w:bottom w:val="nil"/>
                              <w:right w:val="nil"/>
                            </w:tcBorders>
                            <w:shd w:val="clear" w:color="000000" w:fill="F0F0DC"/>
                            <w:vAlign w:val="bottom"/>
                            <w:hideMark/>
                          </w:tcPr>
                          <w:p w14:paraId="42AFA935" w14:textId="77777777" w:rsidR="007B6FA5" w:rsidRPr="007B6FA5" w:rsidRDefault="007B6FA5" w:rsidP="007B6FA5">
                            <w:pPr>
                              <w:spacing w:after="0" w:line="240" w:lineRule="auto"/>
                              <w:jc w:val="right"/>
                              <w:rPr>
                                <w:rFonts w:ascii="Cambria" w:eastAsia="Times New Roman" w:hAnsi="Cambria" w:cs="Arial"/>
                                <w:b/>
                                <w:bCs/>
                                <w:i/>
                                <w:iCs/>
                                <w:color w:val="000000"/>
                                <w:kern w:val="0"/>
                                <w:sz w:val="14"/>
                                <w:szCs w:val="14"/>
                                <w:lang w:eastAsia="en-IN"/>
                                <w14:ligatures w14:val="none"/>
                              </w:rPr>
                            </w:pPr>
                            <w:r w:rsidRPr="007B6FA5">
                              <w:rPr>
                                <w:rFonts w:ascii="Cambria" w:eastAsia="Times New Roman" w:hAnsi="Cambria" w:cs="Arial"/>
                                <w:b/>
                                <w:bCs/>
                                <w:i/>
                                <w:iCs/>
                                <w:color w:val="000000"/>
                                <w:kern w:val="0"/>
                                <w:sz w:val="14"/>
                                <w:szCs w:val="14"/>
                                <w:lang w:eastAsia="en-IN"/>
                                <w14:ligatures w14:val="none"/>
                              </w:rPr>
                              <w:t>USD</w:t>
                            </w:r>
                          </w:p>
                        </w:tc>
                      </w:tr>
                      <w:tr w:rsidR="003C2F53" w:rsidRPr="007B6FA5" w14:paraId="2F60E85F" w14:textId="77777777" w:rsidTr="007B6FA5">
                        <w:trPr>
                          <w:trHeight w:val="204"/>
                        </w:trPr>
                        <w:tc>
                          <w:tcPr>
                            <w:tcW w:w="1685" w:type="pct"/>
                            <w:tcBorders>
                              <w:top w:val="nil"/>
                              <w:left w:val="nil"/>
                              <w:bottom w:val="nil"/>
                              <w:right w:val="nil"/>
                            </w:tcBorders>
                            <w:noWrap/>
                            <w:hideMark/>
                          </w:tcPr>
                          <w:p w14:paraId="295A06F0"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Revenue</w:t>
                            </w:r>
                          </w:p>
                        </w:tc>
                        <w:tc>
                          <w:tcPr>
                            <w:tcW w:w="558" w:type="pct"/>
                            <w:tcBorders>
                              <w:top w:val="nil"/>
                              <w:left w:val="nil"/>
                              <w:bottom w:val="nil"/>
                              <w:right w:val="nil"/>
                            </w:tcBorders>
                            <w:hideMark/>
                          </w:tcPr>
                          <w:p w14:paraId="7DC8E85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4.9 </w:t>
                            </w:r>
                          </w:p>
                        </w:tc>
                        <w:tc>
                          <w:tcPr>
                            <w:tcW w:w="547" w:type="pct"/>
                            <w:tcBorders>
                              <w:top w:val="nil"/>
                              <w:left w:val="nil"/>
                              <w:bottom w:val="nil"/>
                              <w:right w:val="nil"/>
                            </w:tcBorders>
                            <w:hideMark/>
                          </w:tcPr>
                          <w:p w14:paraId="1F85886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5.6 </w:t>
                            </w:r>
                          </w:p>
                        </w:tc>
                        <w:tc>
                          <w:tcPr>
                            <w:tcW w:w="547" w:type="pct"/>
                            <w:tcBorders>
                              <w:top w:val="nil"/>
                              <w:left w:val="nil"/>
                              <w:bottom w:val="nil"/>
                              <w:right w:val="nil"/>
                            </w:tcBorders>
                            <w:hideMark/>
                          </w:tcPr>
                          <w:p w14:paraId="60CE9F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6.3 </w:t>
                            </w:r>
                          </w:p>
                        </w:tc>
                        <w:tc>
                          <w:tcPr>
                            <w:tcW w:w="558" w:type="pct"/>
                            <w:tcBorders>
                              <w:top w:val="nil"/>
                              <w:left w:val="nil"/>
                              <w:bottom w:val="nil"/>
                              <w:right w:val="nil"/>
                            </w:tcBorders>
                            <w:hideMark/>
                          </w:tcPr>
                          <w:p w14:paraId="71CCA12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7.1 </w:t>
                            </w:r>
                          </w:p>
                        </w:tc>
                        <w:tc>
                          <w:tcPr>
                            <w:tcW w:w="547" w:type="pct"/>
                            <w:tcBorders>
                              <w:top w:val="nil"/>
                              <w:left w:val="nil"/>
                              <w:bottom w:val="nil"/>
                              <w:right w:val="nil"/>
                            </w:tcBorders>
                            <w:hideMark/>
                          </w:tcPr>
                          <w:p w14:paraId="524FD57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7.6 </w:t>
                            </w:r>
                          </w:p>
                        </w:tc>
                        <w:tc>
                          <w:tcPr>
                            <w:tcW w:w="558" w:type="pct"/>
                            <w:tcBorders>
                              <w:top w:val="nil"/>
                              <w:left w:val="nil"/>
                              <w:bottom w:val="nil"/>
                              <w:right w:val="nil"/>
                            </w:tcBorders>
                            <w:hideMark/>
                          </w:tcPr>
                          <w:p w14:paraId="5BBE521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6.9 </w:t>
                            </w:r>
                          </w:p>
                        </w:tc>
                      </w:tr>
                      <w:tr w:rsidR="003C2F53" w:rsidRPr="007B6FA5" w14:paraId="0376D0C8" w14:textId="77777777" w:rsidTr="007B6FA5">
                        <w:trPr>
                          <w:trHeight w:val="204"/>
                        </w:trPr>
                        <w:tc>
                          <w:tcPr>
                            <w:tcW w:w="1685" w:type="pct"/>
                            <w:tcBorders>
                              <w:top w:val="nil"/>
                              <w:left w:val="nil"/>
                              <w:bottom w:val="nil"/>
                              <w:right w:val="nil"/>
                            </w:tcBorders>
                            <w:noWrap/>
                            <w:hideMark/>
                          </w:tcPr>
                          <w:p w14:paraId="33BF431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Total Revenue</w:t>
                            </w:r>
                          </w:p>
                        </w:tc>
                        <w:tc>
                          <w:tcPr>
                            <w:tcW w:w="558" w:type="pct"/>
                            <w:tcBorders>
                              <w:top w:val="single" w:sz="4" w:space="0" w:color="000000"/>
                              <w:left w:val="nil"/>
                              <w:bottom w:val="nil"/>
                              <w:right w:val="nil"/>
                            </w:tcBorders>
                            <w:hideMark/>
                          </w:tcPr>
                          <w:p w14:paraId="4B7D237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4.9 </w:t>
                            </w:r>
                          </w:p>
                        </w:tc>
                        <w:tc>
                          <w:tcPr>
                            <w:tcW w:w="547" w:type="pct"/>
                            <w:tcBorders>
                              <w:top w:val="single" w:sz="4" w:space="0" w:color="000000"/>
                              <w:left w:val="nil"/>
                              <w:bottom w:val="nil"/>
                              <w:right w:val="nil"/>
                            </w:tcBorders>
                            <w:hideMark/>
                          </w:tcPr>
                          <w:p w14:paraId="1AC5835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5.6 </w:t>
                            </w:r>
                          </w:p>
                        </w:tc>
                        <w:tc>
                          <w:tcPr>
                            <w:tcW w:w="547" w:type="pct"/>
                            <w:tcBorders>
                              <w:top w:val="single" w:sz="4" w:space="0" w:color="000000"/>
                              <w:left w:val="nil"/>
                              <w:bottom w:val="nil"/>
                              <w:right w:val="nil"/>
                            </w:tcBorders>
                            <w:hideMark/>
                          </w:tcPr>
                          <w:p w14:paraId="264C598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6.3 </w:t>
                            </w:r>
                          </w:p>
                        </w:tc>
                        <w:tc>
                          <w:tcPr>
                            <w:tcW w:w="558" w:type="pct"/>
                            <w:tcBorders>
                              <w:top w:val="single" w:sz="4" w:space="0" w:color="000000"/>
                              <w:left w:val="nil"/>
                              <w:bottom w:val="nil"/>
                              <w:right w:val="nil"/>
                            </w:tcBorders>
                            <w:hideMark/>
                          </w:tcPr>
                          <w:p w14:paraId="5A1451D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7.1 </w:t>
                            </w:r>
                          </w:p>
                        </w:tc>
                        <w:tc>
                          <w:tcPr>
                            <w:tcW w:w="547" w:type="pct"/>
                            <w:tcBorders>
                              <w:top w:val="single" w:sz="4" w:space="0" w:color="000000"/>
                              <w:left w:val="nil"/>
                              <w:bottom w:val="nil"/>
                              <w:right w:val="nil"/>
                            </w:tcBorders>
                            <w:hideMark/>
                          </w:tcPr>
                          <w:p w14:paraId="5895446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7.6 </w:t>
                            </w:r>
                          </w:p>
                        </w:tc>
                        <w:tc>
                          <w:tcPr>
                            <w:tcW w:w="558" w:type="pct"/>
                            <w:tcBorders>
                              <w:top w:val="single" w:sz="4" w:space="0" w:color="000000"/>
                              <w:left w:val="nil"/>
                              <w:bottom w:val="nil"/>
                              <w:right w:val="nil"/>
                            </w:tcBorders>
                            <w:hideMark/>
                          </w:tcPr>
                          <w:p w14:paraId="716D26C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6.9 </w:t>
                            </w:r>
                          </w:p>
                        </w:tc>
                      </w:tr>
                      <w:tr w:rsidR="003C2F53" w:rsidRPr="007B6FA5" w14:paraId="0082937F" w14:textId="77777777" w:rsidTr="007B6FA5">
                        <w:trPr>
                          <w:trHeight w:val="204"/>
                        </w:trPr>
                        <w:tc>
                          <w:tcPr>
                            <w:tcW w:w="1685" w:type="pct"/>
                            <w:tcBorders>
                              <w:top w:val="nil"/>
                              <w:left w:val="nil"/>
                              <w:bottom w:val="nil"/>
                              <w:right w:val="nil"/>
                            </w:tcBorders>
                            <w:noWrap/>
                            <w:hideMark/>
                          </w:tcPr>
                          <w:p w14:paraId="00344C9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Cost Of Goods Sold</w:t>
                            </w:r>
                          </w:p>
                        </w:tc>
                        <w:tc>
                          <w:tcPr>
                            <w:tcW w:w="558" w:type="pct"/>
                            <w:tcBorders>
                              <w:top w:val="nil"/>
                              <w:left w:val="nil"/>
                              <w:bottom w:val="nil"/>
                              <w:right w:val="nil"/>
                            </w:tcBorders>
                            <w:hideMark/>
                          </w:tcPr>
                          <w:p w14:paraId="716C19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3.6 </w:t>
                            </w:r>
                          </w:p>
                        </w:tc>
                        <w:tc>
                          <w:tcPr>
                            <w:tcW w:w="547" w:type="pct"/>
                            <w:tcBorders>
                              <w:top w:val="nil"/>
                              <w:left w:val="nil"/>
                              <w:bottom w:val="nil"/>
                              <w:right w:val="nil"/>
                            </w:tcBorders>
                            <w:hideMark/>
                          </w:tcPr>
                          <w:p w14:paraId="5B1DDD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4.2 </w:t>
                            </w:r>
                          </w:p>
                        </w:tc>
                        <w:tc>
                          <w:tcPr>
                            <w:tcW w:w="547" w:type="pct"/>
                            <w:tcBorders>
                              <w:top w:val="nil"/>
                              <w:left w:val="nil"/>
                              <w:bottom w:val="nil"/>
                              <w:right w:val="nil"/>
                            </w:tcBorders>
                            <w:hideMark/>
                          </w:tcPr>
                          <w:p w14:paraId="23C7F35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4.8 </w:t>
                            </w:r>
                          </w:p>
                        </w:tc>
                        <w:tc>
                          <w:tcPr>
                            <w:tcW w:w="558" w:type="pct"/>
                            <w:tcBorders>
                              <w:top w:val="nil"/>
                              <w:left w:val="nil"/>
                              <w:bottom w:val="nil"/>
                              <w:right w:val="nil"/>
                            </w:tcBorders>
                            <w:hideMark/>
                          </w:tcPr>
                          <w:p w14:paraId="48CEF0A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5.1 </w:t>
                            </w:r>
                          </w:p>
                        </w:tc>
                        <w:tc>
                          <w:tcPr>
                            <w:tcW w:w="547" w:type="pct"/>
                            <w:tcBorders>
                              <w:top w:val="nil"/>
                              <w:left w:val="nil"/>
                              <w:bottom w:val="nil"/>
                              <w:right w:val="nil"/>
                            </w:tcBorders>
                            <w:hideMark/>
                          </w:tcPr>
                          <w:p w14:paraId="45F3ECC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5.5 </w:t>
                            </w:r>
                          </w:p>
                        </w:tc>
                        <w:tc>
                          <w:tcPr>
                            <w:tcW w:w="558" w:type="pct"/>
                            <w:tcBorders>
                              <w:top w:val="nil"/>
                              <w:left w:val="nil"/>
                              <w:bottom w:val="nil"/>
                              <w:right w:val="nil"/>
                            </w:tcBorders>
                            <w:hideMark/>
                          </w:tcPr>
                          <w:p w14:paraId="39D020A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4.8 </w:t>
                            </w:r>
                          </w:p>
                        </w:tc>
                      </w:tr>
                      <w:tr w:rsidR="003C2F53" w:rsidRPr="007B6FA5" w14:paraId="5DD9EA74" w14:textId="77777777" w:rsidTr="007B6FA5">
                        <w:trPr>
                          <w:trHeight w:val="204"/>
                        </w:trPr>
                        <w:tc>
                          <w:tcPr>
                            <w:tcW w:w="1685" w:type="pct"/>
                            <w:tcBorders>
                              <w:top w:val="nil"/>
                              <w:left w:val="nil"/>
                              <w:bottom w:val="nil"/>
                              <w:right w:val="nil"/>
                            </w:tcBorders>
                            <w:noWrap/>
                            <w:hideMark/>
                          </w:tcPr>
                          <w:p w14:paraId="2C613246"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Gross Profit</w:t>
                            </w:r>
                          </w:p>
                        </w:tc>
                        <w:tc>
                          <w:tcPr>
                            <w:tcW w:w="558" w:type="pct"/>
                            <w:tcBorders>
                              <w:top w:val="single" w:sz="4" w:space="0" w:color="000000"/>
                              <w:left w:val="nil"/>
                              <w:bottom w:val="nil"/>
                              <w:right w:val="nil"/>
                            </w:tcBorders>
                            <w:hideMark/>
                          </w:tcPr>
                          <w:p w14:paraId="27D277A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504621C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2D8B473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1.5 </w:t>
                            </w:r>
                          </w:p>
                        </w:tc>
                        <w:tc>
                          <w:tcPr>
                            <w:tcW w:w="558" w:type="pct"/>
                            <w:tcBorders>
                              <w:top w:val="single" w:sz="4" w:space="0" w:color="000000"/>
                              <w:left w:val="nil"/>
                              <w:bottom w:val="nil"/>
                              <w:right w:val="nil"/>
                            </w:tcBorders>
                            <w:hideMark/>
                          </w:tcPr>
                          <w:p w14:paraId="53370E3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2.0 </w:t>
                            </w:r>
                          </w:p>
                        </w:tc>
                        <w:tc>
                          <w:tcPr>
                            <w:tcW w:w="547" w:type="pct"/>
                            <w:tcBorders>
                              <w:top w:val="single" w:sz="4" w:space="0" w:color="000000"/>
                              <w:left w:val="nil"/>
                              <w:bottom w:val="nil"/>
                              <w:right w:val="nil"/>
                            </w:tcBorders>
                            <w:hideMark/>
                          </w:tcPr>
                          <w:p w14:paraId="022A72D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2.1 </w:t>
                            </w:r>
                          </w:p>
                        </w:tc>
                        <w:tc>
                          <w:tcPr>
                            <w:tcW w:w="558" w:type="pct"/>
                            <w:tcBorders>
                              <w:top w:val="single" w:sz="4" w:space="0" w:color="000000"/>
                              <w:left w:val="nil"/>
                              <w:bottom w:val="nil"/>
                              <w:right w:val="nil"/>
                            </w:tcBorders>
                            <w:hideMark/>
                          </w:tcPr>
                          <w:p w14:paraId="318531F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2.1 </w:t>
                            </w:r>
                          </w:p>
                        </w:tc>
                      </w:tr>
                      <w:tr w:rsidR="003C2F53" w:rsidRPr="007B6FA5" w14:paraId="709C0801" w14:textId="77777777" w:rsidTr="007B6FA5">
                        <w:trPr>
                          <w:trHeight w:val="204"/>
                        </w:trPr>
                        <w:tc>
                          <w:tcPr>
                            <w:tcW w:w="1685" w:type="pct"/>
                            <w:tcBorders>
                              <w:top w:val="nil"/>
                              <w:left w:val="nil"/>
                              <w:bottom w:val="nil"/>
                              <w:right w:val="nil"/>
                            </w:tcBorders>
                            <w:noWrap/>
                            <w:hideMark/>
                          </w:tcPr>
                          <w:p w14:paraId="0C04574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Selling General &amp; Admin Exp.</w:t>
                            </w:r>
                          </w:p>
                        </w:tc>
                        <w:tc>
                          <w:tcPr>
                            <w:tcW w:w="558" w:type="pct"/>
                            <w:tcBorders>
                              <w:top w:val="nil"/>
                              <w:left w:val="nil"/>
                              <w:bottom w:val="nil"/>
                              <w:right w:val="nil"/>
                            </w:tcBorders>
                            <w:hideMark/>
                          </w:tcPr>
                          <w:p w14:paraId="1D962C2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1.0 </w:t>
                            </w:r>
                          </w:p>
                        </w:tc>
                        <w:tc>
                          <w:tcPr>
                            <w:tcW w:w="547" w:type="pct"/>
                            <w:tcBorders>
                              <w:top w:val="nil"/>
                              <w:left w:val="nil"/>
                              <w:bottom w:val="nil"/>
                              <w:right w:val="nil"/>
                            </w:tcBorders>
                            <w:hideMark/>
                          </w:tcPr>
                          <w:p w14:paraId="252854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1.2 </w:t>
                            </w:r>
                          </w:p>
                        </w:tc>
                        <w:tc>
                          <w:tcPr>
                            <w:tcW w:w="547" w:type="pct"/>
                            <w:tcBorders>
                              <w:top w:val="nil"/>
                              <w:left w:val="nil"/>
                              <w:bottom w:val="nil"/>
                              <w:right w:val="nil"/>
                            </w:tcBorders>
                            <w:hideMark/>
                          </w:tcPr>
                          <w:p w14:paraId="17516E0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1.3 </w:t>
                            </w:r>
                          </w:p>
                        </w:tc>
                        <w:tc>
                          <w:tcPr>
                            <w:tcW w:w="558" w:type="pct"/>
                            <w:tcBorders>
                              <w:top w:val="nil"/>
                              <w:left w:val="nil"/>
                              <w:bottom w:val="nil"/>
                              <w:right w:val="nil"/>
                            </w:tcBorders>
                            <w:hideMark/>
                          </w:tcPr>
                          <w:p w14:paraId="29F7405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1.5 </w:t>
                            </w:r>
                          </w:p>
                        </w:tc>
                        <w:tc>
                          <w:tcPr>
                            <w:tcW w:w="547" w:type="pct"/>
                            <w:tcBorders>
                              <w:top w:val="nil"/>
                              <w:left w:val="nil"/>
                              <w:bottom w:val="nil"/>
                              <w:right w:val="nil"/>
                            </w:tcBorders>
                            <w:hideMark/>
                          </w:tcPr>
                          <w:p w14:paraId="0D6C00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1.7 </w:t>
                            </w:r>
                          </w:p>
                        </w:tc>
                        <w:tc>
                          <w:tcPr>
                            <w:tcW w:w="558" w:type="pct"/>
                            <w:tcBorders>
                              <w:top w:val="nil"/>
                              <w:left w:val="nil"/>
                              <w:bottom w:val="nil"/>
                              <w:right w:val="nil"/>
                            </w:tcBorders>
                            <w:hideMark/>
                          </w:tcPr>
                          <w:p w14:paraId="0365B9F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1.6 </w:t>
                            </w:r>
                          </w:p>
                        </w:tc>
                      </w:tr>
                      <w:tr w:rsidR="003C2F53" w:rsidRPr="007B6FA5" w14:paraId="7F16A4AF" w14:textId="77777777" w:rsidTr="007B6FA5">
                        <w:trPr>
                          <w:trHeight w:val="204"/>
                        </w:trPr>
                        <w:tc>
                          <w:tcPr>
                            <w:tcW w:w="1685" w:type="pct"/>
                            <w:tcBorders>
                              <w:top w:val="nil"/>
                              <w:left w:val="nil"/>
                              <w:bottom w:val="nil"/>
                              <w:right w:val="nil"/>
                            </w:tcBorders>
                            <w:noWrap/>
                            <w:hideMark/>
                          </w:tcPr>
                          <w:p w14:paraId="2CEBEEF3"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Provision for Bad Debts</w:t>
                            </w:r>
                          </w:p>
                        </w:tc>
                        <w:tc>
                          <w:tcPr>
                            <w:tcW w:w="558" w:type="pct"/>
                            <w:tcBorders>
                              <w:top w:val="nil"/>
                              <w:left w:val="nil"/>
                              <w:bottom w:val="nil"/>
                              <w:right w:val="nil"/>
                            </w:tcBorders>
                            <w:hideMark/>
                          </w:tcPr>
                          <w:p w14:paraId="723A98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D0C5BB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E2800C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0FB1D49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34347A3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C4285D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4052AE7F" w14:textId="77777777" w:rsidTr="007B6FA5">
                        <w:trPr>
                          <w:trHeight w:val="204"/>
                        </w:trPr>
                        <w:tc>
                          <w:tcPr>
                            <w:tcW w:w="1685" w:type="pct"/>
                            <w:tcBorders>
                              <w:top w:val="nil"/>
                              <w:left w:val="nil"/>
                              <w:bottom w:val="nil"/>
                              <w:right w:val="nil"/>
                            </w:tcBorders>
                            <w:noWrap/>
                            <w:hideMark/>
                          </w:tcPr>
                          <w:p w14:paraId="22B8C443"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Depreciation &amp; Amort.</w:t>
                            </w:r>
                          </w:p>
                        </w:tc>
                        <w:tc>
                          <w:tcPr>
                            <w:tcW w:w="558" w:type="pct"/>
                            <w:tcBorders>
                              <w:top w:val="nil"/>
                              <w:left w:val="nil"/>
                              <w:bottom w:val="nil"/>
                              <w:right w:val="nil"/>
                            </w:tcBorders>
                            <w:hideMark/>
                          </w:tcPr>
                          <w:p w14:paraId="254E0D6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E64810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0B5EEB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E94874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3317691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24287D1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r>
                      <w:tr w:rsidR="003C2F53" w:rsidRPr="007B6FA5" w14:paraId="14682802" w14:textId="77777777" w:rsidTr="007B6FA5">
                        <w:trPr>
                          <w:trHeight w:val="204"/>
                        </w:trPr>
                        <w:tc>
                          <w:tcPr>
                            <w:tcW w:w="1685" w:type="pct"/>
                            <w:tcBorders>
                              <w:top w:val="nil"/>
                              <w:left w:val="nil"/>
                              <w:bottom w:val="nil"/>
                              <w:right w:val="nil"/>
                            </w:tcBorders>
                            <w:noWrap/>
                            <w:hideMark/>
                          </w:tcPr>
                          <w:p w14:paraId="3EFD1641"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Operating Expense/(Income)</w:t>
                            </w:r>
                          </w:p>
                        </w:tc>
                        <w:tc>
                          <w:tcPr>
                            <w:tcW w:w="558" w:type="pct"/>
                            <w:tcBorders>
                              <w:top w:val="nil"/>
                              <w:left w:val="nil"/>
                              <w:bottom w:val="nil"/>
                              <w:right w:val="nil"/>
                            </w:tcBorders>
                            <w:hideMark/>
                          </w:tcPr>
                          <w:p w14:paraId="0E4B867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2726EA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B0CCED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t>
                            </w:r>
                          </w:p>
                        </w:tc>
                        <w:tc>
                          <w:tcPr>
                            <w:tcW w:w="558" w:type="pct"/>
                            <w:tcBorders>
                              <w:top w:val="nil"/>
                              <w:left w:val="nil"/>
                              <w:bottom w:val="nil"/>
                              <w:right w:val="nil"/>
                            </w:tcBorders>
                            <w:hideMark/>
                          </w:tcPr>
                          <w:p w14:paraId="35671E5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002D3A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77F944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r>
                      <w:tr w:rsidR="003C2F53" w:rsidRPr="007B6FA5" w14:paraId="6D329FC2" w14:textId="77777777" w:rsidTr="007B6FA5">
                        <w:trPr>
                          <w:trHeight w:val="204"/>
                        </w:trPr>
                        <w:tc>
                          <w:tcPr>
                            <w:tcW w:w="1685" w:type="pct"/>
                            <w:tcBorders>
                              <w:top w:val="nil"/>
                              <w:left w:val="nil"/>
                              <w:bottom w:val="nil"/>
                              <w:right w:val="nil"/>
                            </w:tcBorders>
                            <w:noWrap/>
                            <w:hideMark/>
                          </w:tcPr>
                          <w:p w14:paraId="7AD3A1C0"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Other Operating Exp., Total</w:t>
                            </w:r>
                          </w:p>
                        </w:tc>
                        <w:tc>
                          <w:tcPr>
                            <w:tcW w:w="558" w:type="pct"/>
                            <w:tcBorders>
                              <w:top w:val="single" w:sz="4" w:space="0" w:color="000000"/>
                              <w:left w:val="nil"/>
                              <w:bottom w:val="nil"/>
                              <w:right w:val="nil"/>
                            </w:tcBorders>
                            <w:hideMark/>
                          </w:tcPr>
                          <w:p w14:paraId="23F1387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1.2 </w:t>
                            </w:r>
                          </w:p>
                        </w:tc>
                        <w:tc>
                          <w:tcPr>
                            <w:tcW w:w="547" w:type="pct"/>
                            <w:tcBorders>
                              <w:top w:val="single" w:sz="4" w:space="0" w:color="000000"/>
                              <w:left w:val="nil"/>
                              <w:bottom w:val="nil"/>
                              <w:right w:val="nil"/>
                            </w:tcBorders>
                            <w:hideMark/>
                          </w:tcPr>
                          <w:p w14:paraId="780FEE7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1.3 </w:t>
                            </w:r>
                          </w:p>
                        </w:tc>
                        <w:tc>
                          <w:tcPr>
                            <w:tcW w:w="547" w:type="pct"/>
                            <w:tcBorders>
                              <w:top w:val="single" w:sz="4" w:space="0" w:color="000000"/>
                              <w:left w:val="nil"/>
                              <w:bottom w:val="nil"/>
                              <w:right w:val="nil"/>
                            </w:tcBorders>
                            <w:hideMark/>
                          </w:tcPr>
                          <w:p w14:paraId="163D39A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1.5 </w:t>
                            </w:r>
                          </w:p>
                        </w:tc>
                        <w:tc>
                          <w:tcPr>
                            <w:tcW w:w="558" w:type="pct"/>
                            <w:tcBorders>
                              <w:top w:val="single" w:sz="4" w:space="0" w:color="000000"/>
                              <w:left w:val="nil"/>
                              <w:bottom w:val="nil"/>
                              <w:right w:val="nil"/>
                            </w:tcBorders>
                            <w:hideMark/>
                          </w:tcPr>
                          <w:p w14:paraId="45D8B80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1.8 </w:t>
                            </w:r>
                          </w:p>
                        </w:tc>
                        <w:tc>
                          <w:tcPr>
                            <w:tcW w:w="547" w:type="pct"/>
                            <w:tcBorders>
                              <w:top w:val="single" w:sz="4" w:space="0" w:color="000000"/>
                              <w:left w:val="nil"/>
                              <w:bottom w:val="nil"/>
                              <w:right w:val="nil"/>
                            </w:tcBorders>
                            <w:hideMark/>
                          </w:tcPr>
                          <w:p w14:paraId="26186C30"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2.2 </w:t>
                            </w:r>
                          </w:p>
                        </w:tc>
                        <w:tc>
                          <w:tcPr>
                            <w:tcW w:w="558" w:type="pct"/>
                            <w:tcBorders>
                              <w:top w:val="single" w:sz="4" w:space="0" w:color="000000"/>
                              <w:left w:val="nil"/>
                              <w:bottom w:val="nil"/>
                              <w:right w:val="nil"/>
                            </w:tcBorders>
                            <w:hideMark/>
                          </w:tcPr>
                          <w:p w14:paraId="11FB352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1.9 </w:t>
                            </w:r>
                          </w:p>
                        </w:tc>
                      </w:tr>
                      <w:tr w:rsidR="003C2F53" w:rsidRPr="007B6FA5" w14:paraId="2270E67C" w14:textId="77777777" w:rsidTr="007B6FA5">
                        <w:trPr>
                          <w:trHeight w:val="204"/>
                        </w:trPr>
                        <w:tc>
                          <w:tcPr>
                            <w:tcW w:w="1685" w:type="pct"/>
                            <w:tcBorders>
                              <w:top w:val="nil"/>
                              <w:left w:val="nil"/>
                              <w:bottom w:val="nil"/>
                              <w:right w:val="nil"/>
                            </w:tcBorders>
                            <w:noWrap/>
                            <w:hideMark/>
                          </w:tcPr>
                          <w:p w14:paraId="4A27D51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Operating Income</w:t>
                            </w:r>
                          </w:p>
                        </w:tc>
                        <w:tc>
                          <w:tcPr>
                            <w:tcW w:w="558" w:type="pct"/>
                            <w:tcBorders>
                              <w:top w:val="nil"/>
                              <w:left w:val="nil"/>
                              <w:bottom w:val="nil"/>
                              <w:right w:val="nil"/>
                            </w:tcBorders>
                            <w:hideMark/>
                          </w:tcPr>
                          <w:p w14:paraId="752646F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587E593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0232406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0.0 </w:t>
                            </w:r>
                          </w:p>
                        </w:tc>
                        <w:tc>
                          <w:tcPr>
                            <w:tcW w:w="558" w:type="pct"/>
                            <w:tcBorders>
                              <w:top w:val="nil"/>
                              <w:left w:val="nil"/>
                              <w:bottom w:val="nil"/>
                              <w:right w:val="nil"/>
                            </w:tcBorders>
                            <w:hideMark/>
                          </w:tcPr>
                          <w:p w14:paraId="5CDE18B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4F6822F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69133F5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0.3 </w:t>
                            </w:r>
                          </w:p>
                        </w:tc>
                      </w:tr>
                      <w:tr w:rsidR="003C2F53" w:rsidRPr="007B6FA5" w14:paraId="6E03B068" w14:textId="77777777" w:rsidTr="007B6FA5">
                        <w:trPr>
                          <w:trHeight w:val="204"/>
                        </w:trPr>
                        <w:tc>
                          <w:tcPr>
                            <w:tcW w:w="1685" w:type="pct"/>
                            <w:tcBorders>
                              <w:top w:val="nil"/>
                              <w:left w:val="nil"/>
                              <w:bottom w:val="nil"/>
                              <w:right w:val="nil"/>
                            </w:tcBorders>
                            <w:noWrap/>
                            <w:hideMark/>
                          </w:tcPr>
                          <w:p w14:paraId="6046F7A4"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Interest Expense</w:t>
                            </w:r>
                          </w:p>
                        </w:tc>
                        <w:tc>
                          <w:tcPr>
                            <w:tcW w:w="558" w:type="pct"/>
                            <w:tcBorders>
                              <w:top w:val="nil"/>
                              <w:left w:val="nil"/>
                              <w:bottom w:val="nil"/>
                              <w:right w:val="nil"/>
                            </w:tcBorders>
                            <w:hideMark/>
                          </w:tcPr>
                          <w:p w14:paraId="1D972B3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B60BD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595C95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FED353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A1E7BB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5E7C9F9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r>
                      <w:tr w:rsidR="003C2F53" w:rsidRPr="007B6FA5" w14:paraId="0CF81E35" w14:textId="77777777" w:rsidTr="007B6FA5">
                        <w:trPr>
                          <w:trHeight w:val="204"/>
                        </w:trPr>
                        <w:tc>
                          <w:tcPr>
                            <w:tcW w:w="1685" w:type="pct"/>
                            <w:tcBorders>
                              <w:top w:val="nil"/>
                              <w:left w:val="nil"/>
                              <w:bottom w:val="nil"/>
                              <w:right w:val="nil"/>
                            </w:tcBorders>
                            <w:noWrap/>
                            <w:hideMark/>
                          </w:tcPr>
                          <w:p w14:paraId="1E938157"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Interest and Invest. Income</w:t>
                            </w:r>
                          </w:p>
                        </w:tc>
                        <w:tc>
                          <w:tcPr>
                            <w:tcW w:w="558" w:type="pct"/>
                            <w:tcBorders>
                              <w:top w:val="nil"/>
                              <w:left w:val="nil"/>
                              <w:bottom w:val="nil"/>
                              <w:right w:val="nil"/>
                            </w:tcBorders>
                            <w:hideMark/>
                          </w:tcPr>
                          <w:p w14:paraId="1BD5AE5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F8D066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103AB6D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37853CD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D7B925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8AA01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3C6C39E6" w14:textId="77777777" w:rsidTr="007B6FA5">
                        <w:trPr>
                          <w:trHeight w:val="204"/>
                        </w:trPr>
                        <w:tc>
                          <w:tcPr>
                            <w:tcW w:w="1685" w:type="pct"/>
                            <w:tcBorders>
                              <w:top w:val="nil"/>
                              <w:left w:val="nil"/>
                              <w:bottom w:val="nil"/>
                              <w:right w:val="nil"/>
                            </w:tcBorders>
                            <w:noWrap/>
                            <w:hideMark/>
                          </w:tcPr>
                          <w:p w14:paraId="25AB84BD"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Interest Exp.</w:t>
                            </w:r>
                          </w:p>
                        </w:tc>
                        <w:tc>
                          <w:tcPr>
                            <w:tcW w:w="558" w:type="pct"/>
                            <w:tcBorders>
                              <w:top w:val="single" w:sz="4" w:space="0" w:color="000000"/>
                              <w:left w:val="nil"/>
                              <w:bottom w:val="nil"/>
                              <w:right w:val="nil"/>
                            </w:tcBorders>
                            <w:hideMark/>
                          </w:tcPr>
                          <w:p w14:paraId="401003F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4174717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2B30F90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10CE80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D31CF9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5AF6782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F440126" w14:textId="77777777" w:rsidTr="007B6FA5">
                        <w:trPr>
                          <w:trHeight w:val="204"/>
                        </w:trPr>
                        <w:tc>
                          <w:tcPr>
                            <w:tcW w:w="1685" w:type="pct"/>
                            <w:tcBorders>
                              <w:top w:val="nil"/>
                              <w:left w:val="nil"/>
                              <w:bottom w:val="nil"/>
                              <w:right w:val="nil"/>
                            </w:tcBorders>
                            <w:noWrap/>
                            <w:hideMark/>
                          </w:tcPr>
                          <w:p w14:paraId="1EF5FC35"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Income/(Loss) from Affiliates</w:t>
                            </w:r>
                          </w:p>
                        </w:tc>
                        <w:tc>
                          <w:tcPr>
                            <w:tcW w:w="558" w:type="pct"/>
                            <w:tcBorders>
                              <w:top w:val="nil"/>
                              <w:left w:val="nil"/>
                              <w:bottom w:val="nil"/>
                              <w:right w:val="nil"/>
                            </w:tcBorders>
                            <w:hideMark/>
                          </w:tcPr>
                          <w:p w14:paraId="5DD933F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0AAE2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6AEA7F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556FBFF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B24813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027EA31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r>
                      <w:tr w:rsidR="003C2F53" w:rsidRPr="007B6FA5" w14:paraId="3327652F" w14:textId="77777777" w:rsidTr="007B6FA5">
                        <w:trPr>
                          <w:trHeight w:val="204"/>
                        </w:trPr>
                        <w:tc>
                          <w:tcPr>
                            <w:tcW w:w="1685" w:type="pct"/>
                            <w:tcBorders>
                              <w:top w:val="nil"/>
                              <w:left w:val="nil"/>
                              <w:bottom w:val="nil"/>
                              <w:right w:val="nil"/>
                            </w:tcBorders>
                            <w:noWrap/>
                            <w:hideMark/>
                          </w:tcPr>
                          <w:p w14:paraId="7EECED70"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Non-Operating Inc. (Exp.)</w:t>
                            </w:r>
                          </w:p>
                        </w:tc>
                        <w:tc>
                          <w:tcPr>
                            <w:tcW w:w="558" w:type="pct"/>
                            <w:tcBorders>
                              <w:top w:val="nil"/>
                              <w:left w:val="nil"/>
                              <w:bottom w:val="nil"/>
                              <w:right w:val="nil"/>
                            </w:tcBorders>
                            <w:hideMark/>
                          </w:tcPr>
                          <w:p w14:paraId="625DE25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6C0F8C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415981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7B7910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E6DD25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062ACD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1C62EC85" w14:textId="77777777" w:rsidTr="007B6FA5">
                        <w:trPr>
                          <w:trHeight w:val="204"/>
                        </w:trPr>
                        <w:tc>
                          <w:tcPr>
                            <w:tcW w:w="1685" w:type="pct"/>
                            <w:tcBorders>
                              <w:top w:val="nil"/>
                              <w:left w:val="nil"/>
                              <w:bottom w:val="nil"/>
                              <w:right w:val="nil"/>
                            </w:tcBorders>
                            <w:noWrap/>
                            <w:hideMark/>
                          </w:tcPr>
                          <w:p w14:paraId="096178C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EBT Excl. Unusual Items</w:t>
                            </w:r>
                          </w:p>
                        </w:tc>
                        <w:tc>
                          <w:tcPr>
                            <w:tcW w:w="558" w:type="pct"/>
                            <w:tcBorders>
                              <w:top w:val="single" w:sz="4" w:space="0" w:color="000000"/>
                              <w:left w:val="nil"/>
                              <w:bottom w:val="nil"/>
                              <w:right w:val="nil"/>
                            </w:tcBorders>
                            <w:hideMark/>
                          </w:tcPr>
                          <w:p w14:paraId="7B62D5F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19B81C2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71C1A4B"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1C29963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0273EC0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(0.5)  </w:t>
                            </w:r>
                          </w:p>
                        </w:tc>
                        <w:tc>
                          <w:tcPr>
                            <w:tcW w:w="558" w:type="pct"/>
                            <w:tcBorders>
                              <w:top w:val="single" w:sz="4" w:space="0" w:color="000000"/>
                              <w:left w:val="nil"/>
                              <w:bottom w:val="nil"/>
                              <w:right w:val="nil"/>
                            </w:tcBorders>
                            <w:hideMark/>
                          </w:tcPr>
                          <w:p w14:paraId="3432D00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0.0 </w:t>
                            </w:r>
                          </w:p>
                        </w:tc>
                      </w:tr>
                      <w:tr w:rsidR="003C2F53" w:rsidRPr="007B6FA5" w14:paraId="22A59B72" w14:textId="77777777" w:rsidTr="007B6FA5">
                        <w:trPr>
                          <w:trHeight w:val="204"/>
                        </w:trPr>
                        <w:tc>
                          <w:tcPr>
                            <w:tcW w:w="1685" w:type="pct"/>
                            <w:tcBorders>
                              <w:top w:val="nil"/>
                              <w:left w:val="nil"/>
                              <w:bottom w:val="nil"/>
                              <w:right w:val="nil"/>
                            </w:tcBorders>
                            <w:noWrap/>
                            <w:hideMark/>
                          </w:tcPr>
                          <w:p w14:paraId="1A18643D"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Legal Settlements</w:t>
                            </w:r>
                          </w:p>
                        </w:tc>
                        <w:tc>
                          <w:tcPr>
                            <w:tcW w:w="558" w:type="pct"/>
                            <w:tcBorders>
                              <w:top w:val="nil"/>
                              <w:left w:val="nil"/>
                              <w:bottom w:val="nil"/>
                              <w:right w:val="nil"/>
                            </w:tcBorders>
                            <w:hideMark/>
                          </w:tcPr>
                          <w:p w14:paraId="34CA3B4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D51A2D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FE19A0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CDDE82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82057E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5BD8AE5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3E178EC0" w14:textId="77777777" w:rsidTr="007B6FA5">
                        <w:trPr>
                          <w:trHeight w:val="204"/>
                        </w:trPr>
                        <w:tc>
                          <w:tcPr>
                            <w:tcW w:w="1685" w:type="pct"/>
                            <w:tcBorders>
                              <w:top w:val="nil"/>
                              <w:left w:val="nil"/>
                              <w:bottom w:val="nil"/>
                              <w:right w:val="nil"/>
                            </w:tcBorders>
                            <w:noWrap/>
                            <w:hideMark/>
                          </w:tcPr>
                          <w:p w14:paraId="46493BB5"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Other Unusual Items</w:t>
                            </w:r>
                          </w:p>
                        </w:tc>
                        <w:tc>
                          <w:tcPr>
                            <w:tcW w:w="558" w:type="pct"/>
                            <w:tcBorders>
                              <w:top w:val="nil"/>
                              <w:left w:val="nil"/>
                              <w:bottom w:val="nil"/>
                              <w:right w:val="nil"/>
                            </w:tcBorders>
                            <w:hideMark/>
                          </w:tcPr>
                          <w:p w14:paraId="028459B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A715AA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9AE93F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196FC53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FEDE8A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150363C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r>
                      <w:tr w:rsidR="003C2F53" w:rsidRPr="007B6FA5" w14:paraId="3B37B795" w14:textId="77777777" w:rsidTr="007B6FA5">
                        <w:trPr>
                          <w:trHeight w:val="204"/>
                        </w:trPr>
                        <w:tc>
                          <w:tcPr>
                            <w:tcW w:w="1685" w:type="pct"/>
                            <w:tcBorders>
                              <w:top w:val="nil"/>
                              <w:left w:val="nil"/>
                              <w:bottom w:val="nil"/>
                              <w:right w:val="nil"/>
                            </w:tcBorders>
                            <w:noWrap/>
                            <w:hideMark/>
                          </w:tcPr>
                          <w:p w14:paraId="28CC4434"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EBT Incl. Unusual Items</w:t>
                            </w:r>
                          </w:p>
                        </w:tc>
                        <w:tc>
                          <w:tcPr>
                            <w:tcW w:w="558" w:type="pct"/>
                            <w:tcBorders>
                              <w:top w:val="single" w:sz="4" w:space="0" w:color="000000"/>
                              <w:left w:val="nil"/>
                              <w:bottom w:val="nil"/>
                              <w:right w:val="nil"/>
                            </w:tcBorders>
                            <w:hideMark/>
                          </w:tcPr>
                          <w:p w14:paraId="3F613A4F"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0.3 </w:t>
                            </w:r>
                          </w:p>
                        </w:tc>
                        <w:tc>
                          <w:tcPr>
                            <w:tcW w:w="547" w:type="pct"/>
                            <w:tcBorders>
                              <w:top w:val="single" w:sz="4" w:space="0" w:color="000000"/>
                              <w:left w:val="nil"/>
                              <w:bottom w:val="nil"/>
                              <w:right w:val="nil"/>
                            </w:tcBorders>
                            <w:hideMark/>
                          </w:tcPr>
                          <w:p w14:paraId="1006C41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E9E571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c>
                          <w:tcPr>
                            <w:tcW w:w="558" w:type="pct"/>
                            <w:tcBorders>
                              <w:top w:val="single" w:sz="4" w:space="0" w:color="000000"/>
                              <w:left w:val="nil"/>
                              <w:bottom w:val="nil"/>
                              <w:right w:val="nil"/>
                            </w:tcBorders>
                            <w:hideMark/>
                          </w:tcPr>
                          <w:p w14:paraId="4B7FDCE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034B6CB5"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(0.4)  </w:t>
                            </w:r>
                          </w:p>
                        </w:tc>
                        <w:tc>
                          <w:tcPr>
                            <w:tcW w:w="558" w:type="pct"/>
                            <w:tcBorders>
                              <w:top w:val="single" w:sz="4" w:space="0" w:color="000000"/>
                              <w:left w:val="nil"/>
                              <w:bottom w:val="nil"/>
                              <w:right w:val="nil"/>
                            </w:tcBorders>
                            <w:hideMark/>
                          </w:tcPr>
                          <w:p w14:paraId="7F9611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 </w:t>
                            </w:r>
                          </w:p>
                        </w:tc>
                      </w:tr>
                      <w:tr w:rsidR="003C2F53" w:rsidRPr="007B6FA5" w14:paraId="35112084" w14:textId="77777777" w:rsidTr="007B6FA5">
                        <w:trPr>
                          <w:trHeight w:val="204"/>
                        </w:trPr>
                        <w:tc>
                          <w:tcPr>
                            <w:tcW w:w="1685" w:type="pct"/>
                            <w:tcBorders>
                              <w:top w:val="nil"/>
                              <w:left w:val="nil"/>
                              <w:bottom w:val="nil"/>
                              <w:right w:val="nil"/>
                            </w:tcBorders>
                            <w:noWrap/>
                            <w:hideMark/>
                          </w:tcPr>
                          <w:p w14:paraId="638AA25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Income Tax Expense</w:t>
                            </w:r>
                          </w:p>
                        </w:tc>
                        <w:tc>
                          <w:tcPr>
                            <w:tcW w:w="558" w:type="pct"/>
                            <w:tcBorders>
                              <w:top w:val="nil"/>
                              <w:left w:val="nil"/>
                              <w:bottom w:val="nil"/>
                              <w:right w:val="nil"/>
                            </w:tcBorders>
                            <w:hideMark/>
                          </w:tcPr>
                          <w:p w14:paraId="58840F2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D45E93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E10B69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23A00B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63982D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58" w:type="pct"/>
                            <w:tcBorders>
                              <w:top w:val="nil"/>
                              <w:left w:val="nil"/>
                              <w:bottom w:val="nil"/>
                              <w:right w:val="nil"/>
                            </w:tcBorders>
                            <w:hideMark/>
                          </w:tcPr>
                          <w:p w14:paraId="275CFAE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r>
                      <w:tr w:rsidR="003C2F53" w:rsidRPr="007B6FA5" w14:paraId="72658CD4" w14:textId="77777777" w:rsidTr="007B6FA5">
                        <w:trPr>
                          <w:trHeight w:val="204"/>
                        </w:trPr>
                        <w:tc>
                          <w:tcPr>
                            <w:tcW w:w="1685" w:type="pct"/>
                            <w:tcBorders>
                              <w:top w:val="nil"/>
                              <w:left w:val="nil"/>
                              <w:bottom w:val="nil"/>
                              <w:right w:val="nil"/>
                            </w:tcBorders>
                            <w:noWrap/>
                            <w:hideMark/>
                          </w:tcPr>
                          <w:p w14:paraId="6D194A2F"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Earnings from Cont. Ops.</w:t>
                            </w:r>
                          </w:p>
                        </w:tc>
                        <w:tc>
                          <w:tcPr>
                            <w:tcW w:w="558" w:type="pct"/>
                            <w:tcBorders>
                              <w:top w:val="single" w:sz="4" w:space="0" w:color="000000"/>
                              <w:left w:val="nil"/>
                              <w:bottom w:val="nil"/>
                              <w:right w:val="nil"/>
                            </w:tcBorders>
                            <w:hideMark/>
                          </w:tcPr>
                          <w:p w14:paraId="7E3FCBE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07F682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2CBF31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45399F7C"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EA821A0"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231EDF3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6B5087C3" w14:textId="77777777" w:rsidTr="007B6FA5">
                        <w:trPr>
                          <w:trHeight w:val="204"/>
                        </w:trPr>
                        <w:tc>
                          <w:tcPr>
                            <w:tcW w:w="1685" w:type="pct"/>
                            <w:tcBorders>
                              <w:top w:val="nil"/>
                              <w:left w:val="nil"/>
                              <w:bottom w:val="nil"/>
                              <w:right w:val="nil"/>
                            </w:tcBorders>
                            <w:noWrap/>
                            <w:hideMark/>
                          </w:tcPr>
                          <w:p w14:paraId="3CD89109"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Income to Company</w:t>
                            </w:r>
                          </w:p>
                        </w:tc>
                        <w:tc>
                          <w:tcPr>
                            <w:tcW w:w="558" w:type="pct"/>
                            <w:tcBorders>
                              <w:top w:val="single" w:sz="4" w:space="0" w:color="000000"/>
                              <w:left w:val="nil"/>
                              <w:bottom w:val="nil"/>
                              <w:right w:val="nil"/>
                            </w:tcBorders>
                            <w:hideMark/>
                          </w:tcPr>
                          <w:p w14:paraId="5B40CF0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60530154"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B66DFC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single" w:sz="4" w:space="0" w:color="000000"/>
                              <w:left w:val="nil"/>
                              <w:bottom w:val="nil"/>
                              <w:right w:val="nil"/>
                            </w:tcBorders>
                            <w:hideMark/>
                          </w:tcPr>
                          <w:p w14:paraId="64A40DE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4B6B96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single" w:sz="4" w:space="0" w:color="000000"/>
                              <w:left w:val="nil"/>
                              <w:bottom w:val="nil"/>
                              <w:right w:val="nil"/>
                            </w:tcBorders>
                            <w:hideMark/>
                          </w:tcPr>
                          <w:p w14:paraId="70F4684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D60DC9E" w14:textId="77777777" w:rsidTr="007B6FA5">
                        <w:trPr>
                          <w:trHeight w:val="204"/>
                        </w:trPr>
                        <w:tc>
                          <w:tcPr>
                            <w:tcW w:w="1685" w:type="pct"/>
                            <w:tcBorders>
                              <w:top w:val="nil"/>
                              <w:left w:val="nil"/>
                              <w:bottom w:val="nil"/>
                              <w:right w:val="nil"/>
                            </w:tcBorders>
                            <w:noWrap/>
                            <w:hideMark/>
                          </w:tcPr>
                          <w:p w14:paraId="0B753150"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Net Income</w:t>
                            </w:r>
                          </w:p>
                        </w:tc>
                        <w:tc>
                          <w:tcPr>
                            <w:tcW w:w="558" w:type="pct"/>
                            <w:tcBorders>
                              <w:top w:val="single" w:sz="4" w:space="0" w:color="000000"/>
                              <w:left w:val="nil"/>
                              <w:bottom w:val="nil"/>
                              <w:right w:val="nil"/>
                            </w:tcBorders>
                            <w:hideMark/>
                          </w:tcPr>
                          <w:p w14:paraId="29F18C1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0.2 </w:t>
                            </w:r>
                          </w:p>
                        </w:tc>
                        <w:tc>
                          <w:tcPr>
                            <w:tcW w:w="547" w:type="pct"/>
                            <w:tcBorders>
                              <w:top w:val="single" w:sz="4" w:space="0" w:color="000000"/>
                              <w:left w:val="nil"/>
                              <w:bottom w:val="nil"/>
                              <w:right w:val="nil"/>
                            </w:tcBorders>
                            <w:hideMark/>
                          </w:tcPr>
                          <w:p w14:paraId="32978FB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B713F0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58" w:type="pct"/>
                            <w:tcBorders>
                              <w:top w:val="single" w:sz="4" w:space="0" w:color="000000"/>
                              <w:left w:val="nil"/>
                              <w:bottom w:val="nil"/>
                              <w:right w:val="nil"/>
                            </w:tcBorders>
                            <w:hideMark/>
                          </w:tcPr>
                          <w:p w14:paraId="428B46A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4218818"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(0.2)  </w:t>
                            </w:r>
                          </w:p>
                        </w:tc>
                        <w:tc>
                          <w:tcPr>
                            <w:tcW w:w="558" w:type="pct"/>
                            <w:tcBorders>
                              <w:top w:val="single" w:sz="4" w:space="0" w:color="000000"/>
                              <w:left w:val="nil"/>
                              <w:bottom w:val="nil"/>
                              <w:right w:val="nil"/>
                            </w:tcBorders>
                            <w:hideMark/>
                          </w:tcPr>
                          <w:p w14:paraId="456EF95A"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u w:val="double"/>
                                <w:lang w:eastAsia="en-IN"/>
                                <w14:ligatures w14:val="none"/>
                              </w:rPr>
                            </w:pPr>
                            <w:r w:rsidRPr="007B6FA5">
                              <w:rPr>
                                <w:rFonts w:ascii="Cambria" w:eastAsia="Times New Roman" w:hAnsi="Cambria" w:cs="Arial"/>
                                <w:b/>
                                <w:bCs/>
                                <w:color w:val="000000"/>
                                <w:kern w:val="0"/>
                                <w:sz w:val="14"/>
                                <w:szCs w:val="14"/>
                                <w:u w:val="double"/>
                                <w:lang w:eastAsia="en-IN"/>
                                <w14:ligatures w14:val="none"/>
                              </w:rPr>
                              <w:t xml:space="preserve">              0.1 </w:t>
                            </w:r>
                          </w:p>
                        </w:tc>
                      </w:tr>
                      <w:tr w:rsidR="003C2F53" w:rsidRPr="007B6FA5" w14:paraId="5004077D" w14:textId="77777777" w:rsidTr="007B6FA5">
                        <w:trPr>
                          <w:trHeight w:val="204"/>
                        </w:trPr>
                        <w:tc>
                          <w:tcPr>
                            <w:tcW w:w="1685" w:type="pct"/>
                            <w:tcBorders>
                              <w:top w:val="nil"/>
                              <w:left w:val="nil"/>
                              <w:bottom w:val="nil"/>
                              <w:right w:val="nil"/>
                            </w:tcBorders>
                            <w:noWrap/>
                            <w:hideMark/>
                          </w:tcPr>
                          <w:p w14:paraId="17FC7AF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NI to Common </w:t>
                            </w:r>
                            <w:r w:rsidRPr="007B6FA5">
                              <w:rPr>
                                <w:rFonts w:ascii="Cambria" w:eastAsia="Times New Roman" w:hAnsi="Cambria" w:cs="Arial"/>
                                <w:b/>
                                <w:bCs/>
                                <w:color w:val="000000"/>
                                <w:kern w:val="0"/>
                                <w:sz w:val="14"/>
                                <w:szCs w:val="14"/>
                                <w:lang w:eastAsia="en-IN"/>
                                <w14:ligatures w14:val="none"/>
                              </w:rPr>
                              <w:t>Incl Extra Items</w:t>
                            </w:r>
                          </w:p>
                        </w:tc>
                        <w:tc>
                          <w:tcPr>
                            <w:tcW w:w="558" w:type="pct"/>
                            <w:tcBorders>
                              <w:top w:val="nil"/>
                              <w:left w:val="nil"/>
                              <w:bottom w:val="nil"/>
                              <w:right w:val="nil"/>
                            </w:tcBorders>
                            <w:hideMark/>
                          </w:tcPr>
                          <w:p w14:paraId="4C05CF83"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15F6AB8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331E68A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30A29582"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684E5BD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nil"/>
                              <w:left w:val="nil"/>
                              <w:bottom w:val="nil"/>
                              <w:right w:val="nil"/>
                            </w:tcBorders>
                            <w:hideMark/>
                          </w:tcPr>
                          <w:p w14:paraId="2126291D"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3C2F53" w:rsidRPr="007B6FA5" w14:paraId="47C82AA9" w14:textId="77777777" w:rsidTr="007B6FA5">
                        <w:trPr>
                          <w:trHeight w:val="204"/>
                        </w:trPr>
                        <w:tc>
                          <w:tcPr>
                            <w:tcW w:w="1685" w:type="pct"/>
                            <w:tcBorders>
                              <w:top w:val="nil"/>
                              <w:left w:val="nil"/>
                              <w:bottom w:val="nil"/>
                              <w:right w:val="nil"/>
                            </w:tcBorders>
                            <w:noWrap/>
                            <w:hideMark/>
                          </w:tcPr>
                          <w:p w14:paraId="45A02AF7"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NI to Common Excl. Extra Items</w:t>
                            </w:r>
                          </w:p>
                        </w:tc>
                        <w:tc>
                          <w:tcPr>
                            <w:tcW w:w="558" w:type="pct"/>
                            <w:tcBorders>
                              <w:top w:val="nil"/>
                              <w:left w:val="nil"/>
                              <w:bottom w:val="nil"/>
                              <w:right w:val="nil"/>
                            </w:tcBorders>
                            <w:hideMark/>
                          </w:tcPr>
                          <w:p w14:paraId="2C9D166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2172457E"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37E0A9D9"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58" w:type="pct"/>
                            <w:tcBorders>
                              <w:top w:val="nil"/>
                              <w:left w:val="nil"/>
                              <w:bottom w:val="nil"/>
                              <w:right w:val="nil"/>
                            </w:tcBorders>
                            <w:hideMark/>
                          </w:tcPr>
                          <w:p w14:paraId="40E0B0B7"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E82FE1"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(0.2)  </w:t>
                            </w:r>
                          </w:p>
                        </w:tc>
                        <w:tc>
                          <w:tcPr>
                            <w:tcW w:w="558" w:type="pct"/>
                            <w:tcBorders>
                              <w:top w:val="nil"/>
                              <w:left w:val="nil"/>
                              <w:bottom w:val="nil"/>
                              <w:right w:val="nil"/>
                            </w:tcBorders>
                            <w:hideMark/>
                          </w:tcPr>
                          <w:p w14:paraId="14818496" w14:textId="77777777" w:rsidR="007B6FA5" w:rsidRPr="007B6FA5" w:rsidRDefault="007B6FA5" w:rsidP="007B6FA5">
                            <w:pPr>
                              <w:spacing w:after="0" w:line="240" w:lineRule="auto"/>
                              <w:jc w:val="right"/>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 xml:space="preserve">              0.1 </w:t>
                            </w:r>
                          </w:p>
                        </w:tc>
                      </w:tr>
                      <w:tr w:rsidR="007B6FA5" w:rsidRPr="007B6FA5" w14:paraId="50E181F1" w14:textId="77777777" w:rsidTr="007B6FA5">
                        <w:trPr>
                          <w:trHeight w:val="204"/>
                        </w:trPr>
                        <w:tc>
                          <w:tcPr>
                            <w:tcW w:w="1685" w:type="pct"/>
                            <w:tcBorders>
                              <w:top w:val="nil"/>
                              <w:left w:val="nil"/>
                              <w:bottom w:val="nil"/>
                              <w:right w:val="nil"/>
                            </w:tcBorders>
                            <w:noWrap/>
                            <w:hideMark/>
                          </w:tcPr>
                          <w:p w14:paraId="651969C3"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Per Share Items</w:t>
                            </w:r>
                          </w:p>
                        </w:tc>
                        <w:tc>
                          <w:tcPr>
                            <w:tcW w:w="558" w:type="pct"/>
                            <w:tcBorders>
                              <w:top w:val="nil"/>
                              <w:left w:val="nil"/>
                              <w:bottom w:val="nil"/>
                              <w:right w:val="nil"/>
                            </w:tcBorders>
                            <w:noWrap/>
                            <w:hideMark/>
                          </w:tcPr>
                          <w:p w14:paraId="1AFB4BE9"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p>
                        </w:tc>
                        <w:tc>
                          <w:tcPr>
                            <w:tcW w:w="547" w:type="pct"/>
                            <w:tcBorders>
                              <w:top w:val="nil"/>
                              <w:left w:val="nil"/>
                              <w:bottom w:val="nil"/>
                              <w:right w:val="nil"/>
                            </w:tcBorders>
                            <w:noWrap/>
                            <w:hideMark/>
                          </w:tcPr>
                          <w:p w14:paraId="359BFCF7"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3C4468F8"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277BD8BF"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5536EB61"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36F0D9D5"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r>
                      <w:tr w:rsidR="003C2F53" w:rsidRPr="007B6FA5" w14:paraId="04F8456D" w14:textId="77777777" w:rsidTr="007B6FA5">
                        <w:trPr>
                          <w:trHeight w:val="204"/>
                        </w:trPr>
                        <w:tc>
                          <w:tcPr>
                            <w:tcW w:w="1685" w:type="pct"/>
                            <w:tcBorders>
                              <w:top w:val="nil"/>
                              <w:left w:val="nil"/>
                              <w:bottom w:val="nil"/>
                              <w:right w:val="nil"/>
                            </w:tcBorders>
                            <w:noWrap/>
                            <w:hideMark/>
                          </w:tcPr>
                          <w:p w14:paraId="7642D1EA"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Basic EPS</w:t>
                            </w:r>
                          </w:p>
                        </w:tc>
                        <w:tc>
                          <w:tcPr>
                            <w:tcW w:w="558" w:type="pct"/>
                            <w:tcBorders>
                              <w:top w:val="nil"/>
                              <w:left w:val="nil"/>
                              <w:bottom w:val="nil"/>
                              <w:right w:val="nil"/>
                            </w:tcBorders>
                            <w:hideMark/>
                          </w:tcPr>
                          <w:p w14:paraId="7C7BF64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3AA37D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2D020AC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426576E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49901FC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391F687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1207A4B5" w14:textId="77777777" w:rsidTr="007B6FA5">
                        <w:trPr>
                          <w:trHeight w:val="204"/>
                        </w:trPr>
                        <w:tc>
                          <w:tcPr>
                            <w:tcW w:w="1685" w:type="pct"/>
                            <w:tcBorders>
                              <w:top w:val="nil"/>
                              <w:left w:val="nil"/>
                              <w:bottom w:val="nil"/>
                              <w:right w:val="nil"/>
                            </w:tcBorders>
                            <w:noWrap/>
                            <w:hideMark/>
                          </w:tcPr>
                          <w:p w14:paraId="438C1B0C"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Basic EPS Excl. Extra Items</w:t>
                            </w:r>
                          </w:p>
                        </w:tc>
                        <w:tc>
                          <w:tcPr>
                            <w:tcW w:w="558" w:type="pct"/>
                            <w:tcBorders>
                              <w:top w:val="nil"/>
                              <w:left w:val="nil"/>
                              <w:bottom w:val="nil"/>
                              <w:right w:val="nil"/>
                            </w:tcBorders>
                            <w:hideMark/>
                          </w:tcPr>
                          <w:p w14:paraId="70F67AE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3AD56D5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28D1A8C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0E43ECC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5EDE46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1036668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6184394F" w14:textId="77777777" w:rsidTr="007B6FA5">
                        <w:trPr>
                          <w:trHeight w:val="204"/>
                        </w:trPr>
                        <w:tc>
                          <w:tcPr>
                            <w:tcW w:w="1685" w:type="pct"/>
                            <w:tcBorders>
                              <w:top w:val="nil"/>
                              <w:left w:val="nil"/>
                              <w:bottom w:val="nil"/>
                              <w:right w:val="nil"/>
                            </w:tcBorders>
                            <w:noWrap/>
                            <w:hideMark/>
                          </w:tcPr>
                          <w:p w14:paraId="4A46638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Weighted Avg. Basic Shares Out.</w:t>
                            </w:r>
                          </w:p>
                        </w:tc>
                        <w:tc>
                          <w:tcPr>
                            <w:tcW w:w="558" w:type="pct"/>
                            <w:tcBorders>
                              <w:top w:val="nil"/>
                              <w:left w:val="nil"/>
                              <w:bottom w:val="nil"/>
                              <w:right w:val="nil"/>
                            </w:tcBorders>
                            <w:hideMark/>
                          </w:tcPr>
                          <w:p w14:paraId="09663A7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0.6 </w:t>
                            </w:r>
                          </w:p>
                        </w:tc>
                        <w:tc>
                          <w:tcPr>
                            <w:tcW w:w="547" w:type="pct"/>
                            <w:tcBorders>
                              <w:top w:val="nil"/>
                              <w:left w:val="nil"/>
                              <w:bottom w:val="nil"/>
                              <w:right w:val="nil"/>
                            </w:tcBorders>
                            <w:hideMark/>
                          </w:tcPr>
                          <w:p w14:paraId="31DCE48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0.6 </w:t>
                            </w:r>
                          </w:p>
                        </w:tc>
                        <w:tc>
                          <w:tcPr>
                            <w:tcW w:w="547" w:type="pct"/>
                            <w:tcBorders>
                              <w:top w:val="nil"/>
                              <w:left w:val="nil"/>
                              <w:bottom w:val="nil"/>
                              <w:right w:val="nil"/>
                            </w:tcBorders>
                            <w:hideMark/>
                          </w:tcPr>
                          <w:p w14:paraId="0238FDD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5F6E19C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1DE00C3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37415C71"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r>
                      <w:tr w:rsidR="003C2F53" w:rsidRPr="007B6FA5" w14:paraId="6B7D5DE2" w14:textId="77777777" w:rsidTr="007B6FA5">
                        <w:trPr>
                          <w:trHeight w:val="204"/>
                        </w:trPr>
                        <w:tc>
                          <w:tcPr>
                            <w:tcW w:w="1685" w:type="pct"/>
                            <w:tcBorders>
                              <w:top w:val="nil"/>
                              <w:left w:val="nil"/>
                              <w:bottom w:val="nil"/>
                              <w:right w:val="nil"/>
                            </w:tcBorders>
                            <w:noWrap/>
                            <w:hideMark/>
                          </w:tcPr>
                          <w:p w14:paraId="289778D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Diluted EPS</w:t>
                            </w:r>
                          </w:p>
                        </w:tc>
                        <w:tc>
                          <w:tcPr>
                            <w:tcW w:w="558" w:type="pct"/>
                            <w:tcBorders>
                              <w:top w:val="nil"/>
                              <w:left w:val="nil"/>
                              <w:bottom w:val="nil"/>
                              <w:right w:val="nil"/>
                            </w:tcBorders>
                            <w:hideMark/>
                          </w:tcPr>
                          <w:p w14:paraId="5604CF7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1196E00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641CDB9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4221C79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24F1BBA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68B7BA9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4F665A0F" w14:textId="77777777" w:rsidTr="007B6FA5">
                        <w:trPr>
                          <w:trHeight w:val="204"/>
                        </w:trPr>
                        <w:tc>
                          <w:tcPr>
                            <w:tcW w:w="1685" w:type="pct"/>
                            <w:tcBorders>
                              <w:top w:val="nil"/>
                              <w:left w:val="nil"/>
                              <w:bottom w:val="nil"/>
                              <w:right w:val="nil"/>
                            </w:tcBorders>
                            <w:noWrap/>
                            <w:hideMark/>
                          </w:tcPr>
                          <w:p w14:paraId="4387A80E"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Diluted EPS Excl. Extra Items</w:t>
                            </w:r>
                          </w:p>
                        </w:tc>
                        <w:tc>
                          <w:tcPr>
                            <w:tcW w:w="558" w:type="pct"/>
                            <w:tcBorders>
                              <w:top w:val="nil"/>
                              <w:left w:val="nil"/>
                              <w:bottom w:val="nil"/>
                              <w:right w:val="nil"/>
                            </w:tcBorders>
                            <w:hideMark/>
                          </w:tcPr>
                          <w:p w14:paraId="4646EBC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0.35 </w:t>
                            </w:r>
                          </w:p>
                        </w:tc>
                        <w:tc>
                          <w:tcPr>
                            <w:tcW w:w="547" w:type="pct"/>
                            <w:tcBorders>
                              <w:top w:val="nil"/>
                              <w:left w:val="nil"/>
                              <w:bottom w:val="nil"/>
                              <w:right w:val="nil"/>
                            </w:tcBorders>
                            <w:hideMark/>
                          </w:tcPr>
                          <w:p w14:paraId="29D081E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0.12 </w:t>
                            </w:r>
                          </w:p>
                        </w:tc>
                        <w:tc>
                          <w:tcPr>
                            <w:tcW w:w="547" w:type="pct"/>
                            <w:tcBorders>
                              <w:top w:val="nil"/>
                              <w:left w:val="nil"/>
                              <w:bottom w:val="nil"/>
                              <w:right w:val="nil"/>
                            </w:tcBorders>
                            <w:hideMark/>
                          </w:tcPr>
                          <w:p w14:paraId="3F13FC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0.16 </w:t>
                            </w:r>
                          </w:p>
                        </w:tc>
                        <w:tc>
                          <w:tcPr>
                            <w:tcW w:w="558" w:type="pct"/>
                            <w:tcBorders>
                              <w:top w:val="nil"/>
                              <w:left w:val="nil"/>
                              <w:bottom w:val="nil"/>
                              <w:right w:val="nil"/>
                            </w:tcBorders>
                            <w:hideMark/>
                          </w:tcPr>
                          <w:p w14:paraId="7CB9014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(0.14)  </w:t>
                            </w:r>
                          </w:p>
                        </w:tc>
                        <w:tc>
                          <w:tcPr>
                            <w:tcW w:w="547" w:type="pct"/>
                            <w:tcBorders>
                              <w:top w:val="nil"/>
                              <w:left w:val="nil"/>
                              <w:bottom w:val="nil"/>
                              <w:right w:val="nil"/>
                            </w:tcBorders>
                            <w:hideMark/>
                          </w:tcPr>
                          <w:p w14:paraId="607294A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58" w:type="pct"/>
                            <w:tcBorders>
                              <w:top w:val="nil"/>
                              <w:left w:val="nil"/>
                              <w:bottom w:val="nil"/>
                              <w:right w:val="nil"/>
                            </w:tcBorders>
                            <w:hideMark/>
                          </w:tcPr>
                          <w:p w14:paraId="26BD836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0.09 </w:t>
                            </w:r>
                          </w:p>
                        </w:tc>
                      </w:tr>
                      <w:tr w:rsidR="003C2F53" w:rsidRPr="007B6FA5" w14:paraId="2DFBCE06" w14:textId="77777777" w:rsidTr="007B6FA5">
                        <w:trPr>
                          <w:trHeight w:val="204"/>
                        </w:trPr>
                        <w:tc>
                          <w:tcPr>
                            <w:tcW w:w="1685" w:type="pct"/>
                            <w:tcBorders>
                              <w:top w:val="nil"/>
                              <w:left w:val="nil"/>
                              <w:bottom w:val="nil"/>
                              <w:right w:val="nil"/>
                            </w:tcBorders>
                            <w:noWrap/>
                            <w:hideMark/>
                          </w:tcPr>
                          <w:p w14:paraId="2499DD46"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Weighted Avg. Diluted Shares Out.</w:t>
                            </w:r>
                          </w:p>
                        </w:tc>
                        <w:tc>
                          <w:tcPr>
                            <w:tcW w:w="558" w:type="pct"/>
                            <w:tcBorders>
                              <w:top w:val="nil"/>
                              <w:left w:val="nil"/>
                              <w:bottom w:val="nil"/>
                              <w:right w:val="nil"/>
                            </w:tcBorders>
                            <w:hideMark/>
                          </w:tcPr>
                          <w:p w14:paraId="3DCA88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1DE411B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518934B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17B7F4A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07323A1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c>
                          <w:tcPr>
                            <w:tcW w:w="558" w:type="pct"/>
                            <w:tcBorders>
                              <w:top w:val="nil"/>
                              <w:left w:val="nil"/>
                              <w:bottom w:val="nil"/>
                              <w:right w:val="nil"/>
                            </w:tcBorders>
                            <w:hideMark/>
                          </w:tcPr>
                          <w:p w14:paraId="2CEA278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0.7 </w:t>
                            </w:r>
                          </w:p>
                        </w:tc>
                      </w:tr>
                      <w:tr w:rsidR="003C2F53" w:rsidRPr="007B6FA5" w14:paraId="612FE1ED" w14:textId="77777777" w:rsidTr="007B6FA5">
                        <w:trPr>
                          <w:trHeight w:val="204"/>
                        </w:trPr>
                        <w:tc>
                          <w:tcPr>
                            <w:tcW w:w="1685" w:type="pct"/>
                            <w:tcBorders>
                              <w:top w:val="nil"/>
                              <w:left w:val="nil"/>
                              <w:bottom w:val="nil"/>
                              <w:right w:val="nil"/>
                            </w:tcBorders>
                            <w:noWrap/>
                            <w:hideMark/>
                          </w:tcPr>
                          <w:p w14:paraId="301B7D72"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Normalized Basic EPS</w:t>
                            </w:r>
                          </w:p>
                        </w:tc>
                        <w:tc>
                          <w:tcPr>
                            <w:tcW w:w="558" w:type="pct"/>
                            <w:tcBorders>
                              <w:top w:val="nil"/>
                              <w:left w:val="nil"/>
                              <w:bottom w:val="nil"/>
                              <w:right w:val="nil"/>
                            </w:tcBorders>
                            <w:hideMark/>
                          </w:tcPr>
                          <w:p w14:paraId="29A839E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$0.19 </w:t>
                            </w:r>
                          </w:p>
                        </w:tc>
                        <w:tc>
                          <w:tcPr>
                            <w:tcW w:w="547" w:type="pct"/>
                            <w:tcBorders>
                              <w:top w:val="nil"/>
                              <w:left w:val="nil"/>
                              <w:bottom w:val="nil"/>
                              <w:right w:val="nil"/>
                            </w:tcBorders>
                            <w:hideMark/>
                          </w:tcPr>
                          <w:p w14:paraId="35C25BAA"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$0.06 </w:t>
                            </w:r>
                          </w:p>
                        </w:tc>
                        <w:tc>
                          <w:tcPr>
                            <w:tcW w:w="547" w:type="pct"/>
                            <w:tcBorders>
                              <w:top w:val="nil"/>
                              <w:left w:val="nil"/>
                              <w:bottom w:val="nil"/>
                              <w:right w:val="nil"/>
                            </w:tcBorders>
                            <w:hideMark/>
                          </w:tcPr>
                          <w:p w14:paraId="7C434F3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($0.08) </w:t>
                            </w:r>
                          </w:p>
                        </w:tc>
                        <w:tc>
                          <w:tcPr>
                            <w:tcW w:w="558" w:type="pct"/>
                            <w:tcBorders>
                              <w:top w:val="nil"/>
                              <w:left w:val="nil"/>
                              <w:bottom w:val="nil"/>
                              <w:right w:val="nil"/>
                            </w:tcBorders>
                            <w:hideMark/>
                          </w:tcPr>
                          <w:p w14:paraId="3D41DAC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($0.21) </w:t>
                            </w:r>
                          </w:p>
                        </w:tc>
                        <w:tc>
                          <w:tcPr>
                            <w:tcW w:w="547" w:type="pct"/>
                            <w:tcBorders>
                              <w:top w:val="nil"/>
                              <w:left w:val="nil"/>
                              <w:bottom w:val="nil"/>
                              <w:right w:val="nil"/>
                            </w:tcBorders>
                            <w:hideMark/>
                          </w:tcPr>
                          <w:p w14:paraId="2271CA6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($0.42) </w:t>
                            </w:r>
                          </w:p>
                        </w:tc>
                        <w:tc>
                          <w:tcPr>
                            <w:tcW w:w="558" w:type="pct"/>
                            <w:tcBorders>
                              <w:top w:val="nil"/>
                              <w:left w:val="nil"/>
                              <w:bottom w:val="nil"/>
                              <w:right w:val="nil"/>
                            </w:tcBorders>
                            <w:hideMark/>
                          </w:tcPr>
                          <w:p w14:paraId="026E6BF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$0.02 </w:t>
                            </w:r>
                          </w:p>
                        </w:tc>
                      </w:tr>
                      <w:tr w:rsidR="003C2F53" w:rsidRPr="007B6FA5" w14:paraId="508DA599" w14:textId="77777777" w:rsidTr="007B6FA5">
                        <w:trPr>
                          <w:trHeight w:val="204"/>
                        </w:trPr>
                        <w:tc>
                          <w:tcPr>
                            <w:tcW w:w="1685" w:type="pct"/>
                            <w:tcBorders>
                              <w:top w:val="nil"/>
                              <w:left w:val="nil"/>
                              <w:bottom w:val="nil"/>
                              <w:right w:val="nil"/>
                            </w:tcBorders>
                            <w:noWrap/>
                            <w:hideMark/>
                          </w:tcPr>
                          <w:p w14:paraId="04FB3817"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Normalized Diluted EPS</w:t>
                            </w:r>
                          </w:p>
                        </w:tc>
                        <w:tc>
                          <w:tcPr>
                            <w:tcW w:w="558" w:type="pct"/>
                            <w:tcBorders>
                              <w:top w:val="nil"/>
                              <w:left w:val="nil"/>
                              <w:bottom w:val="nil"/>
                              <w:right w:val="nil"/>
                            </w:tcBorders>
                            <w:hideMark/>
                          </w:tcPr>
                          <w:p w14:paraId="34A37F8E"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0.19 </w:t>
                            </w:r>
                          </w:p>
                        </w:tc>
                        <w:tc>
                          <w:tcPr>
                            <w:tcW w:w="547" w:type="pct"/>
                            <w:tcBorders>
                              <w:top w:val="nil"/>
                              <w:left w:val="nil"/>
                              <w:bottom w:val="nil"/>
                              <w:right w:val="nil"/>
                            </w:tcBorders>
                            <w:hideMark/>
                          </w:tcPr>
                          <w:p w14:paraId="7F61431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0.06 </w:t>
                            </w:r>
                          </w:p>
                        </w:tc>
                        <w:tc>
                          <w:tcPr>
                            <w:tcW w:w="547" w:type="pct"/>
                            <w:tcBorders>
                              <w:top w:val="nil"/>
                              <w:left w:val="nil"/>
                              <w:bottom w:val="nil"/>
                              <w:right w:val="nil"/>
                            </w:tcBorders>
                            <w:hideMark/>
                          </w:tcPr>
                          <w:p w14:paraId="51571D9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(0.08)  </w:t>
                            </w:r>
                          </w:p>
                        </w:tc>
                        <w:tc>
                          <w:tcPr>
                            <w:tcW w:w="558" w:type="pct"/>
                            <w:tcBorders>
                              <w:top w:val="nil"/>
                              <w:left w:val="nil"/>
                              <w:bottom w:val="nil"/>
                              <w:right w:val="nil"/>
                            </w:tcBorders>
                            <w:hideMark/>
                          </w:tcPr>
                          <w:p w14:paraId="16174D6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(0.21)  </w:t>
                            </w:r>
                          </w:p>
                        </w:tc>
                        <w:tc>
                          <w:tcPr>
                            <w:tcW w:w="547" w:type="pct"/>
                            <w:tcBorders>
                              <w:top w:val="nil"/>
                              <w:left w:val="nil"/>
                              <w:bottom w:val="nil"/>
                              <w:right w:val="nil"/>
                            </w:tcBorders>
                            <w:hideMark/>
                          </w:tcPr>
                          <w:p w14:paraId="1702161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(0.42)  </w:t>
                            </w:r>
                          </w:p>
                        </w:tc>
                        <w:tc>
                          <w:tcPr>
                            <w:tcW w:w="558" w:type="pct"/>
                            <w:tcBorders>
                              <w:top w:val="nil"/>
                              <w:left w:val="nil"/>
                              <w:bottom w:val="nil"/>
                              <w:right w:val="nil"/>
                            </w:tcBorders>
                            <w:hideMark/>
                          </w:tcPr>
                          <w:p w14:paraId="4615E20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0.02 </w:t>
                            </w:r>
                          </w:p>
                        </w:tc>
                      </w:tr>
                      <w:tr w:rsidR="003C2F53" w:rsidRPr="007B6FA5" w14:paraId="67440244" w14:textId="77777777" w:rsidTr="007B6FA5">
                        <w:trPr>
                          <w:trHeight w:val="204"/>
                        </w:trPr>
                        <w:tc>
                          <w:tcPr>
                            <w:tcW w:w="1685" w:type="pct"/>
                            <w:tcBorders>
                              <w:top w:val="nil"/>
                              <w:left w:val="nil"/>
                              <w:bottom w:val="nil"/>
                              <w:right w:val="nil"/>
                            </w:tcBorders>
                            <w:noWrap/>
                            <w:hideMark/>
                          </w:tcPr>
                          <w:p w14:paraId="6516C41C"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Payout Ratio %</w:t>
                            </w:r>
                          </w:p>
                        </w:tc>
                        <w:tc>
                          <w:tcPr>
                            <w:tcW w:w="558" w:type="pct"/>
                            <w:tcBorders>
                              <w:top w:val="nil"/>
                              <w:left w:val="nil"/>
                              <w:bottom w:val="nil"/>
                              <w:right w:val="nil"/>
                            </w:tcBorders>
                            <w:hideMark/>
                          </w:tcPr>
                          <w:p w14:paraId="356E44B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19.7% </w:t>
                            </w:r>
                          </w:p>
                        </w:tc>
                        <w:tc>
                          <w:tcPr>
                            <w:tcW w:w="547" w:type="pct"/>
                            <w:tcBorders>
                              <w:top w:val="nil"/>
                              <w:left w:val="nil"/>
                              <w:bottom w:val="nil"/>
                              <w:right w:val="nil"/>
                            </w:tcBorders>
                            <w:hideMark/>
                          </w:tcPr>
                          <w:p w14:paraId="624F9C9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76.4% </w:t>
                            </w:r>
                          </w:p>
                        </w:tc>
                        <w:tc>
                          <w:tcPr>
                            <w:tcW w:w="547" w:type="pct"/>
                            <w:tcBorders>
                              <w:top w:val="nil"/>
                              <w:left w:val="nil"/>
                              <w:bottom w:val="nil"/>
                              <w:right w:val="nil"/>
                            </w:tcBorders>
                            <w:hideMark/>
                          </w:tcPr>
                          <w:p w14:paraId="2338155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24.7% </w:t>
                            </w:r>
                          </w:p>
                        </w:tc>
                        <w:tc>
                          <w:tcPr>
                            <w:tcW w:w="558" w:type="pct"/>
                            <w:tcBorders>
                              <w:top w:val="nil"/>
                              <w:left w:val="nil"/>
                              <w:bottom w:val="nil"/>
                              <w:right w:val="nil"/>
                            </w:tcBorders>
                            <w:hideMark/>
                          </w:tcPr>
                          <w:p w14:paraId="3997906F"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NM</w:t>
                            </w:r>
                          </w:p>
                        </w:tc>
                        <w:tc>
                          <w:tcPr>
                            <w:tcW w:w="547" w:type="pct"/>
                            <w:tcBorders>
                              <w:top w:val="nil"/>
                              <w:left w:val="nil"/>
                              <w:bottom w:val="nil"/>
                              <w:right w:val="nil"/>
                            </w:tcBorders>
                            <w:hideMark/>
                          </w:tcPr>
                          <w:p w14:paraId="068CC66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c>
                          <w:tcPr>
                            <w:tcW w:w="558" w:type="pct"/>
                            <w:tcBorders>
                              <w:top w:val="nil"/>
                              <w:left w:val="nil"/>
                              <w:bottom w:val="nil"/>
                              <w:right w:val="nil"/>
                            </w:tcBorders>
                            <w:hideMark/>
                          </w:tcPr>
                          <w:p w14:paraId="61A3E2E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r>
                      <w:tr w:rsidR="003C2F53" w:rsidRPr="007B6FA5" w14:paraId="26AD2098" w14:textId="77777777" w:rsidTr="007B6FA5">
                        <w:trPr>
                          <w:trHeight w:val="204"/>
                        </w:trPr>
                        <w:tc>
                          <w:tcPr>
                            <w:tcW w:w="1685" w:type="pct"/>
                            <w:tcBorders>
                              <w:top w:val="nil"/>
                              <w:left w:val="nil"/>
                              <w:bottom w:val="nil"/>
                              <w:right w:val="nil"/>
                            </w:tcBorders>
                            <w:noWrap/>
                            <w:hideMark/>
                          </w:tcPr>
                          <w:p w14:paraId="3717E8CF"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Shares per Depository Receipt</w:t>
                            </w:r>
                          </w:p>
                        </w:tc>
                        <w:tc>
                          <w:tcPr>
                            <w:tcW w:w="558" w:type="pct"/>
                            <w:tcBorders>
                              <w:top w:val="nil"/>
                              <w:left w:val="nil"/>
                              <w:bottom w:val="nil"/>
                              <w:right w:val="nil"/>
                            </w:tcBorders>
                            <w:hideMark/>
                          </w:tcPr>
                          <w:p w14:paraId="2B4B1B9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7B6DB01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3A094C7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58" w:type="pct"/>
                            <w:tcBorders>
                              <w:top w:val="nil"/>
                              <w:left w:val="nil"/>
                              <w:bottom w:val="nil"/>
                              <w:right w:val="nil"/>
                            </w:tcBorders>
                            <w:hideMark/>
                          </w:tcPr>
                          <w:p w14:paraId="11C6DFC6"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47" w:type="pct"/>
                            <w:tcBorders>
                              <w:top w:val="nil"/>
                              <w:left w:val="nil"/>
                              <w:bottom w:val="nil"/>
                              <w:right w:val="nil"/>
                            </w:tcBorders>
                            <w:hideMark/>
                          </w:tcPr>
                          <w:p w14:paraId="15837C6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c>
                          <w:tcPr>
                            <w:tcW w:w="558" w:type="pct"/>
                            <w:tcBorders>
                              <w:top w:val="nil"/>
                              <w:left w:val="nil"/>
                              <w:bottom w:val="nil"/>
                              <w:right w:val="nil"/>
                            </w:tcBorders>
                            <w:hideMark/>
                          </w:tcPr>
                          <w:p w14:paraId="7048749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4.0 </w:t>
                            </w:r>
                          </w:p>
                        </w:tc>
                      </w:tr>
                      <w:tr w:rsidR="007B6FA5" w:rsidRPr="007B6FA5" w14:paraId="4E4904A0" w14:textId="77777777" w:rsidTr="007B6FA5">
                        <w:trPr>
                          <w:trHeight w:val="204"/>
                        </w:trPr>
                        <w:tc>
                          <w:tcPr>
                            <w:tcW w:w="1685" w:type="pct"/>
                            <w:tcBorders>
                              <w:top w:val="nil"/>
                              <w:left w:val="nil"/>
                              <w:bottom w:val="nil"/>
                              <w:right w:val="nil"/>
                            </w:tcBorders>
                            <w:noWrap/>
                            <w:hideMark/>
                          </w:tcPr>
                          <w:p w14:paraId="5AC81DFD"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r w:rsidRPr="007B6FA5">
                              <w:rPr>
                                <w:rFonts w:ascii="Cambria" w:eastAsia="Times New Roman" w:hAnsi="Cambria" w:cs="Arial"/>
                                <w:b/>
                                <w:bCs/>
                                <w:color w:val="000000"/>
                                <w:kern w:val="0"/>
                                <w:sz w:val="14"/>
                                <w:szCs w:val="14"/>
                                <w:lang w:eastAsia="en-IN"/>
                                <w14:ligatures w14:val="none"/>
                              </w:rPr>
                              <w:t>Supplemental Items</w:t>
                            </w:r>
                          </w:p>
                        </w:tc>
                        <w:tc>
                          <w:tcPr>
                            <w:tcW w:w="558" w:type="pct"/>
                            <w:tcBorders>
                              <w:top w:val="nil"/>
                              <w:left w:val="nil"/>
                              <w:bottom w:val="nil"/>
                              <w:right w:val="nil"/>
                            </w:tcBorders>
                            <w:noWrap/>
                            <w:hideMark/>
                          </w:tcPr>
                          <w:p w14:paraId="4A336AA5" w14:textId="77777777" w:rsidR="007B6FA5" w:rsidRPr="007B6FA5" w:rsidRDefault="007B6FA5" w:rsidP="007B6FA5">
                            <w:pPr>
                              <w:spacing w:after="0" w:line="240" w:lineRule="auto"/>
                              <w:rPr>
                                <w:rFonts w:ascii="Cambria" w:eastAsia="Times New Roman" w:hAnsi="Cambria" w:cs="Arial"/>
                                <w:b/>
                                <w:bCs/>
                                <w:color w:val="000000"/>
                                <w:kern w:val="0"/>
                                <w:sz w:val="14"/>
                                <w:szCs w:val="14"/>
                                <w:lang w:eastAsia="en-IN"/>
                                <w14:ligatures w14:val="none"/>
                              </w:rPr>
                            </w:pPr>
                          </w:p>
                        </w:tc>
                        <w:tc>
                          <w:tcPr>
                            <w:tcW w:w="547" w:type="pct"/>
                            <w:tcBorders>
                              <w:top w:val="nil"/>
                              <w:left w:val="nil"/>
                              <w:bottom w:val="nil"/>
                              <w:right w:val="nil"/>
                            </w:tcBorders>
                            <w:noWrap/>
                            <w:hideMark/>
                          </w:tcPr>
                          <w:p w14:paraId="318F1FD2"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5AC499FF"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4354BC41"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47" w:type="pct"/>
                            <w:tcBorders>
                              <w:top w:val="nil"/>
                              <w:left w:val="nil"/>
                              <w:bottom w:val="nil"/>
                              <w:right w:val="nil"/>
                            </w:tcBorders>
                            <w:noWrap/>
                            <w:hideMark/>
                          </w:tcPr>
                          <w:p w14:paraId="24C6E3AE"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c>
                          <w:tcPr>
                            <w:tcW w:w="558" w:type="pct"/>
                            <w:tcBorders>
                              <w:top w:val="nil"/>
                              <w:left w:val="nil"/>
                              <w:bottom w:val="nil"/>
                              <w:right w:val="nil"/>
                            </w:tcBorders>
                            <w:noWrap/>
                            <w:hideMark/>
                          </w:tcPr>
                          <w:p w14:paraId="7D194A6C" w14:textId="77777777" w:rsidR="007B6FA5" w:rsidRPr="007B6FA5" w:rsidRDefault="007B6FA5" w:rsidP="007B6FA5">
                            <w:pPr>
                              <w:spacing w:after="0" w:line="240" w:lineRule="auto"/>
                              <w:rPr>
                                <w:rFonts w:ascii="Cambria" w:eastAsia="Times New Roman" w:hAnsi="Cambria" w:cs="Times New Roman"/>
                                <w:kern w:val="0"/>
                                <w:sz w:val="14"/>
                                <w:szCs w:val="14"/>
                                <w:lang w:eastAsia="en-IN"/>
                                <w14:ligatures w14:val="none"/>
                              </w:rPr>
                            </w:pPr>
                          </w:p>
                        </w:tc>
                      </w:tr>
                      <w:tr w:rsidR="003C2F53" w:rsidRPr="007B6FA5" w14:paraId="2A9D7C2D" w14:textId="77777777" w:rsidTr="007B6FA5">
                        <w:trPr>
                          <w:trHeight w:val="204"/>
                        </w:trPr>
                        <w:tc>
                          <w:tcPr>
                            <w:tcW w:w="1685" w:type="pct"/>
                            <w:tcBorders>
                              <w:top w:val="nil"/>
                              <w:left w:val="nil"/>
                              <w:bottom w:val="nil"/>
                              <w:right w:val="nil"/>
                            </w:tcBorders>
                            <w:noWrap/>
                            <w:hideMark/>
                          </w:tcPr>
                          <w:p w14:paraId="62433D79"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EBITDA</w:t>
                            </w:r>
                          </w:p>
                        </w:tc>
                        <w:tc>
                          <w:tcPr>
                            <w:tcW w:w="558" w:type="pct"/>
                            <w:tcBorders>
                              <w:top w:val="nil"/>
                              <w:left w:val="nil"/>
                              <w:bottom w:val="nil"/>
                              <w:right w:val="nil"/>
                            </w:tcBorders>
                            <w:hideMark/>
                          </w:tcPr>
                          <w:p w14:paraId="489A328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E90801D"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88FBF0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6DA0A8B0"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477461C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56D7A9E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05DFF071" w14:textId="77777777" w:rsidTr="007B6FA5">
                        <w:trPr>
                          <w:trHeight w:val="204"/>
                        </w:trPr>
                        <w:tc>
                          <w:tcPr>
                            <w:tcW w:w="1685" w:type="pct"/>
                            <w:tcBorders>
                              <w:top w:val="nil"/>
                              <w:left w:val="nil"/>
                              <w:bottom w:val="nil"/>
                              <w:right w:val="nil"/>
                            </w:tcBorders>
                            <w:noWrap/>
                            <w:hideMark/>
                          </w:tcPr>
                          <w:p w14:paraId="76B196D9"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EBITA</w:t>
                            </w:r>
                          </w:p>
                        </w:tc>
                        <w:tc>
                          <w:tcPr>
                            <w:tcW w:w="558" w:type="pct"/>
                            <w:tcBorders>
                              <w:top w:val="nil"/>
                              <w:left w:val="nil"/>
                              <w:bottom w:val="nil"/>
                              <w:right w:val="nil"/>
                            </w:tcBorders>
                            <w:hideMark/>
                          </w:tcPr>
                          <w:p w14:paraId="15F4EE2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0604605"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86B2C7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0294EA5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5EF6FD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6DA2493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3E1ED75F" w14:textId="77777777" w:rsidTr="007B6FA5">
                        <w:trPr>
                          <w:trHeight w:val="204"/>
                        </w:trPr>
                        <w:tc>
                          <w:tcPr>
                            <w:tcW w:w="1685" w:type="pct"/>
                            <w:tcBorders>
                              <w:top w:val="nil"/>
                              <w:left w:val="nil"/>
                              <w:bottom w:val="nil"/>
                              <w:right w:val="nil"/>
                            </w:tcBorders>
                            <w:noWrap/>
                            <w:hideMark/>
                          </w:tcPr>
                          <w:p w14:paraId="7B17E5B4" w14:textId="77777777" w:rsidR="007B6FA5" w:rsidRPr="007B6FA5" w:rsidRDefault="007B6FA5" w:rsidP="007B6FA5">
                            <w:pPr>
                              <w:spacing w:after="0" w:line="240" w:lineRule="auto"/>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EBIT</w:t>
                            </w:r>
                          </w:p>
                        </w:tc>
                        <w:tc>
                          <w:tcPr>
                            <w:tcW w:w="558" w:type="pct"/>
                            <w:tcBorders>
                              <w:top w:val="nil"/>
                              <w:left w:val="nil"/>
                              <w:bottom w:val="nil"/>
                              <w:right w:val="nil"/>
                            </w:tcBorders>
                            <w:hideMark/>
                          </w:tcPr>
                          <w:p w14:paraId="5ED4359B"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E19680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FB8C3E2"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0.0 </w:t>
                            </w:r>
                          </w:p>
                        </w:tc>
                        <w:tc>
                          <w:tcPr>
                            <w:tcW w:w="558" w:type="pct"/>
                            <w:tcBorders>
                              <w:top w:val="nil"/>
                              <w:left w:val="nil"/>
                              <w:bottom w:val="nil"/>
                              <w:right w:val="nil"/>
                            </w:tcBorders>
                            <w:hideMark/>
                          </w:tcPr>
                          <w:p w14:paraId="6E3FB22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1CA28884"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225BFDA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r>
                      <w:tr w:rsidR="003C2F53" w:rsidRPr="007B6FA5" w14:paraId="60C13FDB" w14:textId="77777777" w:rsidTr="007B6FA5">
                        <w:trPr>
                          <w:trHeight w:val="204"/>
                        </w:trPr>
                        <w:tc>
                          <w:tcPr>
                            <w:tcW w:w="1685" w:type="pct"/>
                            <w:tcBorders>
                              <w:top w:val="nil"/>
                              <w:left w:val="nil"/>
                              <w:bottom w:val="nil"/>
                              <w:right w:val="nil"/>
                            </w:tcBorders>
                            <w:noWrap/>
                            <w:hideMark/>
                          </w:tcPr>
                          <w:p w14:paraId="403919F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p>
                        </w:tc>
                        <w:tc>
                          <w:tcPr>
                            <w:tcW w:w="558" w:type="pct"/>
                            <w:tcBorders>
                              <w:top w:val="nil"/>
                              <w:left w:val="nil"/>
                              <w:bottom w:val="nil"/>
                              <w:right w:val="nil"/>
                            </w:tcBorders>
                            <w:hideMark/>
                          </w:tcPr>
                          <w:p w14:paraId="69A643B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2A80B0A7"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605C319"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0.1 </w:t>
                            </w:r>
                          </w:p>
                        </w:tc>
                        <w:tc>
                          <w:tcPr>
                            <w:tcW w:w="558" w:type="pct"/>
                            <w:tcBorders>
                              <w:top w:val="nil"/>
                              <w:left w:val="nil"/>
                              <w:bottom w:val="nil"/>
                              <w:right w:val="nil"/>
                            </w:tcBorders>
                            <w:hideMark/>
                          </w:tcPr>
                          <w:p w14:paraId="461A540C"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B173283"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 xml:space="preserve">                0 </w:t>
                            </w:r>
                          </w:p>
                        </w:tc>
                        <w:tc>
                          <w:tcPr>
                            <w:tcW w:w="558" w:type="pct"/>
                            <w:tcBorders>
                              <w:top w:val="nil"/>
                              <w:left w:val="nil"/>
                              <w:bottom w:val="nil"/>
                              <w:right w:val="nil"/>
                            </w:tcBorders>
                            <w:hideMark/>
                          </w:tcPr>
                          <w:p w14:paraId="43F9C9D8" w14:textId="77777777" w:rsidR="007B6FA5" w:rsidRPr="007B6FA5" w:rsidRDefault="007B6FA5" w:rsidP="007B6FA5">
                            <w:pPr>
                              <w:spacing w:after="0" w:line="240" w:lineRule="auto"/>
                              <w:jc w:val="right"/>
                              <w:rPr>
                                <w:rFonts w:ascii="Cambria" w:eastAsia="Times New Roman" w:hAnsi="Cambria" w:cs="Arial"/>
                                <w:color w:val="000000"/>
                                <w:kern w:val="0"/>
                                <w:sz w:val="14"/>
                                <w:szCs w:val="14"/>
                                <w:lang w:eastAsia="en-IN"/>
                                <w14:ligatures w14:val="none"/>
                              </w:rPr>
                            </w:pPr>
                            <w:r w:rsidRPr="007B6FA5">
                              <w:rPr>
                                <w:rFonts w:ascii="Cambria" w:eastAsia="Times New Roman" w:hAnsi="Cambria" w:cs="Arial"/>
                                <w:color w:val="000000"/>
                                <w:kern w:val="0"/>
                                <w:sz w:val="14"/>
                                <w:szCs w:val="14"/>
                                <w:lang w:eastAsia="en-IN"/>
                                <w14:ligatures w14:val="none"/>
                              </w:rPr>
                              <w:t>NA</w:t>
                            </w:r>
                          </w:p>
                        </w:tc>
                      </w:tr>
                    </w:tbl>
                    <w:p w14:paraId="76E9B1DC" w14:textId="5C1BE39B" w:rsidR="00DE6BE9" w:rsidRDefault="00DE6BE9"/>
                  </w:txbxContent>
                </v:textbox>
                <w10:wrap type="square" anchorx="margin" anchory="page"/>
              </v:shape>
            </w:pict>
          </mc:Fallback>
        </mc:AlternateContent>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CE00E7" w:rsidRPr="00456405">
        <w:rPr>
          <w:rFonts w:ascii="Cambria" w:hAnsi="Cambria"/>
          <w:b/>
          <w:bCs/>
          <w:sz w:val="24"/>
          <w:szCs w:val="24"/>
        </w:rPr>
        <w:br/>
      </w:r>
      <w:r w:rsidR="006B53E7" w:rsidRPr="00456405">
        <w:rPr>
          <w:rFonts w:ascii="Cambria" w:hAnsi="Cambria"/>
          <w:b/>
          <w:bCs/>
          <w:noProof/>
          <w:sz w:val="24"/>
          <w:szCs w:val="24"/>
        </w:rPr>
        <w:lastRenderedPageBreak/>
        <mc:AlternateContent>
          <mc:Choice Requires="wps">
            <w:drawing>
              <wp:inline distT="0" distB="0" distL="0" distR="0" wp14:anchorId="2E0AB7FB" wp14:editId="32EBD697">
                <wp:extent cx="6164580" cy="6868160"/>
                <wp:effectExtent l="0" t="0" r="7620" b="8890"/>
                <wp:docPr id="632526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686816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2984"/>
                              <w:gridCol w:w="1050"/>
                              <w:gridCol w:w="1049"/>
                              <w:gridCol w:w="1049"/>
                              <w:gridCol w:w="1049"/>
                              <w:gridCol w:w="1049"/>
                              <w:gridCol w:w="1191"/>
                            </w:tblGrid>
                            <w:tr w:rsidR="006B53E7" w:rsidRPr="006B53E7" w14:paraId="0AFA5CFD" w14:textId="77777777" w:rsidTr="006B53E7">
                              <w:trPr>
                                <w:trHeight w:val="336"/>
                              </w:trPr>
                              <w:tc>
                                <w:tcPr>
                                  <w:tcW w:w="5000" w:type="pct"/>
                                  <w:gridSpan w:val="7"/>
                                  <w:tcBorders>
                                    <w:top w:val="nil"/>
                                    <w:left w:val="nil"/>
                                    <w:bottom w:val="nil"/>
                                    <w:right w:val="nil"/>
                                  </w:tcBorders>
                                  <w:noWrap/>
                                  <w:vAlign w:val="bottom"/>
                                  <w:hideMark/>
                                </w:tcPr>
                                <w:p w14:paraId="359E0A35"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Magazine Luiza S.A. (</w:t>
                                  </w:r>
                                  <w:r w:rsidRPr="006B53E7">
                                    <w:rPr>
                                      <w:rFonts w:ascii="Cambria" w:eastAsia="Times New Roman" w:hAnsi="Cambria" w:cs="Arial"/>
                                      <w:b/>
                                      <w:bCs/>
                                      <w:color w:val="000000"/>
                                      <w:kern w:val="0"/>
                                      <w:sz w:val="14"/>
                                      <w:szCs w:val="14"/>
                                      <w:lang w:eastAsia="en-IN"/>
                                      <w14:ligatures w14:val="none"/>
                                    </w:rPr>
                                    <w:t>BOVESPA:MGLU3) &gt; Financials &gt; Balance Sheet</w:t>
                                  </w:r>
                                </w:p>
                              </w:tc>
                            </w:tr>
                            <w:tr w:rsidR="006B53E7" w:rsidRPr="006B53E7" w14:paraId="00E8A1FD" w14:textId="77777777" w:rsidTr="006B53E7">
                              <w:trPr>
                                <w:trHeight w:val="204"/>
                              </w:trPr>
                              <w:tc>
                                <w:tcPr>
                                  <w:tcW w:w="1583" w:type="pct"/>
                                  <w:tcBorders>
                                    <w:top w:val="nil"/>
                                    <w:left w:val="nil"/>
                                    <w:bottom w:val="nil"/>
                                    <w:right w:val="nil"/>
                                  </w:tcBorders>
                                  <w:shd w:val="clear" w:color="000000" w:fill="003366"/>
                                  <w:noWrap/>
                                  <w:vAlign w:val="bottom"/>
                                  <w:hideMark/>
                                </w:tcPr>
                                <w:p w14:paraId="41CDFF32"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Balance Sheet</w:t>
                                  </w:r>
                                </w:p>
                              </w:tc>
                              <w:tc>
                                <w:tcPr>
                                  <w:tcW w:w="557" w:type="pct"/>
                                  <w:tcBorders>
                                    <w:top w:val="nil"/>
                                    <w:left w:val="nil"/>
                                    <w:bottom w:val="nil"/>
                                    <w:right w:val="nil"/>
                                  </w:tcBorders>
                                  <w:shd w:val="clear" w:color="000000" w:fill="003366"/>
                                  <w:noWrap/>
                                  <w:vAlign w:val="bottom"/>
                                  <w:hideMark/>
                                </w:tcPr>
                                <w:p w14:paraId="16C3FE3A"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77FCC179"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369726F5"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5FBE6356"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25F5CE62"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633" w:type="pct"/>
                                  <w:tcBorders>
                                    <w:top w:val="nil"/>
                                    <w:left w:val="nil"/>
                                    <w:bottom w:val="nil"/>
                                    <w:right w:val="nil"/>
                                  </w:tcBorders>
                                  <w:shd w:val="clear" w:color="000000" w:fill="003366"/>
                                  <w:noWrap/>
                                  <w:vAlign w:val="bottom"/>
                                  <w:hideMark/>
                                </w:tcPr>
                                <w:p w14:paraId="61FB4DE8"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r>
                            <w:tr w:rsidR="006B53E7" w:rsidRPr="006B53E7" w14:paraId="6B5BBF58" w14:textId="77777777" w:rsidTr="006B53E7">
                              <w:trPr>
                                <w:trHeight w:val="408"/>
                              </w:trPr>
                              <w:tc>
                                <w:tcPr>
                                  <w:tcW w:w="1583" w:type="pct"/>
                                  <w:tcBorders>
                                    <w:top w:val="nil"/>
                                    <w:left w:val="nil"/>
                                    <w:bottom w:val="nil"/>
                                    <w:right w:val="nil"/>
                                  </w:tcBorders>
                                  <w:shd w:val="clear" w:color="000000" w:fill="F0F0DC"/>
                                  <w:vAlign w:val="bottom"/>
                                  <w:hideMark/>
                                </w:tcPr>
                                <w:p w14:paraId="779B1F2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Balance Sheet as of:</w:t>
                                  </w:r>
                                </w:p>
                              </w:tc>
                              <w:tc>
                                <w:tcPr>
                                  <w:tcW w:w="557" w:type="pct"/>
                                  <w:tcBorders>
                                    <w:top w:val="nil"/>
                                    <w:left w:val="nil"/>
                                    <w:bottom w:val="nil"/>
                                    <w:right w:val="nil"/>
                                  </w:tcBorders>
                                  <w:shd w:val="clear" w:color="000000" w:fill="F0F0DC"/>
                                  <w:vAlign w:val="bottom"/>
                                  <w:hideMark/>
                                </w:tcPr>
                                <w:p w14:paraId="1508115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Dec-31-2019</w:t>
                                  </w:r>
                                </w:p>
                              </w:tc>
                              <w:tc>
                                <w:tcPr>
                                  <w:tcW w:w="557" w:type="pct"/>
                                  <w:tcBorders>
                                    <w:top w:val="nil"/>
                                    <w:left w:val="nil"/>
                                    <w:bottom w:val="nil"/>
                                    <w:right w:val="nil"/>
                                  </w:tcBorders>
                                  <w:shd w:val="clear" w:color="000000" w:fill="F0F0DC"/>
                                  <w:vAlign w:val="bottom"/>
                                  <w:hideMark/>
                                </w:tcPr>
                                <w:p w14:paraId="718EE02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Dec-31-2020</w:t>
                                  </w:r>
                                </w:p>
                              </w:tc>
                              <w:tc>
                                <w:tcPr>
                                  <w:tcW w:w="557" w:type="pct"/>
                                  <w:tcBorders>
                                    <w:top w:val="nil"/>
                                    <w:left w:val="nil"/>
                                    <w:bottom w:val="nil"/>
                                    <w:right w:val="nil"/>
                                  </w:tcBorders>
                                  <w:shd w:val="clear" w:color="000000" w:fill="F0F0DC"/>
                                  <w:vAlign w:val="bottom"/>
                                  <w:hideMark/>
                                </w:tcPr>
                                <w:p w14:paraId="1139D09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Dec-31-2021</w:t>
                                  </w:r>
                                </w:p>
                              </w:tc>
                              <w:tc>
                                <w:tcPr>
                                  <w:tcW w:w="557" w:type="pct"/>
                                  <w:tcBorders>
                                    <w:top w:val="nil"/>
                                    <w:left w:val="nil"/>
                                    <w:bottom w:val="nil"/>
                                    <w:right w:val="nil"/>
                                  </w:tcBorders>
                                  <w:shd w:val="clear" w:color="000000" w:fill="F0F0DC"/>
                                  <w:vAlign w:val="bottom"/>
                                  <w:hideMark/>
                                </w:tcPr>
                                <w:p w14:paraId="7204397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Dec-31-2022</w:t>
                                  </w:r>
                                </w:p>
                              </w:tc>
                              <w:tc>
                                <w:tcPr>
                                  <w:tcW w:w="557" w:type="pct"/>
                                  <w:tcBorders>
                                    <w:top w:val="nil"/>
                                    <w:left w:val="nil"/>
                                    <w:bottom w:val="nil"/>
                                    <w:right w:val="nil"/>
                                  </w:tcBorders>
                                  <w:shd w:val="clear" w:color="000000" w:fill="F0F0DC"/>
                                  <w:vAlign w:val="bottom"/>
                                  <w:hideMark/>
                                </w:tcPr>
                                <w:p w14:paraId="271CCFA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Dec-31-2023</w:t>
                                  </w:r>
                                </w:p>
                              </w:tc>
                              <w:tc>
                                <w:tcPr>
                                  <w:tcW w:w="633" w:type="pct"/>
                                  <w:tcBorders>
                                    <w:top w:val="nil"/>
                                    <w:left w:val="nil"/>
                                    <w:bottom w:val="nil"/>
                                    <w:right w:val="nil"/>
                                  </w:tcBorders>
                                  <w:shd w:val="clear" w:color="000000" w:fill="F0F0DC"/>
                                  <w:vAlign w:val="bottom"/>
                                  <w:hideMark/>
                                </w:tcPr>
                                <w:p w14:paraId="1756788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Press Release</w:t>
                                  </w:r>
                                  <w:r w:rsidRPr="006B53E7">
                                    <w:rPr>
                                      <w:rFonts w:ascii="Cambria" w:eastAsia="Times New Roman" w:hAnsi="Cambria" w:cs="Arial"/>
                                      <w:b/>
                                      <w:bCs/>
                                      <w:color w:val="000000"/>
                                      <w:kern w:val="0"/>
                                      <w:sz w:val="14"/>
                                      <w:szCs w:val="14"/>
                                      <w:lang w:eastAsia="en-IN"/>
                                      <w14:ligatures w14:val="none"/>
                                    </w:rPr>
                                    <w:br/>
                                    <w:t>Dec-31-2024</w:t>
                                  </w:r>
                                </w:p>
                              </w:tc>
                            </w:tr>
                            <w:tr w:rsidR="006B53E7" w:rsidRPr="006B53E7" w14:paraId="00D3042A" w14:textId="77777777" w:rsidTr="006B53E7">
                              <w:trPr>
                                <w:trHeight w:val="204"/>
                              </w:trPr>
                              <w:tc>
                                <w:tcPr>
                                  <w:tcW w:w="1583" w:type="pct"/>
                                  <w:tcBorders>
                                    <w:top w:val="nil"/>
                                    <w:left w:val="nil"/>
                                    <w:bottom w:val="nil"/>
                                    <w:right w:val="nil"/>
                                  </w:tcBorders>
                                  <w:shd w:val="clear" w:color="000000" w:fill="F0F0DC"/>
                                  <w:vAlign w:val="bottom"/>
                                  <w:hideMark/>
                                </w:tcPr>
                                <w:p w14:paraId="39C8720E" w14:textId="77777777" w:rsidR="006B53E7" w:rsidRPr="006B53E7" w:rsidRDefault="006B53E7" w:rsidP="006B53E7">
                                  <w:pPr>
                                    <w:spacing w:after="0" w:line="240" w:lineRule="auto"/>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Currency</w:t>
                                  </w:r>
                                </w:p>
                              </w:tc>
                              <w:tc>
                                <w:tcPr>
                                  <w:tcW w:w="557" w:type="pct"/>
                                  <w:tcBorders>
                                    <w:top w:val="nil"/>
                                    <w:left w:val="nil"/>
                                    <w:bottom w:val="nil"/>
                                    <w:right w:val="nil"/>
                                  </w:tcBorders>
                                  <w:shd w:val="clear" w:color="000000" w:fill="F0F0DC"/>
                                  <w:vAlign w:val="bottom"/>
                                  <w:hideMark/>
                                </w:tcPr>
                                <w:p w14:paraId="59CC49E4"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0D3BA29F"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43DA6BBA"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2D63A0BA"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6219D776"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633" w:type="pct"/>
                                  <w:tcBorders>
                                    <w:top w:val="nil"/>
                                    <w:left w:val="nil"/>
                                    <w:bottom w:val="nil"/>
                                    <w:right w:val="nil"/>
                                  </w:tcBorders>
                                  <w:shd w:val="clear" w:color="000000" w:fill="F0F0DC"/>
                                  <w:vAlign w:val="bottom"/>
                                  <w:hideMark/>
                                </w:tcPr>
                                <w:p w14:paraId="146BA62F"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r>
                            <w:tr w:rsidR="006B53E7" w:rsidRPr="006B53E7" w14:paraId="11DB146F" w14:textId="77777777" w:rsidTr="006B53E7">
                              <w:trPr>
                                <w:trHeight w:val="204"/>
                              </w:trPr>
                              <w:tc>
                                <w:tcPr>
                                  <w:tcW w:w="1583" w:type="pct"/>
                                  <w:tcBorders>
                                    <w:top w:val="nil"/>
                                    <w:left w:val="nil"/>
                                    <w:bottom w:val="nil"/>
                                    <w:right w:val="nil"/>
                                  </w:tcBorders>
                                  <w:noWrap/>
                                  <w:hideMark/>
                                </w:tcPr>
                                <w:p w14:paraId="3A535D61"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ASSETS</w:t>
                                  </w:r>
                                </w:p>
                              </w:tc>
                              <w:tc>
                                <w:tcPr>
                                  <w:tcW w:w="557" w:type="pct"/>
                                  <w:tcBorders>
                                    <w:top w:val="nil"/>
                                    <w:left w:val="nil"/>
                                    <w:bottom w:val="nil"/>
                                    <w:right w:val="nil"/>
                                  </w:tcBorders>
                                  <w:noWrap/>
                                  <w:hideMark/>
                                </w:tcPr>
                                <w:p w14:paraId="2B322CD4"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p>
                              </w:tc>
                              <w:tc>
                                <w:tcPr>
                                  <w:tcW w:w="557" w:type="pct"/>
                                  <w:tcBorders>
                                    <w:top w:val="nil"/>
                                    <w:left w:val="nil"/>
                                    <w:bottom w:val="nil"/>
                                    <w:right w:val="nil"/>
                                  </w:tcBorders>
                                  <w:noWrap/>
                                  <w:hideMark/>
                                </w:tcPr>
                                <w:p w14:paraId="3EEE971C"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6227DBB2"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2E24234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3B6AAFBD"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633" w:type="pct"/>
                                  <w:tcBorders>
                                    <w:top w:val="nil"/>
                                    <w:left w:val="nil"/>
                                    <w:bottom w:val="nil"/>
                                    <w:right w:val="nil"/>
                                  </w:tcBorders>
                                  <w:noWrap/>
                                  <w:hideMark/>
                                </w:tcPr>
                                <w:p w14:paraId="06E4C80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r>
                            <w:tr w:rsidR="006B53E7" w:rsidRPr="006B53E7" w14:paraId="39D21772" w14:textId="77777777" w:rsidTr="006B53E7">
                              <w:trPr>
                                <w:trHeight w:val="204"/>
                              </w:trPr>
                              <w:tc>
                                <w:tcPr>
                                  <w:tcW w:w="1583" w:type="pct"/>
                                  <w:tcBorders>
                                    <w:top w:val="nil"/>
                                    <w:left w:val="nil"/>
                                    <w:bottom w:val="nil"/>
                                    <w:right w:val="nil"/>
                                  </w:tcBorders>
                                  <w:noWrap/>
                                  <w:hideMark/>
                                </w:tcPr>
                                <w:p w14:paraId="1CAB8FE9"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Cash And Equivalents</w:t>
                                  </w:r>
                                </w:p>
                              </w:tc>
                              <w:tc>
                                <w:tcPr>
                                  <w:tcW w:w="557" w:type="pct"/>
                                  <w:tcBorders>
                                    <w:top w:val="nil"/>
                                    <w:left w:val="nil"/>
                                    <w:bottom w:val="nil"/>
                                    <w:right w:val="nil"/>
                                  </w:tcBorders>
                                  <w:hideMark/>
                                </w:tcPr>
                                <w:p w14:paraId="7CBCB03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DC10E4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224D09E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00822D4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1D10AD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23EC42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r>
                            <w:tr w:rsidR="006B53E7" w:rsidRPr="006B53E7" w14:paraId="45D76FBB" w14:textId="77777777" w:rsidTr="006B53E7">
                              <w:trPr>
                                <w:trHeight w:val="204"/>
                              </w:trPr>
                              <w:tc>
                                <w:tcPr>
                                  <w:tcW w:w="1583" w:type="pct"/>
                                  <w:tcBorders>
                                    <w:top w:val="nil"/>
                                    <w:left w:val="nil"/>
                                    <w:bottom w:val="nil"/>
                                    <w:right w:val="nil"/>
                                  </w:tcBorders>
                                  <w:noWrap/>
                                  <w:hideMark/>
                                </w:tcPr>
                                <w:p w14:paraId="4BDA4F7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Short Term Investments</w:t>
                                  </w:r>
                                </w:p>
                              </w:tc>
                              <w:tc>
                                <w:tcPr>
                                  <w:tcW w:w="557" w:type="pct"/>
                                  <w:tcBorders>
                                    <w:top w:val="nil"/>
                                    <w:left w:val="nil"/>
                                    <w:bottom w:val="nil"/>
                                    <w:right w:val="nil"/>
                                  </w:tcBorders>
                                  <w:hideMark/>
                                </w:tcPr>
                                <w:p w14:paraId="1127385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28A9063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776171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705BB5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93C04F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5E9644B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AAD4877" w14:textId="77777777" w:rsidTr="006B53E7">
                              <w:trPr>
                                <w:trHeight w:val="204"/>
                              </w:trPr>
                              <w:tc>
                                <w:tcPr>
                                  <w:tcW w:w="1583" w:type="pct"/>
                                  <w:tcBorders>
                                    <w:top w:val="nil"/>
                                    <w:left w:val="nil"/>
                                    <w:bottom w:val="nil"/>
                                    <w:right w:val="nil"/>
                                  </w:tcBorders>
                                  <w:noWrap/>
                                  <w:hideMark/>
                                </w:tcPr>
                                <w:p w14:paraId="74E642C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Cash &amp; ST Investments</w:t>
                                  </w:r>
                                </w:p>
                              </w:tc>
                              <w:tc>
                                <w:tcPr>
                                  <w:tcW w:w="557" w:type="pct"/>
                                  <w:tcBorders>
                                    <w:top w:val="single" w:sz="4" w:space="0" w:color="000000"/>
                                    <w:left w:val="nil"/>
                                    <w:bottom w:val="nil"/>
                                    <w:right w:val="nil"/>
                                  </w:tcBorders>
                                  <w:hideMark/>
                                </w:tcPr>
                                <w:p w14:paraId="409DCBE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1.2 </w:t>
                                  </w:r>
                                </w:p>
                              </w:tc>
                              <w:tc>
                                <w:tcPr>
                                  <w:tcW w:w="557" w:type="pct"/>
                                  <w:tcBorders>
                                    <w:top w:val="single" w:sz="4" w:space="0" w:color="000000"/>
                                    <w:left w:val="nil"/>
                                    <w:bottom w:val="nil"/>
                                    <w:right w:val="nil"/>
                                  </w:tcBorders>
                                  <w:hideMark/>
                                </w:tcPr>
                                <w:p w14:paraId="00A51CF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0.6 </w:t>
                                  </w:r>
                                </w:p>
                              </w:tc>
                              <w:tc>
                                <w:tcPr>
                                  <w:tcW w:w="557" w:type="pct"/>
                                  <w:tcBorders>
                                    <w:top w:val="single" w:sz="4" w:space="0" w:color="000000"/>
                                    <w:left w:val="nil"/>
                                    <w:bottom w:val="nil"/>
                                    <w:right w:val="nil"/>
                                  </w:tcBorders>
                                  <w:hideMark/>
                                </w:tcPr>
                                <w:p w14:paraId="5953F4DC"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557" w:type="pct"/>
                                  <w:tcBorders>
                                    <w:top w:val="single" w:sz="4" w:space="0" w:color="000000"/>
                                    <w:left w:val="nil"/>
                                    <w:bottom w:val="nil"/>
                                    <w:right w:val="nil"/>
                                  </w:tcBorders>
                                  <w:hideMark/>
                                </w:tcPr>
                                <w:p w14:paraId="04E5755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0.5 </w:t>
                                  </w:r>
                                </w:p>
                              </w:tc>
                              <w:tc>
                                <w:tcPr>
                                  <w:tcW w:w="557" w:type="pct"/>
                                  <w:tcBorders>
                                    <w:top w:val="single" w:sz="4" w:space="0" w:color="000000"/>
                                    <w:left w:val="nil"/>
                                    <w:bottom w:val="nil"/>
                                    <w:right w:val="nil"/>
                                  </w:tcBorders>
                                  <w:hideMark/>
                                </w:tcPr>
                                <w:p w14:paraId="71D257C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633" w:type="pct"/>
                                  <w:tcBorders>
                                    <w:top w:val="single" w:sz="4" w:space="0" w:color="000000"/>
                                    <w:left w:val="nil"/>
                                    <w:bottom w:val="nil"/>
                                    <w:right w:val="nil"/>
                                  </w:tcBorders>
                                  <w:hideMark/>
                                </w:tcPr>
                                <w:p w14:paraId="2D7D4AD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0.4 </w:t>
                                  </w:r>
                                </w:p>
                              </w:tc>
                            </w:tr>
                            <w:tr w:rsidR="006B53E7" w:rsidRPr="006B53E7" w14:paraId="15AA9F3A" w14:textId="77777777" w:rsidTr="006B53E7">
                              <w:trPr>
                                <w:trHeight w:val="204"/>
                              </w:trPr>
                              <w:tc>
                                <w:tcPr>
                                  <w:tcW w:w="1583" w:type="pct"/>
                                  <w:tcBorders>
                                    <w:top w:val="nil"/>
                                    <w:left w:val="nil"/>
                                    <w:bottom w:val="nil"/>
                                    <w:right w:val="nil"/>
                                  </w:tcBorders>
                                  <w:noWrap/>
                                  <w:hideMark/>
                                </w:tcPr>
                                <w:p w14:paraId="24C1CAB5"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Receivable</w:t>
                                  </w:r>
                                </w:p>
                              </w:tc>
                              <w:tc>
                                <w:tcPr>
                                  <w:tcW w:w="557" w:type="pct"/>
                                  <w:tcBorders>
                                    <w:top w:val="nil"/>
                                    <w:left w:val="nil"/>
                                    <w:bottom w:val="nil"/>
                                    <w:right w:val="nil"/>
                                  </w:tcBorders>
                                  <w:hideMark/>
                                </w:tcPr>
                                <w:p w14:paraId="398A548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557" w:type="pct"/>
                                  <w:tcBorders>
                                    <w:top w:val="nil"/>
                                    <w:left w:val="nil"/>
                                    <w:bottom w:val="nil"/>
                                    <w:right w:val="nil"/>
                                  </w:tcBorders>
                                  <w:hideMark/>
                                </w:tcPr>
                                <w:p w14:paraId="0ADA74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1.4 </w:t>
                                  </w:r>
                                </w:p>
                              </w:tc>
                              <w:tc>
                                <w:tcPr>
                                  <w:tcW w:w="557" w:type="pct"/>
                                  <w:tcBorders>
                                    <w:top w:val="nil"/>
                                    <w:left w:val="nil"/>
                                    <w:bottom w:val="nil"/>
                                    <w:right w:val="nil"/>
                                  </w:tcBorders>
                                  <w:hideMark/>
                                </w:tcPr>
                                <w:p w14:paraId="79A2CD7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1.7 </w:t>
                                  </w:r>
                                </w:p>
                              </w:tc>
                              <w:tc>
                                <w:tcPr>
                                  <w:tcW w:w="557" w:type="pct"/>
                                  <w:tcBorders>
                                    <w:top w:val="nil"/>
                                    <w:left w:val="nil"/>
                                    <w:bottom w:val="nil"/>
                                    <w:right w:val="nil"/>
                                  </w:tcBorders>
                                  <w:hideMark/>
                                </w:tcPr>
                                <w:p w14:paraId="75B2528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5514294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633" w:type="pct"/>
                                  <w:tcBorders>
                                    <w:top w:val="nil"/>
                                    <w:left w:val="nil"/>
                                    <w:bottom w:val="nil"/>
                                    <w:right w:val="nil"/>
                                  </w:tcBorders>
                                  <w:hideMark/>
                                </w:tcPr>
                                <w:p w14:paraId="017F8F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r>
                            <w:tr w:rsidR="006B53E7" w:rsidRPr="006B53E7" w14:paraId="145A5761" w14:textId="77777777" w:rsidTr="006B53E7">
                              <w:trPr>
                                <w:trHeight w:val="204"/>
                              </w:trPr>
                              <w:tc>
                                <w:tcPr>
                                  <w:tcW w:w="1583" w:type="pct"/>
                                  <w:tcBorders>
                                    <w:top w:val="nil"/>
                                    <w:left w:val="nil"/>
                                    <w:bottom w:val="nil"/>
                                    <w:right w:val="nil"/>
                                  </w:tcBorders>
                                  <w:noWrap/>
                                  <w:hideMark/>
                                </w:tcPr>
                                <w:p w14:paraId="4DAB246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Receivables</w:t>
                                  </w:r>
                                </w:p>
                              </w:tc>
                              <w:tc>
                                <w:tcPr>
                                  <w:tcW w:w="557" w:type="pct"/>
                                  <w:tcBorders>
                                    <w:top w:val="nil"/>
                                    <w:left w:val="nil"/>
                                    <w:bottom w:val="nil"/>
                                    <w:right w:val="nil"/>
                                  </w:tcBorders>
                                  <w:hideMark/>
                                </w:tcPr>
                                <w:p w14:paraId="39A048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508D27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E80471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2A3478A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3A06629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633" w:type="pct"/>
                                  <w:tcBorders>
                                    <w:top w:val="nil"/>
                                    <w:left w:val="nil"/>
                                    <w:bottom w:val="nil"/>
                                    <w:right w:val="nil"/>
                                  </w:tcBorders>
                                  <w:hideMark/>
                                </w:tcPr>
                                <w:p w14:paraId="2200D0E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60C6ABD1" w14:textId="77777777" w:rsidTr="006B53E7">
                              <w:trPr>
                                <w:trHeight w:val="204"/>
                              </w:trPr>
                              <w:tc>
                                <w:tcPr>
                                  <w:tcW w:w="1583" w:type="pct"/>
                                  <w:tcBorders>
                                    <w:top w:val="nil"/>
                                    <w:left w:val="nil"/>
                                    <w:bottom w:val="nil"/>
                                    <w:right w:val="nil"/>
                                  </w:tcBorders>
                                  <w:noWrap/>
                                  <w:hideMark/>
                                </w:tcPr>
                                <w:p w14:paraId="68D6DF94"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Receivables</w:t>
                                  </w:r>
                                </w:p>
                              </w:tc>
                              <w:tc>
                                <w:tcPr>
                                  <w:tcW w:w="557" w:type="pct"/>
                                  <w:tcBorders>
                                    <w:top w:val="single" w:sz="4" w:space="0" w:color="000000"/>
                                    <w:left w:val="nil"/>
                                    <w:bottom w:val="nil"/>
                                    <w:right w:val="nil"/>
                                  </w:tcBorders>
                                  <w:hideMark/>
                                </w:tcPr>
                                <w:p w14:paraId="164C2B9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0330751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1.5 </w:t>
                                  </w:r>
                                </w:p>
                              </w:tc>
                              <w:tc>
                                <w:tcPr>
                                  <w:tcW w:w="557" w:type="pct"/>
                                  <w:tcBorders>
                                    <w:top w:val="single" w:sz="4" w:space="0" w:color="000000"/>
                                    <w:left w:val="nil"/>
                                    <w:bottom w:val="nil"/>
                                    <w:right w:val="nil"/>
                                  </w:tcBorders>
                                  <w:hideMark/>
                                </w:tcPr>
                                <w:p w14:paraId="75084F7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5ADD61D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2.1 </w:t>
                                  </w:r>
                                </w:p>
                              </w:tc>
                              <w:tc>
                                <w:tcPr>
                                  <w:tcW w:w="557" w:type="pct"/>
                                  <w:tcBorders>
                                    <w:top w:val="single" w:sz="4" w:space="0" w:color="000000"/>
                                    <w:left w:val="nil"/>
                                    <w:bottom w:val="nil"/>
                                    <w:right w:val="nil"/>
                                  </w:tcBorders>
                                  <w:hideMark/>
                                </w:tcPr>
                                <w:p w14:paraId="79FF95AC"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1.8 </w:t>
                                  </w:r>
                                </w:p>
                              </w:tc>
                              <w:tc>
                                <w:tcPr>
                                  <w:tcW w:w="633" w:type="pct"/>
                                  <w:tcBorders>
                                    <w:top w:val="single" w:sz="4" w:space="0" w:color="000000"/>
                                    <w:left w:val="nil"/>
                                    <w:bottom w:val="nil"/>
                                    <w:right w:val="nil"/>
                                  </w:tcBorders>
                                  <w:hideMark/>
                                </w:tcPr>
                                <w:p w14:paraId="5D1DF18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1.5 </w:t>
                                  </w:r>
                                </w:p>
                              </w:tc>
                            </w:tr>
                            <w:tr w:rsidR="006B53E7" w:rsidRPr="006B53E7" w14:paraId="5A0C637D" w14:textId="77777777" w:rsidTr="006B53E7">
                              <w:trPr>
                                <w:trHeight w:val="204"/>
                              </w:trPr>
                              <w:tc>
                                <w:tcPr>
                                  <w:tcW w:w="1583" w:type="pct"/>
                                  <w:tcBorders>
                                    <w:top w:val="nil"/>
                                    <w:left w:val="nil"/>
                                    <w:bottom w:val="nil"/>
                                    <w:right w:val="nil"/>
                                  </w:tcBorders>
                                  <w:noWrap/>
                                  <w:hideMark/>
                                </w:tcPr>
                                <w:p w14:paraId="40BA557B"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Inventory</w:t>
                                  </w:r>
                                </w:p>
                              </w:tc>
                              <w:tc>
                                <w:tcPr>
                                  <w:tcW w:w="557" w:type="pct"/>
                                  <w:tcBorders>
                                    <w:top w:val="nil"/>
                                    <w:left w:val="nil"/>
                                    <w:bottom w:val="nil"/>
                                    <w:right w:val="nil"/>
                                  </w:tcBorders>
                                  <w:hideMark/>
                                </w:tcPr>
                                <w:p w14:paraId="476E206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557" w:type="pct"/>
                                  <w:tcBorders>
                                    <w:top w:val="nil"/>
                                    <w:left w:val="nil"/>
                                    <w:bottom w:val="nil"/>
                                    <w:right w:val="nil"/>
                                  </w:tcBorders>
                                  <w:hideMark/>
                                </w:tcPr>
                                <w:p w14:paraId="66DD1B2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4B669E6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3AD8827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1F127C1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633" w:type="pct"/>
                                  <w:tcBorders>
                                    <w:top w:val="nil"/>
                                    <w:left w:val="nil"/>
                                    <w:bottom w:val="nil"/>
                                    <w:right w:val="nil"/>
                                  </w:tcBorders>
                                  <w:hideMark/>
                                </w:tcPr>
                                <w:p w14:paraId="232EEB7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1.2 </w:t>
                                  </w:r>
                                </w:p>
                              </w:tc>
                            </w:tr>
                            <w:tr w:rsidR="006B53E7" w:rsidRPr="006B53E7" w14:paraId="27FCF30E" w14:textId="77777777" w:rsidTr="006B53E7">
                              <w:trPr>
                                <w:trHeight w:val="204"/>
                              </w:trPr>
                              <w:tc>
                                <w:tcPr>
                                  <w:tcW w:w="1583" w:type="pct"/>
                                  <w:tcBorders>
                                    <w:top w:val="nil"/>
                                    <w:left w:val="nil"/>
                                    <w:bottom w:val="nil"/>
                                    <w:right w:val="nil"/>
                                  </w:tcBorders>
                                  <w:noWrap/>
                                  <w:hideMark/>
                                </w:tcPr>
                                <w:p w14:paraId="285186C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Current Assets</w:t>
                                  </w:r>
                                </w:p>
                              </w:tc>
                              <w:tc>
                                <w:tcPr>
                                  <w:tcW w:w="557" w:type="pct"/>
                                  <w:tcBorders>
                                    <w:top w:val="nil"/>
                                    <w:left w:val="nil"/>
                                    <w:bottom w:val="nil"/>
                                    <w:right w:val="nil"/>
                                  </w:tcBorders>
                                  <w:hideMark/>
                                </w:tcPr>
                                <w:p w14:paraId="5AAC6E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412B91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7D541A0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E78250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230B83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2218AEF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4EC80E61" w14:textId="77777777" w:rsidTr="006B53E7">
                              <w:trPr>
                                <w:trHeight w:val="204"/>
                              </w:trPr>
                              <w:tc>
                                <w:tcPr>
                                  <w:tcW w:w="1583" w:type="pct"/>
                                  <w:tcBorders>
                                    <w:top w:val="nil"/>
                                    <w:left w:val="nil"/>
                                    <w:bottom w:val="nil"/>
                                    <w:right w:val="nil"/>
                                  </w:tcBorders>
                                  <w:noWrap/>
                                  <w:hideMark/>
                                </w:tcPr>
                                <w:p w14:paraId="2E0528D8"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Current Assets</w:t>
                                  </w:r>
                                </w:p>
                              </w:tc>
                              <w:tc>
                                <w:tcPr>
                                  <w:tcW w:w="557" w:type="pct"/>
                                  <w:tcBorders>
                                    <w:top w:val="single" w:sz="4" w:space="0" w:color="000000"/>
                                    <w:left w:val="nil"/>
                                    <w:bottom w:val="nil"/>
                                    <w:right w:val="nil"/>
                                  </w:tcBorders>
                                  <w:hideMark/>
                                </w:tcPr>
                                <w:p w14:paraId="16FCA84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c>
                                <w:tcPr>
                                  <w:tcW w:w="557" w:type="pct"/>
                                  <w:tcBorders>
                                    <w:top w:val="single" w:sz="4" w:space="0" w:color="000000"/>
                                    <w:left w:val="nil"/>
                                    <w:bottom w:val="nil"/>
                                    <w:right w:val="nil"/>
                                  </w:tcBorders>
                                  <w:hideMark/>
                                </w:tcPr>
                                <w:p w14:paraId="75CFB1E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c>
                                <w:tcPr>
                                  <w:tcW w:w="557" w:type="pct"/>
                                  <w:tcBorders>
                                    <w:top w:val="single" w:sz="4" w:space="0" w:color="000000"/>
                                    <w:left w:val="nil"/>
                                    <w:bottom w:val="nil"/>
                                    <w:right w:val="nil"/>
                                  </w:tcBorders>
                                  <w:hideMark/>
                                </w:tcPr>
                                <w:p w14:paraId="3BE8170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4.4 </w:t>
                                  </w:r>
                                </w:p>
                              </w:tc>
                              <w:tc>
                                <w:tcPr>
                                  <w:tcW w:w="557" w:type="pct"/>
                                  <w:tcBorders>
                                    <w:top w:val="single" w:sz="4" w:space="0" w:color="000000"/>
                                    <w:left w:val="nil"/>
                                    <w:bottom w:val="nil"/>
                                    <w:right w:val="nil"/>
                                  </w:tcBorders>
                                  <w:hideMark/>
                                </w:tcPr>
                                <w:p w14:paraId="51C7240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4.1 </w:t>
                                  </w:r>
                                </w:p>
                              </w:tc>
                              <w:tc>
                                <w:tcPr>
                                  <w:tcW w:w="557" w:type="pct"/>
                                  <w:tcBorders>
                                    <w:top w:val="single" w:sz="4" w:space="0" w:color="000000"/>
                                    <w:left w:val="nil"/>
                                    <w:bottom w:val="nil"/>
                                    <w:right w:val="nil"/>
                                  </w:tcBorders>
                                  <w:hideMark/>
                                </w:tcPr>
                                <w:p w14:paraId="5FBF0AB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4.2 </w:t>
                                  </w:r>
                                </w:p>
                              </w:tc>
                              <w:tc>
                                <w:tcPr>
                                  <w:tcW w:w="633" w:type="pct"/>
                                  <w:tcBorders>
                                    <w:top w:val="single" w:sz="4" w:space="0" w:color="000000"/>
                                    <w:left w:val="nil"/>
                                    <w:bottom w:val="nil"/>
                                    <w:right w:val="nil"/>
                                  </w:tcBorders>
                                  <w:hideMark/>
                                </w:tcPr>
                                <w:p w14:paraId="3F0C1D2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r>
                            <w:tr w:rsidR="006B53E7" w:rsidRPr="006B53E7" w14:paraId="5D4F5A2B" w14:textId="77777777" w:rsidTr="006B53E7">
                              <w:trPr>
                                <w:trHeight w:val="204"/>
                              </w:trPr>
                              <w:tc>
                                <w:tcPr>
                                  <w:tcW w:w="1583" w:type="pct"/>
                                  <w:tcBorders>
                                    <w:top w:val="nil"/>
                                    <w:left w:val="nil"/>
                                    <w:bottom w:val="nil"/>
                                    <w:right w:val="nil"/>
                                  </w:tcBorders>
                                  <w:noWrap/>
                                  <w:hideMark/>
                                </w:tcPr>
                                <w:p w14:paraId="6BDC809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Gross Property, Plant &amp; Equipment</w:t>
                                  </w:r>
                                </w:p>
                              </w:tc>
                              <w:tc>
                                <w:tcPr>
                                  <w:tcW w:w="557" w:type="pct"/>
                                  <w:tcBorders>
                                    <w:top w:val="nil"/>
                                    <w:left w:val="nil"/>
                                    <w:bottom w:val="nil"/>
                                    <w:right w:val="nil"/>
                                  </w:tcBorders>
                                  <w:hideMark/>
                                </w:tcPr>
                                <w:p w14:paraId="053D39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1.2 </w:t>
                                  </w:r>
                                </w:p>
                              </w:tc>
                              <w:tc>
                                <w:tcPr>
                                  <w:tcW w:w="557" w:type="pct"/>
                                  <w:tcBorders>
                                    <w:top w:val="nil"/>
                                    <w:left w:val="nil"/>
                                    <w:bottom w:val="nil"/>
                                    <w:right w:val="nil"/>
                                  </w:tcBorders>
                                  <w:hideMark/>
                                </w:tcPr>
                                <w:p w14:paraId="18C0BEC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1.0 </w:t>
                                  </w:r>
                                </w:p>
                              </w:tc>
                              <w:tc>
                                <w:tcPr>
                                  <w:tcW w:w="557" w:type="pct"/>
                                  <w:tcBorders>
                                    <w:top w:val="nil"/>
                                    <w:left w:val="nil"/>
                                    <w:bottom w:val="nil"/>
                                    <w:right w:val="nil"/>
                                  </w:tcBorders>
                                  <w:hideMark/>
                                </w:tcPr>
                                <w:p w14:paraId="35644D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1.3 </w:t>
                                  </w:r>
                                </w:p>
                              </w:tc>
                              <w:tc>
                                <w:tcPr>
                                  <w:tcW w:w="557" w:type="pct"/>
                                  <w:tcBorders>
                                    <w:top w:val="nil"/>
                                    <w:left w:val="nil"/>
                                    <w:bottom w:val="nil"/>
                                    <w:right w:val="nil"/>
                                  </w:tcBorders>
                                  <w:hideMark/>
                                </w:tcPr>
                                <w:p w14:paraId="63EB28B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4F857F9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633" w:type="pct"/>
                                  <w:tcBorders>
                                    <w:top w:val="nil"/>
                                    <w:left w:val="nil"/>
                                    <w:bottom w:val="nil"/>
                                    <w:right w:val="nil"/>
                                  </w:tcBorders>
                                  <w:hideMark/>
                                </w:tcPr>
                                <w:p w14:paraId="4F7BD96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2C3E5717" w14:textId="77777777" w:rsidTr="006B53E7">
                              <w:trPr>
                                <w:trHeight w:val="204"/>
                              </w:trPr>
                              <w:tc>
                                <w:tcPr>
                                  <w:tcW w:w="1583" w:type="pct"/>
                                  <w:tcBorders>
                                    <w:top w:val="nil"/>
                                    <w:left w:val="nil"/>
                                    <w:bottom w:val="nil"/>
                                    <w:right w:val="nil"/>
                                  </w:tcBorders>
                                  <w:noWrap/>
                                  <w:hideMark/>
                                </w:tcPr>
                                <w:p w14:paraId="48430E1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Accumulated Depreciation</w:t>
                                  </w:r>
                                </w:p>
                              </w:tc>
                              <w:tc>
                                <w:tcPr>
                                  <w:tcW w:w="557" w:type="pct"/>
                                  <w:tcBorders>
                                    <w:top w:val="nil"/>
                                    <w:left w:val="nil"/>
                                    <w:bottom w:val="nil"/>
                                    <w:right w:val="nil"/>
                                  </w:tcBorders>
                                  <w:hideMark/>
                                </w:tcPr>
                                <w:p w14:paraId="4F808CD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1A7804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1EFEBE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C3A79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7A65487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633" w:type="pct"/>
                                  <w:tcBorders>
                                    <w:top w:val="nil"/>
                                    <w:left w:val="nil"/>
                                    <w:bottom w:val="nil"/>
                                    <w:right w:val="nil"/>
                                  </w:tcBorders>
                                  <w:hideMark/>
                                </w:tcPr>
                                <w:p w14:paraId="1A9A4B1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4610A11B" w14:textId="77777777" w:rsidTr="006B53E7">
                              <w:trPr>
                                <w:trHeight w:val="204"/>
                              </w:trPr>
                              <w:tc>
                                <w:tcPr>
                                  <w:tcW w:w="1583" w:type="pct"/>
                                  <w:tcBorders>
                                    <w:top w:val="nil"/>
                                    <w:left w:val="nil"/>
                                    <w:bottom w:val="nil"/>
                                    <w:right w:val="nil"/>
                                  </w:tcBorders>
                                  <w:noWrap/>
                                  <w:hideMark/>
                                </w:tcPr>
                                <w:p w14:paraId="6E9FE29F"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Net Property, Plant &amp; Equipment</w:t>
                                  </w:r>
                                </w:p>
                              </w:tc>
                              <w:tc>
                                <w:tcPr>
                                  <w:tcW w:w="557" w:type="pct"/>
                                  <w:tcBorders>
                                    <w:top w:val="single" w:sz="4" w:space="0" w:color="000000"/>
                                    <w:left w:val="nil"/>
                                    <w:bottom w:val="nil"/>
                                    <w:right w:val="nil"/>
                                  </w:tcBorders>
                                  <w:hideMark/>
                                </w:tcPr>
                                <w:p w14:paraId="06C5E2B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0.8 </w:t>
                                  </w:r>
                                </w:p>
                              </w:tc>
                              <w:tc>
                                <w:tcPr>
                                  <w:tcW w:w="557" w:type="pct"/>
                                  <w:tcBorders>
                                    <w:top w:val="single" w:sz="4" w:space="0" w:color="000000"/>
                                    <w:left w:val="nil"/>
                                    <w:bottom w:val="nil"/>
                                    <w:right w:val="nil"/>
                                  </w:tcBorders>
                                  <w:hideMark/>
                                </w:tcPr>
                                <w:p w14:paraId="7097C1E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557" w:type="pct"/>
                                  <w:tcBorders>
                                    <w:top w:val="single" w:sz="4" w:space="0" w:color="000000"/>
                                    <w:left w:val="nil"/>
                                    <w:bottom w:val="nil"/>
                                    <w:right w:val="nil"/>
                                  </w:tcBorders>
                                  <w:hideMark/>
                                </w:tcPr>
                                <w:p w14:paraId="08F5931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501844E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4E18153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1.1 </w:t>
                                  </w:r>
                                </w:p>
                              </w:tc>
                              <w:tc>
                                <w:tcPr>
                                  <w:tcW w:w="633" w:type="pct"/>
                                  <w:tcBorders>
                                    <w:top w:val="single" w:sz="4" w:space="0" w:color="000000"/>
                                    <w:left w:val="nil"/>
                                    <w:bottom w:val="nil"/>
                                    <w:right w:val="nil"/>
                                  </w:tcBorders>
                                  <w:hideMark/>
                                </w:tcPr>
                                <w:p w14:paraId="0CF24A1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0.8 </w:t>
                                  </w:r>
                                </w:p>
                              </w:tc>
                            </w:tr>
                            <w:tr w:rsidR="006B53E7" w:rsidRPr="006B53E7" w14:paraId="67E6BCA2" w14:textId="77777777" w:rsidTr="006B53E7">
                              <w:trPr>
                                <w:trHeight w:val="204"/>
                              </w:trPr>
                              <w:tc>
                                <w:tcPr>
                                  <w:tcW w:w="1583" w:type="pct"/>
                                  <w:tcBorders>
                                    <w:top w:val="nil"/>
                                    <w:left w:val="nil"/>
                                    <w:bottom w:val="nil"/>
                                    <w:right w:val="nil"/>
                                  </w:tcBorders>
                                  <w:noWrap/>
                                  <w:hideMark/>
                                </w:tcPr>
                                <w:p w14:paraId="0701595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Investments</w:t>
                                  </w:r>
                                </w:p>
                              </w:tc>
                              <w:tc>
                                <w:tcPr>
                                  <w:tcW w:w="557" w:type="pct"/>
                                  <w:tcBorders>
                                    <w:top w:val="nil"/>
                                    <w:left w:val="nil"/>
                                    <w:bottom w:val="nil"/>
                                    <w:right w:val="nil"/>
                                  </w:tcBorders>
                                  <w:hideMark/>
                                </w:tcPr>
                                <w:p w14:paraId="59CDDC0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97E44C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C20FFB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8FE50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F61C84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654D774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22D168C6" w14:textId="77777777" w:rsidTr="006B53E7">
                              <w:trPr>
                                <w:trHeight w:val="204"/>
                              </w:trPr>
                              <w:tc>
                                <w:tcPr>
                                  <w:tcW w:w="1583" w:type="pct"/>
                                  <w:tcBorders>
                                    <w:top w:val="nil"/>
                                    <w:left w:val="nil"/>
                                    <w:bottom w:val="nil"/>
                                    <w:right w:val="nil"/>
                                  </w:tcBorders>
                                  <w:noWrap/>
                                  <w:hideMark/>
                                </w:tcPr>
                                <w:p w14:paraId="19DF6FC4"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Goodwill</w:t>
                                  </w:r>
                                </w:p>
                              </w:tc>
                              <w:tc>
                                <w:tcPr>
                                  <w:tcW w:w="557" w:type="pct"/>
                                  <w:tcBorders>
                                    <w:top w:val="nil"/>
                                    <w:left w:val="nil"/>
                                    <w:bottom w:val="nil"/>
                                    <w:right w:val="nil"/>
                                  </w:tcBorders>
                                  <w:hideMark/>
                                </w:tcPr>
                                <w:p w14:paraId="2BCF6EA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4FD5865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4D907B5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3AD9C05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EB4480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53C3BD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1FEB0C07" w14:textId="77777777" w:rsidTr="006B53E7">
                              <w:trPr>
                                <w:trHeight w:val="204"/>
                              </w:trPr>
                              <w:tc>
                                <w:tcPr>
                                  <w:tcW w:w="1583" w:type="pct"/>
                                  <w:tcBorders>
                                    <w:top w:val="nil"/>
                                    <w:left w:val="nil"/>
                                    <w:bottom w:val="nil"/>
                                    <w:right w:val="nil"/>
                                  </w:tcBorders>
                                  <w:noWrap/>
                                  <w:hideMark/>
                                </w:tcPr>
                                <w:p w14:paraId="56AD458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Intangibles</w:t>
                                  </w:r>
                                </w:p>
                              </w:tc>
                              <w:tc>
                                <w:tcPr>
                                  <w:tcW w:w="557" w:type="pct"/>
                                  <w:tcBorders>
                                    <w:top w:val="nil"/>
                                    <w:left w:val="nil"/>
                                    <w:bottom w:val="nil"/>
                                    <w:right w:val="nil"/>
                                  </w:tcBorders>
                                  <w:hideMark/>
                                </w:tcPr>
                                <w:p w14:paraId="50511E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30A8D9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6E6322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581E84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25DEE0A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25E1F7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r>
                            <w:tr w:rsidR="006B53E7" w:rsidRPr="006B53E7" w14:paraId="6E5264D1" w14:textId="77777777" w:rsidTr="006B53E7">
                              <w:trPr>
                                <w:trHeight w:val="204"/>
                              </w:trPr>
                              <w:tc>
                                <w:tcPr>
                                  <w:tcW w:w="1583" w:type="pct"/>
                                  <w:tcBorders>
                                    <w:top w:val="nil"/>
                                    <w:left w:val="nil"/>
                                    <w:bottom w:val="nil"/>
                                    <w:right w:val="nil"/>
                                  </w:tcBorders>
                                  <w:noWrap/>
                                  <w:hideMark/>
                                </w:tcPr>
                                <w:p w14:paraId="173927B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Receivable Long-Term</w:t>
                                  </w:r>
                                </w:p>
                              </w:tc>
                              <w:tc>
                                <w:tcPr>
                                  <w:tcW w:w="557" w:type="pct"/>
                                  <w:tcBorders>
                                    <w:top w:val="nil"/>
                                    <w:left w:val="nil"/>
                                    <w:bottom w:val="nil"/>
                                    <w:right w:val="nil"/>
                                  </w:tcBorders>
                                  <w:hideMark/>
                                </w:tcPr>
                                <w:p w14:paraId="06B529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6EFEC4B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ECE8F5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155D6F5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C85570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268ECD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0AFCB34B" w14:textId="77777777" w:rsidTr="006B53E7">
                              <w:trPr>
                                <w:trHeight w:val="204"/>
                              </w:trPr>
                              <w:tc>
                                <w:tcPr>
                                  <w:tcW w:w="1583" w:type="pct"/>
                                  <w:tcBorders>
                                    <w:top w:val="nil"/>
                                    <w:left w:val="nil"/>
                                    <w:bottom w:val="nil"/>
                                    <w:right w:val="nil"/>
                                  </w:tcBorders>
                                  <w:noWrap/>
                                  <w:hideMark/>
                                </w:tcPr>
                                <w:p w14:paraId="69F2A40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Deferred Tax Assets, LT</w:t>
                                  </w:r>
                                </w:p>
                              </w:tc>
                              <w:tc>
                                <w:tcPr>
                                  <w:tcW w:w="557" w:type="pct"/>
                                  <w:tcBorders>
                                    <w:top w:val="nil"/>
                                    <w:left w:val="nil"/>
                                    <w:bottom w:val="nil"/>
                                    <w:right w:val="nil"/>
                                  </w:tcBorders>
                                  <w:hideMark/>
                                </w:tcPr>
                                <w:p w14:paraId="1C8B95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1EDA4B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4D4E67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7699F88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0BDF838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18C6502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4CEE4420" w14:textId="77777777" w:rsidTr="006B53E7">
                              <w:trPr>
                                <w:trHeight w:val="204"/>
                              </w:trPr>
                              <w:tc>
                                <w:tcPr>
                                  <w:tcW w:w="1583" w:type="pct"/>
                                  <w:tcBorders>
                                    <w:top w:val="nil"/>
                                    <w:left w:val="nil"/>
                                    <w:bottom w:val="nil"/>
                                    <w:right w:val="nil"/>
                                  </w:tcBorders>
                                  <w:noWrap/>
                                  <w:hideMark/>
                                </w:tcPr>
                                <w:p w14:paraId="1B770BA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Long-Term Assets</w:t>
                                  </w:r>
                                </w:p>
                              </w:tc>
                              <w:tc>
                                <w:tcPr>
                                  <w:tcW w:w="557" w:type="pct"/>
                                  <w:tcBorders>
                                    <w:top w:val="nil"/>
                                    <w:left w:val="nil"/>
                                    <w:bottom w:val="nil"/>
                                    <w:right w:val="nil"/>
                                  </w:tcBorders>
                                  <w:hideMark/>
                                </w:tcPr>
                                <w:p w14:paraId="4106E37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051A90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7CEF02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78DFC3E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3B6AAC6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633" w:type="pct"/>
                                  <w:tcBorders>
                                    <w:top w:val="nil"/>
                                    <w:left w:val="nil"/>
                                    <w:bottom w:val="nil"/>
                                    <w:right w:val="nil"/>
                                  </w:tcBorders>
                                  <w:hideMark/>
                                </w:tcPr>
                                <w:p w14:paraId="0664326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34F2522C" w14:textId="77777777" w:rsidTr="006B53E7">
                              <w:trPr>
                                <w:trHeight w:val="204"/>
                              </w:trPr>
                              <w:tc>
                                <w:tcPr>
                                  <w:tcW w:w="1583" w:type="pct"/>
                                  <w:tcBorders>
                                    <w:top w:val="nil"/>
                                    <w:left w:val="nil"/>
                                    <w:bottom w:val="nil"/>
                                    <w:right w:val="nil"/>
                                  </w:tcBorders>
                                  <w:noWrap/>
                                  <w:hideMark/>
                                </w:tcPr>
                                <w:p w14:paraId="6BB86DF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Assets</w:t>
                                  </w:r>
                                </w:p>
                              </w:tc>
                              <w:tc>
                                <w:tcPr>
                                  <w:tcW w:w="557" w:type="pct"/>
                                  <w:tcBorders>
                                    <w:top w:val="single" w:sz="4" w:space="0" w:color="000000"/>
                                    <w:left w:val="nil"/>
                                    <w:bottom w:val="nil"/>
                                    <w:right w:val="nil"/>
                                  </w:tcBorders>
                                  <w:hideMark/>
                                </w:tcPr>
                                <w:p w14:paraId="1D609878"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4.9 </w:t>
                                  </w:r>
                                </w:p>
                              </w:tc>
                              <w:tc>
                                <w:tcPr>
                                  <w:tcW w:w="557" w:type="pct"/>
                                  <w:tcBorders>
                                    <w:top w:val="single" w:sz="4" w:space="0" w:color="000000"/>
                                    <w:left w:val="nil"/>
                                    <w:bottom w:val="nil"/>
                                    <w:right w:val="nil"/>
                                  </w:tcBorders>
                                  <w:hideMark/>
                                </w:tcPr>
                                <w:p w14:paraId="1DC5FC5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4.7 </w:t>
                                  </w:r>
                                </w:p>
                              </w:tc>
                              <w:tc>
                                <w:tcPr>
                                  <w:tcW w:w="557" w:type="pct"/>
                                  <w:tcBorders>
                                    <w:top w:val="single" w:sz="4" w:space="0" w:color="000000"/>
                                    <w:left w:val="nil"/>
                                    <w:bottom w:val="nil"/>
                                    <w:right w:val="nil"/>
                                  </w:tcBorders>
                                  <w:hideMark/>
                                </w:tcPr>
                                <w:p w14:paraId="4F6ECA7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6.9 </w:t>
                                  </w:r>
                                </w:p>
                              </w:tc>
                              <w:tc>
                                <w:tcPr>
                                  <w:tcW w:w="557" w:type="pct"/>
                                  <w:tcBorders>
                                    <w:top w:val="single" w:sz="4" w:space="0" w:color="000000"/>
                                    <w:left w:val="nil"/>
                                    <w:bottom w:val="nil"/>
                                    <w:right w:val="nil"/>
                                  </w:tcBorders>
                                  <w:hideMark/>
                                </w:tcPr>
                                <w:p w14:paraId="685ABCF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7.1 </w:t>
                                  </w:r>
                                </w:p>
                              </w:tc>
                              <w:tc>
                                <w:tcPr>
                                  <w:tcW w:w="557" w:type="pct"/>
                                  <w:tcBorders>
                                    <w:top w:val="single" w:sz="4" w:space="0" w:color="000000"/>
                                    <w:left w:val="nil"/>
                                    <w:bottom w:val="nil"/>
                                    <w:right w:val="nil"/>
                                  </w:tcBorders>
                                  <w:hideMark/>
                                </w:tcPr>
                                <w:p w14:paraId="7C0FC88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7.7 </w:t>
                                  </w:r>
                                </w:p>
                              </w:tc>
                              <w:tc>
                                <w:tcPr>
                                  <w:tcW w:w="633" w:type="pct"/>
                                  <w:tcBorders>
                                    <w:top w:val="single" w:sz="4" w:space="0" w:color="000000"/>
                                    <w:left w:val="nil"/>
                                    <w:bottom w:val="nil"/>
                                    <w:right w:val="nil"/>
                                  </w:tcBorders>
                                  <w:hideMark/>
                                </w:tcPr>
                                <w:p w14:paraId="048D1F3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6.0 </w:t>
                                  </w:r>
                                </w:p>
                              </w:tc>
                            </w:tr>
                            <w:tr w:rsidR="006B53E7" w:rsidRPr="006B53E7" w14:paraId="6F079490" w14:textId="77777777" w:rsidTr="006B53E7">
                              <w:trPr>
                                <w:trHeight w:val="204"/>
                              </w:trPr>
                              <w:tc>
                                <w:tcPr>
                                  <w:tcW w:w="1583" w:type="pct"/>
                                  <w:tcBorders>
                                    <w:top w:val="nil"/>
                                    <w:left w:val="nil"/>
                                    <w:bottom w:val="nil"/>
                                    <w:right w:val="nil"/>
                                  </w:tcBorders>
                                  <w:noWrap/>
                                  <w:hideMark/>
                                </w:tcPr>
                                <w:p w14:paraId="4F4744BD"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LIABILITIES</w:t>
                                  </w:r>
                                </w:p>
                              </w:tc>
                              <w:tc>
                                <w:tcPr>
                                  <w:tcW w:w="557" w:type="pct"/>
                                  <w:tcBorders>
                                    <w:top w:val="nil"/>
                                    <w:left w:val="nil"/>
                                    <w:bottom w:val="nil"/>
                                    <w:right w:val="nil"/>
                                  </w:tcBorders>
                                  <w:noWrap/>
                                  <w:hideMark/>
                                </w:tcPr>
                                <w:p w14:paraId="7C24EFE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p>
                              </w:tc>
                              <w:tc>
                                <w:tcPr>
                                  <w:tcW w:w="557" w:type="pct"/>
                                  <w:tcBorders>
                                    <w:top w:val="nil"/>
                                    <w:left w:val="nil"/>
                                    <w:bottom w:val="nil"/>
                                    <w:right w:val="nil"/>
                                  </w:tcBorders>
                                  <w:noWrap/>
                                  <w:hideMark/>
                                </w:tcPr>
                                <w:p w14:paraId="30158588"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44B086DA"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433227DF"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76306535"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633" w:type="pct"/>
                                  <w:tcBorders>
                                    <w:top w:val="nil"/>
                                    <w:left w:val="nil"/>
                                    <w:bottom w:val="nil"/>
                                    <w:right w:val="nil"/>
                                  </w:tcBorders>
                                  <w:noWrap/>
                                  <w:hideMark/>
                                </w:tcPr>
                                <w:p w14:paraId="39A7A23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r>
                            <w:tr w:rsidR="006B53E7" w:rsidRPr="006B53E7" w14:paraId="47CB3AD6" w14:textId="77777777" w:rsidTr="006B53E7">
                              <w:trPr>
                                <w:trHeight w:val="204"/>
                              </w:trPr>
                              <w:tc>
                                <w:tcPr>
                                  <w:tcW w:w="1583" w:type="pct"/>
                                  <w:tcBorders>
                                    <w:top w:val="nil"/>
                                    <w:left w:val="nil"/>
                                    <w:bottom w:val="nil"/>
                                    <w:right w:val="nil"/>
                                  </w:tcBorders>
                                  <w:noWrap/>
                                  <w:hideMark/>
                                </w:tcPr>
                                <w:p w14:paraId="10DB3E1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Payable</w:t>
                                  </w:r>
                                </w:p>
                              </w:tc>
                              <w:tc>
                                <w:tcPr>
                                  <w:tcW w:w="557" w:type="pct"/>
                                  <w:tcBorders>
                                    <w:top w:val="nil"/>
                                    <w:left w:val="nil"/>
                                    <w:bottom w:val="nil"/>
                                    <w:right w:val="nil"/>
                                  </w:tcBorders>
                                  <w:hideMark/>
                                </w:tcPr>
                                <w:p w14:paraId="45E8DF6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11D03CD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7CBB526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3954559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736543F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1.9 </w:t>
                                  </w:r>
                                </w:p>
                              </w:tc>
                              <w:tc>
                                <w:tcPr>
                                  <w:tcW w:w="633" w:type="pct"/>
                                  <w:tcBorders>
                                    <w:top w:val="nil"/>
                                    <w:left w:val="nil"/>
                                    <w:bottom w:val="nil"/>
                                    <w:right w:val="nil"/>
                                  </w:tcBorders>
                                  <w:hideMark/>
                                </w:tcPr>
                                <w:p w14:paraId="0EED7C6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1.7 </w:t>
                                  </w:r>
                                </w:p>
                              </w:tc>
                            </w:tr>
                            <w:tr w:rsidR="006B53E7" w:rsidRPr="006B53E7" w14:paraId="62974B42" w14:textId="77777777" w:rsidTr="006B53E7">
                              <w:trPr>
                                <w:trHeight w:val="204"/>
                              </w:trPr>
                              <w:tc>
                                <w:tcPr>
                                  <w:tcW w:w="1583" w:type="pct"/>
                                  <w:tcBorders>
                                    <w:top w:val="nil"/>
                                    <w:left w:val="nil"/>
                                    <w:bottom w:val="nil"/>
                                    <w:right w:val="nil"/>
                                  </w:tcBorders>
                                  <w:noWrap/>
                                  <w:hideMark/>
                                </w:tcPr>
                                <w:p w14:paraId="5A9D0A65"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Accrued Exp.</w:t>
                                  </w:r>
                                </w:p>
                              </w:tc>
                              <w:tc>
                                <w:tcPr>
                                  <w:tcW w:w="557" w:type="pct"/>
                                  <w:tcBorders>
                                    <w:top w:val="nil"/>
                                    <w:left w:val="nil"/>
                                    <w:bottom w:val="nil"/>
                                    <w:right w:val="nil"/>
                                  </w:tcBorders>
                                  <w:hideMark/>
                                </w:tcPr>
                                <w:p w14:paraId="55A498A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682632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3232A2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716247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780D51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447BF5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08AE3ECC" w14:textId="77777777" w:rsidTr="006B53E7">
                              <w:trPr>
                                <w:trHeight w:val="204"/>
                              </w:trPr>
                              <w:tc>
                                <w:tcPr>
                                  <w:tcW w:w="1583" w:type="pct"/>
                                  <w:tcBorders>
                                    <w:top w:val="nil"/>
                                    <w:left w:val="nil"/>
                                    <w:bottom w:val="nil"/>
                                    <w:right w:val="nil"/>
                                  </w:tcBorders>
                                  <w:noWrap/>
                                  <w:hideMark/>
                                </w:tcPr>
                                <w:p w14:paraId="612F16F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Short-term Borrowings</w:t>
                                  </w:r>
                                </w:p>
                              </w:tc>
                              <w:tc>
                                <w:tcPr>
                                  <w:tcW w:w="557" w:type="pct"/>
                                  <w:tcBorders>
                                    <w:top w:val="nil"/>
                                    <w:left w:val="nil"/>
                                    <w:bottom w:val="nil"/>
                                    <w:right w:val="nil"/>
                                  </w:tcBorders>
                                  <w:hideMark/>
                                </w:tcPr>
                                <w:p w14:paraId="6690E27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5F4CB5D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1CE7CA7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34E681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71FCB4D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633" w:type="pct"/>
                                  <w:tcBorders>
                                    <w:top w:val="nil"/>
                                    <w:left w:val="nil"/>
                                    <w:bottom w:val="nil"/>
                                    <w:right w:val="nil"/>
                                  </w:tcBorders>
                                  <w:hideMark/>
                                </w:tcPr>
                                <w:p w14:paraId="06B27E9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3DB0F03F" w14:textId="77777777" w:rsidTr="006B53E7">
                              <w:trPr>
                                <w:trHeight w:val="204"/>
                              </w:trPr>
                              <w:tc>
                                <w:tcPr>
                                  <w:tcW w:w="1583" w:type="pct"/>
                                  <w:tcBorders>
                                    <w:top w:val="nil"/>
                                    <w:left w:val="nil"/>
                                    <w:bottom w:val="nil"/>
                                    <w:right w:val="nil"/>
                                  </w:tcBorders>
                                  <w:noWrap/>
                                  <w:hideMark/>
                                </w:tcPr>
                                <w:p w14:paraId="1FABBB7A"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Port. of LT Debt</w:t>
                                  </w:r>
                                </w:p>
                              </w:tc>
                              <w:tc>
                                <w:tcPr>
                                  <w:tcW w:w="557" w:type="pct"/>
                                  <w:tcBorders>
                                    <w:top w:val="nil"/>
                                    <w:left w:val="nil"/>
                                    <w:bottom w:val="nil"/>
                                    <w:right w:val="nil"/>
                                  </w:tcBorders>
                                  <w:hideMark/>
                                </w:tcPr>
                                <w:p w14:paraId="1A4406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ECC352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3B2009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5729FDD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0FB65F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478468B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6280171E" w14:textId="77777777" w:rsidTr="006B53E7">
                              <w:trPr>
                                <w:trHeight w:val="204"/>
                              </w:trPr>
                              <w:tc>
                                <w:tcPr>
                                  <w:tcW w:w="1583" w:type="pct"/>
                                  <w:tcBorders>
                                    <w:top w:val="nil"/>
                                    <w:left w:val="nil"/>
                                    <w:bottom w:val="nil"/>
                                    <w:right w:val="nil"/>
                                  </w:tcBorders>
                                  <w:noWrap/>
                                  <w:hideMark/>
                                </w:tcPr>
                                <w:p w14:paraId="47FD6AB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Port. of Leases</w:t>
                                  </w:r>
                                </w:p>
                              </w:tc>
                              <w:tc>
                                <w:tcPr>
                                  <w:tcW w:w="557" w:type="pct"/>
                                  <w:tcBorders>
                                    <w:top w:val="nil"/>
                                    <w:left w:val="nil"/>
                                    <w:bottom w:val="nil"/>
                                    <w:right w:val="nil"/>
                                  </w:tcBorders>
                                  <w:hideMark/>
                                </w:tcPr>
                                <w:p w14:paraId="5FF2DEE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35EB6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384E5D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C724D9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8173D3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3E94835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4DF1F161" w14:textId="77777777" w:rsidTr="006B53E7">
                              <w:trPr>
                                <w:trHeight w:val="204"/>
                              </w:trPr>
                              <w:tc>
                                <w:tcPr>
                                  <w:tcW w:w="1583" w:type="pct"/>
                                  <w:tcBorders>
                                    <w:top w:val="nil"/>
                                    <w:left w:val="nil"/>
                                    <w:bottom w:val="nil"/>
                                    <w:right w:val="nil"/>
                                  </w:tcBorders>
                                  <w:noWrap/>
                                  <w:hideMark/>
                                </w:tcPr>
                                <w:p w14:paraId="6703CAAA"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Income Taxes Payable</w:t>
                                  </w:r>
                                </w:p>
                              </w:tc>
                              <w:tc>
                                <w:tcPr>
                                  <w:tcW w:w="557" w:type="pct"/>
                                  <w:tcBorders>
                                    <w:top w:val="nil"/>
                                    <w:left w:val="nil"/>
                                    <w:bottom w:val="nil"/>
                                    <w:right w:val="nil"/>
                                  </w:tcBorders>
                                  <w:hideMark/>
                                </w:tcPr>
                                <w:p w14:paraId="1782C3C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E9CC7D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FAA44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20C85E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57A205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5937D4F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7D03896" w14:textId="77777777" w:rsidTr="006B53E7">
                              <w:trPr>
                                <w:trHeight w:val="204"/>
                              </w:trPr>
                              <w:tc>
                                <w:tcPr>
                                  <w:tcW w:w="1583" w:type="pct"/>
                                  <w:tcBorders>
                                    <w:top w:val="nil"/>
                                    <w:left w:val="nil"/>
                                    <w:bottom w:val="nil"/>
                                    <w:right w:val="nil"/>
                                  </w:tcBorders>
                                  <w:noWrap/>
                                  <w:hideMark/>
                                </w:tcPr>
                                <w:p w14:paraId="55C5F46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Unearned Revenue, Current</w:t>
                                  </w:r>
                                </w:p>
                              </w:tc>
                              <w:tc>
                                <w:tcPr>
                                  <w:tcW w:w="557" w:type="pct"/>
                                  <w:tcBorders>
                                    <w:top w:val="nil"/>
                                    <w:left w:val="nil"/>
                                    <w:bottom w:val="nil"/>
                                    <w:right w:val="nil"/>
                                  </w:tcBorders>
                                  <w:hideMark/>
                                </w:tcPr>
                                <w:p w14:paraId="263EB97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4F5CCE3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660B7C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776266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4AAD101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C4F432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73B97A26" w14:textId="77777777" w:rsidTr="006B53E7">
                              <w:trPr>
                                <w:trHeight w:val="204"/>
                              </w:trPr>
                              <w:tc>
                                <w:tcPr>
                                  <w:tcW w:w="1583" w:type="pct"/>
                                  <w:tcBorders>
                                    <w:top w:val="nil"/>
                                    <w:left w:val="nil"/>
                                    <w:bottom w:val="nil"/>
                                    <w:right w:val="nil"/>
                                  </w:tcBorders>
                                  <w:noWrap/>
                                  <w:hideMark/>
                                </w:tcPr>
                                <w:p w14:paraId="4A17B16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Current Liabilities</w:t>
                                  </w:r>
                                </w:p>
                              </w:tc>
                              <w:tc>
                                <w:tcPr>
                                  <w:tcW w:w="557" w:type="pct"/>
                                  <w:tcBorders>
                                    <w:top w:val="nil"/>
                                    <w:left w:val="nil"/>
                                    <w:bottom w:val="nil"/>
                                    <w:right w:val="nil"/>
                                  </w:tcBorders>
                                  <w:hideMark/>
                                </w:tcPr>
                                <w:p w14:paraId="09FE81C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03C4BD2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2D9A4F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13D7683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49C4B15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633" w:type="pct"/>
                                  <w:tcBorders>
                                    <w:top w:val="nil"/>
                                    <w:left w:val="nil"/>
                                    <w:bottom w:val="nil"/>
                                    <w:right w:val="nil"/>
                                  </w:tcBorders>
                                  <w:hideMark/>
                                </w:tcPr>
                                <w:p w14:paraId="19D3F7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434A9854" w14:textId="77777777" w:rsidTr="006B53E7">
                              <w:trPr>
                                <w:trHeight w:val="204"/>
                              </w:trPr>
                              <w:tc>
                                <w:tcPr>
                                  <w:tcW w:w="1583" w:type="pct"/>
                                  <w:tcBorders>
                                    <w:top w:val="nil"/>
                                    <w:left w:val="nil"/>
                                    <w:bottom w:val="nil"/>
                                    <w:right w:val="nil"/>
                                  </w:tcBorders>
                                  <w:noWrap/>
                                  <w:hideMark/>
                                </w:tcPr>
                                <w:p w14:paraId="2D8FE823"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Current Liabilities</w:t>
                                  </w:r>
                                </w:p>
                              </w:tc>
                              <w:tc>
                                <w:tcPr>
                                  <w:tcW w:w="557" w:type="pct"/>
                                  <w:tcBorders>
                                    <w:top w:val="single" w:sz="4" w:space="0" w:color="000000"/>
                                    <w:left w:val="nil"/>
                                    <w:bottom w:val="nil"/>
                                    <w:right w:val="nil"/>
                                  </w:tcBorders>
                                  <w:hideMark/>
                                </w:tcPr>
                                <w:p w14:paraId="04C9429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380C2CF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2.6 </w:t>
                                  </w:r>
                                </w:p>
                              </w:tc>
                              <w:tc>
                                <w:tcPr>
                                  <w:tcW w:w="557" w:type="pct"/>
                                  <w:tcBorders>
                                    <w:top w:val="single" w:sz="4" w:space="0" w:color="000000"/>
                                    <w:left w:val="nil"/>
                                    <w:bottom w:val="nil"/>
                                    <w:right w:val="nil"/>
                                  </w:tcBorders>
                                  <w:hideMark/>
                                </w:tcPr>
                                <w:p w14:paraId="4626BE1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2.7 </w:t>
                                  </w:r>
                                </w:p>
                              </w:tc>
                              <w:tc>
                                <w:tcPr>
                                  <w:tcW w:w="557" w:type="pct"/>
                                  <w:tcBorders>
                                    <w:top w:val="single" w:sz="4" w:space="0" w:color="000000"/>
                                    <w:left w:val="nil"/>
                                    <w:bottom w:val="nil"/>
                                    <w:right w:val="nil"/>
                                  </w:tcBorders>
                                  <w:hideMark/>
                                </w:tcPr>
                                <w:p w14:paraId="5757BD4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2.8 </w:t>
                                  </w:r>
                                </w:p>
                              </w:tc>
                              <w:tc>
                                <w:tcPr>
                                  <w:tcW w:w="557" w:type="pct"/>
                                  <w:tcBorders>
                                    <w:top w:val="single" w:sz="4" w:space="0" w:color="000000"/>
                                    <w:left w:val="nil"/>
                                    <w:bottom w:val="nil"/>
                                    <w:right w:val="nil"/>
                                  </w:tcBorders>
                                  <w:hideMark/>
                                </w:tcPr>
                                <w:p w14:paraId="5C04C107"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3.6 </w:t>
                                  </w:r>
                                </w:p>
                              </w:tc>
                              <w:tc>
                                <w:tcPr>
                                  <w:tcW w:w="633" w:type="pct"/>
                                  <w:tcBorders>
                                    <w:top w:val="single" w:sz="4" w:space="0" w:color="000000"/>
                                    <w:left w:val="nil"/>
                                    <w:bottom w:val="nil"/>
                                    <w:right w:val="nil"/>
                                  </w:tcBorders>
                                  <w:hideMark/>
                                </w:tcPr>
                                <w:p w14:paraId="3D6E15E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2.7 </w:t>
                                  </w:r>
                                </w:p>
                              </w:tc>
                            </w:tr>
                            <w:tr w:rsidR="006B53E7" w:rsidRPr="006B53E7" w14:paraId="18A074F5" w14:textId="77777777" w:rsidTr="006B53E7">
                              <w:trPr>
                                <w:trHeight w:val="204"/>
                              </w:trPr>
                              <w:tc>
                                <w:tcPr>
                                  <w:tcW w:w="1583" w:type="pct"/>
                                  <w:tcBorders>
                                    <w:top w:val="nil"/>
                                    <w:left w:val="nil"/>
                                    <w:bottom w:val="nil"/>
                                    <w:right w:val="nil"/>
                                  </w:tcBorders>
                                  <w:noWrap/>
                                  <w:hideMark/>
                                </w:tcPr>
                                <w:p w14:paraId="1FC2B9D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Debt</w:t>
                                  </w:r>
                                </w:p>
                              </w:tc>
                              <w:tc>
                                <w:tcPr>
                                  <w:tcW w:w="557" w:type="pct"/>
                                  <w:tcBorders>
                                    <w:top w:val="nil"/>
                                    <w:left w:val="nil"/>
                                    <w:bottom w:val="nil"/>
                                    <w:right w:val="nil"/>
                                  </w:tcBorders>
                                  <w:hideMark/>
                                </w:tcPr>
                                <w:p w14:paraId="0C5F3E9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3CF14BD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FF79CA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294062F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1.3 </w:t>
                                  </w:r>
                                </w:p>
                              </w:tc>
                              <w:tc>
                                <w:tcPr>
                                  <w:tcW w:w="557" w:type="pct"/>
                                  <w:tcBorders>
                                    <w:top w:val="nil"/>
                                    <w:left w:val="nil"/>
                                    <w:bottom w:val="nil"/>
                                    <w:right w:val="nil"/>
                                  </w:tcBorders>
                                  <w:hideMark/>
                                </w:tcPr>
                                <w:p w14:paraId="26218A7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633" w:type="pct"/>
                                  <w:tcBorders>
                                    <w:top w:val="nil"/>
                                    <w:left w:val="nil"/>
                                    <w:bottom w:val="nil"/>
                                    <w:right w:val="nil"/>
                                  </w:tcBorders>
                                  <w:hideMark/>
                                </w:tcPr>
                                <w:p w14:paraId="6FC94D1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03283632" w14:textId="77777777" w:rsidTr="006B53E7">
                              <w:trPr>
                                <w:trHeight w:val="204"/>
                              </w:trPr>
                              <w:tc>
                                <w:tcPr>
                                  <w:tcW w:w="1583" w:type="pct"/>
                                  <w:tcBorders>
                                    <w:top w:val="nil"/>
                                    <w:left w:val="nil"/>
                                    <w:bottom w:val="nil"/>
                                    <w:right w:val="nil"/>
                                  </w:tcBorders>
                                  <w:noWrap/>
                                  <w:hideMark/>
                                </w:tcPr>
                                <w:p w14:paraId="5EB3949F"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Leases</w:t>
                                  </w:r>
                                </w:p>
                              </w:tc>
                              <w:tc>
                                <w:tcPr>
                                  <w:tcW w:w="557" w:type="pct"/>
                                  <w:tcBorders>
                                    <w:top w:val="nil"/>
                                    <w:left w:val="nil"/>
                                    <w:bottom w:val="nil"/>
                                    <w:right w:val="nil"/>
                                  </w:tcBorders>
                                  <w:hideMark/>
                                </w:tcPr>
                                <w:p w14:paraId="2A598BC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4853257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38D1CCA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63A41A5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557" w:type="pct"/>
                                  <w:tcBorders>
                                    <w:top w:val="nil"/>
                                    <w:left w:val="nil"/>
                                    <w:bottom w:val="nil"/>
                                    <w:right w:val="nil"/>
                                  </w:tcBorders>
                                  <w:hideMark/>
                                </w:tcPr>
                                <w:p w14:paraId="29949F3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45AC6EE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3A3BECE7" w14:textId="77777777" w:rsidTr="006B53E7">
                              <w:trPr>
                                <w:trHeight w:val="204"/>
                              </w:trPr>
                              <w:tc>
                                <w:tcPr>
                                  <w:tcW w:w="1583" w:type="pct"/>
                                  <w:tcBorders>
                                    <w:top w:val="nil"/>
                                    <w:left w:val="nil"/>
                                    <w:bottom w:val="nil"/>
                                    <w:right w:val="nil"/>
                                  </w:tcBorders>
                                  <w:noWrap/>
                                  <w:hideMark/>
                                </w:tcPr>
                                <w:p w14:paraId="38B3C334"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Unearned Revenue, Non-Current</w:t>
                                  </w:r>
                                </w:p>
                              </w:tc>
                              <w:tc>
                                <w:tcPr>
                                  <w:tcW w:w="557" w:type="pct"/>
                                  <w:tcBorders>
                                    <w:top w:val="nil"/>
                                    <w:left w:val="nil"/>
                                    <w:bottom w:val="nil"/>
                                    <w:right w:val="nil"/>
                                  </w:tcBorders>
                                  <w:hideMark/>
                                </w:tcPr>
                                <w:p w14:paraId="63546DB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390215C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00AE07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5C5124C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FFC6B9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01B93BE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37809F46" w14:textId="77777777" w:rsidTr="006B53E7">
                              <w:trPr>
                                <w:trHeight w:val="204"/>
                              </w:trPr>
                              <w:tc>
                                <w:tcPr>
                                  <w:tcW w:w="1583" w:type="pct"/>
                                  <w:tcBorders>
                                    <w:top w:val="nil"/>
                                    <w:left w:val="nil"/>
                                    <w:bottom w:val="nil"/>
                                    <w:right w:val="nil"/>
                                  </w:tcBorders>
                                  <w:noWrap/>
                                  <w:hideMark/>
                                </w:tcPr>
                                <w:p w14:paraId="27FC278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Def. Tax Liability, Non-Curr.</w:t>
                                  </w:r>
                                </w:p>
                              </w:tc>
                              <w:tc>
                                <w:tcPr>
                                  <w:tcW w:w="557" w:type="pct"/>
                                  <w:tcBorders>
                                    <w:top w:val="nil"/>
                                    <w:left w:val="nil"/>
                                    <w:bottom w:val="nil"/>
                                    <w:right w:val="nil"/>
                                  </w:tcBorders>
                                  <w:hideMark/>
                                </w:tcPr>
                                <w:p w14:paraId="0F85F73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16A76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C49B9C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368AB3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617C042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DB7994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1EC7CE93" w14:textId="77777777" w:rsidTr="006B53E7">
                              <w:trPr>
                                <w:trHeight w:val="204"/>
                              </w:trPr>
                              <w:tc>
                                <w:tcPr>
                                  <w:tcW w:w="1583" w:type="pct"/>
                                  <w:tcBorders>
                                    <w:top w:val="nil"/>
                                    <w:left w:val="nil"/>
                                    <w:bottom w:val="nil"/>
                                    <w:right w:val="nil"/>
                                  </w:tcBorders>
                                  <w:noWrap/>
                                  <w:hideMark/>
                                </w:tcPr>
                                <w:p w14:paraId="5C6B0FC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Non-Current Liabilities</w:t>
                                  </w:r>
                                </w:p>
                              </w:tc>
                              <w:tc>
                                <w:tcPr>
                                  <w:tcW w:w="557" w:type="pct"/>
                                  <w:tcBorders>
                                    <w:top w:val="nil"/>
                                    <w:left w:val="nil"/>
                                    <w:bottom w:val="nil"/>
                                    <w:right w:val="nil"/>
                                  </w:tcBorders>
                                  <w:hideMark/>
                                </w:tcPr>
                                <w:p w14:paraId="12492CD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C4A35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5EDCA8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6E80BC5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BC75BF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633" w:type="pct"/>
                                  <w:tcBorders>
                                    <w:top w:val="nil"/>
                                    <w:left w:val="nil"/>
                                    <w:bottom w:val="nil"/>
                                    <w:right w:val="nil"/>
                                  </w:tcBorders>
                                  <w:hideMark/>
                                </w:tcPr>
                                <w:p w14:paraId="0A20938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r>
                            <w:tr w:rsidR="006B53E7" w:rsidRPr="006B53E7" w14:paraId="3AB199B5" w14:textId="77777777" w:rsidTr="006B53E7">
                              <w:trPr>
                                <w:trHeight w:val="204"/>
                              </w:trPr>
                              <w:tc>
                                <w:tcPr>
                                  <w:tcW w:w="1583" w:type="pct"/>
                                  <w:tcBorders>
                                    <w:top w:val="nil"/>
                                    <w:left w:val="nil"/>
                                    <w:bottom w:val="nil"/>
                                    <w:right w:val="nil"/>
                                  </w:tcBorders>
                                  <w:noWrap/>
                                  <w:hideMark/>
                                </w:tcPr>
                                <w:p w14:paraId="724CA9E7"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Liabilities</w:t>
                                  </w:r>
                                </w:p>
                              </w:tc>
                              <w:tc>
                                <w:tcPr>
                                  <w:tcW w:w="557" w:type="pct"/>
                                  <w:tcBorders>
                                    <w:top w:val="single" w:sz="4" w:space="0" w:color="000000"/>
                                    <w:left w:val="nil"/>
                                    <w:bottom w:val="nil"/>
                                    <w:right w:val="nil"/>
                                  </w:tcBorders>
                                  <w:hideMark/>
                                </w:tcPr>
                                <w:p w14:paraId="021EEE38"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3.0 </w:t>
                                  </w:r>
                                </w:p>
                              </w:tc>
                              <w:tc>
                                <w:tcPr>
                                  <w:tcW w:w="557" w:type="pct"/>
                                  <w:tcBorders>
                                    <w:top w:val="single" w:sz="4" w:space="0" w:color="000000"/>
                                    <w:left w:val="nil"/>
                                    <w:bottom w:val="nil"/>
                                    <w:right w:val="nil"/>
                                  </w:tcBorders>
                                  <w:hideMark/>
                                </w:tcPr>
                                <w:p w14:paraId="77A5920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3.3 </w:t>
                                  </w:r>
                                </w:p>
                              </w:tc>
                              <w:tc>
                                <w:tcPr>
                                  <w:tcW w:w="557" w:type="pct"/>
                                  <w:tcBorders>
                                    <w:top w:val="single" w:sz="4" w:space="0" w:color="000000"/>
                                    <w:left w:val="nil"/>
                                    <w:bottom w:val="nil"/>
                                    <w:right w:val="nil"/>
                                  </w:tcBorders>
                                  <w:hideMark/>
                                </w:tcPr>
                                <w:p w14:paraId="25DF7BB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4.9 </w:t>
                                  </w:r>
                                </w:p>
                              </w:tc>
                              <w:tc>
                                <w:tcPr>
                                  <w:tcW w:w="557" w:type="pct"/>
                                  <w:tcBorders>
                                    <w:top w:val="single" w:sz="4" w:space="0" w:color="000000"/>
                                    <w:left w:val="nil"/>
                                    <w:bottom w:val="nil"/>
                                    <w:right w:val="nil"/>
                                  </w:tcBorders>
                                  <w:hideMark/>
                                </w:tcPr>
                                <w:p w14:paraId="099A31B7"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5.1 </w:t>
                                  </w:r>
                                </w:p>
                              </w:tc>
                              <w:tc>
                                <w:tcPr>
                                  <w:tcW w:w="557" w:type="pct"/>
                                  <w:tcBorders>
                                    <w:top w:val="single" w:sz="4" w:space="0" w:color="000000"/>
                                    <w:left w:val="nil"/>
                                    <w:bottom w:val="nil"/>
                                    <w:right w:val="nil"/>
                                  </w:tcBorders>
                                  <w:hideMark/>
                                </w:tcPr>
                                <w:p w14:paraId="7B71F43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5.7 </w:t>
                                  </w:r>
                                </w:p>
                              </w:tc>
                              <w:tc>
                                <w:tcPr>
                                  <w:tcW w:w="633" w:type="pct"/>
                                  <w:tcBorders>
                                    <w:top w:val="single" w:sz="4" w:space="0" w:color="000000"/>
                                    <w:left w:val="nil"/>
                                    <w:bottom w:val="nil"/>
                                    <w:right w:val="nil"/>
                                  </w:tcBorders>
                                  <w:hideMark/>
                                </w:tcPr>
                                <w:p w14:paraId="5DB3182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4.2 </w:t>
                                  </w:r>
                                </w:p>
                              </w:tc>
                            </w:tr>
                            <w:tr w:rsidR="006B53E7" w:rsidRPr="006B53E7" w14:paraId="6993A9B7" w14:textId="77777777" w:rsidTr="006B53E7">
                              <w:trPr>
                                <w:trHeight w:val="204"/>
                              </w:trPr>
                              <w:tc>
                                <w:tcPr>
                                  <w:tcW w:w="1583" w:type="pct"/>
                                  <w:tcBorders>
                                    <w:top w:val="nil"/>
                                    <w:left w:val="nil"/>
                                    <w:bottom w:val="nil"/>
                                    <w:right w:val="nil"/>
                                  </w:tcBorders>
                                  <w:noWrap/>
                                  <w:hideMark/>
                                </w:tcPr>
                                <w:p w14:paraId="4A6287E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Common Stock</w:t>
                                  </w:r>
                                </w:p>
                              </w:tc>
                              <w:tc>
                                <w:tcPr>
                                  <w:tcW w:w="557" w:type="pct"/>
                                  <w:tcBorders>
                                    <w:top w:val="nil"/>
                                    <w:left w:val="nil"/>
                                    <w:bottom w:val="nil"/>
                                    <w:right w:val="nil"/>
                                  </w:tcBorders>
                                  <w:hideMark/>
                                </w:tcPr>
                                <w:p w14:paraId="41055A6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0569E9F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4B40E28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2.2 </w:t>
                                  </w:r>
                                </w:p>
                              </w:tc>
                              <w:tc>
                                <w:tcPr>
                                  <w:tcW w:w="557" w:type="pct"/>
                                  <w:tcBorders>
                                    <w:top w:val="nil"/>
                                    <w:left w:val="nil"/>
                                    <w:bottom w:val="nil"/>
                                    <w:right w:val="nil"/>
                                  </w:tcBorders>
                                  <w:hideMark/>
                                </w:tcPr>
                                <w:p w14:paraId="133F00F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2.3 </w:t>
                                  </w:r>
                                </w:p>
                              </w:tc>
                              <w:tc>
                                <w:tcPr>
                                  <w:tcW w:w="557" w:type="pct"/>
                                  <w:tcBorders>
                                    <w:top w:val="nil"/>
                                    <w:left w:val="nil"/>
                                    <w:bottom w:val="nil"/>
                                    <w:right w:val="nil"/>
                                  </w:tcBorders>
                                  <w:hideMark/>
                                </w:tcPr>
                                <w:p w14:paraId="7314550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2.5 </w:t>
                                  </w:r>
                                </w:p>
                              </w:tc>
                              <w:tc>
                                <w:tcPr>
                                  <w:tcW w:w="633" w:type="pct"/>
                                  <w:tcBorders>
                                    <w:top w:val="nil"/>
                                    <w:left w:val="nil"/>
                                    <w:bottom w:val="nil"/>
                                    <w:right w:val="nil"/>
                                  </w:tcBorders>
                                  <w:hideMark/>
                                </w:tcPr>
                                <w:p w14:paraId="6E0FA7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2.2 </w:t>
                                  </w:r>
                                </w:p>
                              </w:tc>
                            </w:tr>
                            <w:tr w:rsidR="006B53E7" w:rsidRPr="006B53E7" w14:paraId="1D70CCF9" w14:textId="77777777" w:rsidTr="006B53E7">
                              <w:trPr>
                                <w:trHeight w:val="204"/>
                              </w:trPr>
                              <w:tc>
                                <w:tcPr>
                                  <w:tcW w:w="1583" w:type="pct"/>
                                  <w:tcBorders>
                                    <w:top w:val="nil"/>
                                    <w:left w:val="nil"/>
                                    <w:bottom w:val="nil"/>
                                    <w:right w:val="nil"/>
                                  </w:tcBorders>
                                  <w:noWrap/>
                                  <w:hideMark/>
                                </w:tcPr>
                                <w:p w14:paraId="60E2CE1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Additional Paid In Capital</w:t>
                                  </w:r>
                                </w:p>
                              </w:tc>
                              <w:tc>
                                <w:tcPr>
                                  <w:tcW w:w="557" w:type="pct"/>
                                  <w:tcBorders>
                                    <w:top w:val="nil"/>
                                    <w:left w:val="nil"/>
                                    <w:bottom w:val="nil"/>
                                    <w:right w:val="nil"/>
                                  </w:tcBorders>
                                  <w:hideMark/>
                                </w:tcPr>
                                <w:p w14:paraId="7808FE7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0C16878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575A02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331965B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7060766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633" w:type="pct"/>
                                  <w:tcBorders>
                                    <w:top w:val="nil"/>
                                    <w:left w:val="nil"/>
                                    <w:bottom w:val="nil"/>
                                    <w:right w:val="nil"/>
                                  </w:tcBorders>
                                  <w:hideMark/>
                                </w:tcPr>
                                <w:p w14:paraId="3FAAFB2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6AA657AF" w14:textId="77777777" w:rsidTr="006B53E7">
                              <w:trPr>
                                <w:trHeight w:val="204"/>
                              </w:trPr>
                              <w:tc>
                                <w:tcPr>
                                  <w:tcW w:w="1583" w:type="pct"/>
                                  <w:tcBorders>
                                    <w:top w:val="nil"/>
                                    <w:left w:val="nil"/>
                                    <w:bottom w:val="nil"/>
                                    <w:right w:val="nil"/>
                                  </w:tcBorders>
                                  <w:noWrap/>
                                  <w:hideMark/>
                                </w:tcPr>
                                <w:p w14:paraId="0B7437D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Retained Earnings</w:t>
                                  </w:r>
                                </w:p>
                              </w:tc>
                              <w:tc>
                                <w:tcPr>
                                  <w:tcW w:w="557" w:type="pct"/>
                                  <w:tcBorders>
                                    <w:top w:val="nil"/>
                                    <w:left w:val="nil"/>
                                    <w:bottom w:val="nil"/>
                                    <w:right w:val="nil"/>
                                  </w:tcBorders>
                                  <w:hideMark/>
                                </w:tcPr>
                                <w:p w14:paraId="048EDC3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77A405A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A7983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52C7E89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A33484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7C6931B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56DB6FAF" w14:textId="77777777" w:rsidTr="006B53E7">
                              <w:trPr>
                                <w:trHeight w:val="204"/>
                              </w:trPr>
                              <w:tc>
                                <w:tcPr>
                                  <w:tcW w:w="1583" w:type="pct"/>
                                  <w:tcBorders>
                                    <w:top w:val="nil"/>
                                    <w:left w:val="nil"/>
                                    <w:bottom w:val="nil"/>
                                    <w:right w:val="nil"/>
                                  </w:tcBorders>
                                  <w:noWrap/>
                                  <w:hideMark/>
                                </w:tcPr>
                                <w:p w14:paraId="0A7EB29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Treasury Stock</w:t>
                                  </w:r>
                                </w:p>
                              </w:tc>
                              <w:tc>
                                <w:tcPr>
                                  <w:tcW w:w="557" w:type="pct"/>
                                  <w:tcBorders>
                                    <w:top w:val="nil"/>
                                    <w:left w:val="nil"/>
                                    <w:bottom w:val="nil"/>
                                    <w:right w:val="nil"/>
                                  </w:tcBorders>
                                  <w:hideMark/>
                                </w:tcPr>
                                <w:p w14:paraId="3996E2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 </w:t>
                                  </w:r>
                                </w:p>
                              </w:tc>
                              <w:tc>
                                <w:tcPr>
                                  <w:tcW w:w="557" w:type="pct"/>
                                  <w:tcBorders>
                                    <w:top w:val="nil"/>
                                    <w:left w:val="nil"/>
                                    <w:bottom w:val="nil"/>
                                    <w:right w:val="nil"/>
                                  </w:tcBorders>
                                  <w:hideMark/>
                                </w:tcPr>
                                <w:p w14:paraId="6C8CE9F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4F8FF0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0F5C75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6923E7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2187191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5C69708" w14:textId="77777777" w:rsidTr="006B53E7">
                              <w:trPr>
                                <w:trHeight w:val="204"/>
                              </w:trPr>
                              <w:tc>
                                <w:tcPr>
                                  <w:tcW w:w="1583" w:type="pct"/>
                                  <w:tcBorders>
                                    <w:top w:val="nil"/>
                                    <w:left w:val="nil"/>
                                    <w:bottom w:val="nil"/>
                                    <w:right w:val="nil"/>
                                  </w:tcBorders>
                                  <w:noWrap/>
                                  <w:hideMark/>
                                </w:tcPr>
                                <w:p w14:paraId="3B5879F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Comprehensive Inc. and Other</w:t>
                                  </w:r>
                                </w:p>
                              </w:tc>
                              <w:tc>
                                <w:tcPr>
                                  <w:tcW w:w="557" w:type="pct"/>
                                  <w:tcBorders>
                                    <w:top w:val="nil"/>
                                    <w:left w:val="nil"/>
                                    <w:bottom w:val="nil"/>
                                    <w:right w:val="nil"/>
                                  </w:tcBorders>
                                  <w:hideMark/>
                                </w:tcPr>
                                <w:p w14:paraId="4C4C006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AB92D9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D15D09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8F0248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0FB6D3B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3E510E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r>
                            <w:tr w:rsidR="006B53E7" w:rsidRPr="006B53E7" w14:paraId="77B8F874" w14:textId="77777777" w:rsidTr="006B53E7">
                              <w:trPr>
                                <w:trHeight w:val="204"/>
                              </w:trPr>
                              <w:tc>
                                <w:tcPr>
                                  <w:tcW w:w="1583" w:type="pct"/>
                                  <w:tcBorders>
                                    <w:top w:val="nil"/>
                                    <w:left w:val="nil"/>
                                    <w:bottom w:val="nil"/>
                                    <w:right w:val="nil"/>
                                  </w:tcBorders>
                                  <w:noWrap/>
                                  <w:hideMark/>
                                </w:tcPr>
                                <w:p w14:paraId="1E9CE666"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Common Equity</w:t>
                                  </w:r>
                                </w:p>
                              </w:tc>
                              <w:tc>
                                <w:tcPr>
                                  <w:tcW w:w="557" w:type="pct"/>
                                  <w:tcBorders>
                                    <w:top w:val="single" w:sz="4" w:space="0" w:color="000000"/>
                                    <w:left w:val="nil"/>
                                    <w:bottom w:val="nil"/>
                                    <w:right w:val="nil"/>
                                  </w:tcBorders>
                                  <w:hideMark/>
                                </w:tcPr>
                                <w:p w14:paraId="043F9E6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1.9 </w:t>
                                  </w:r>
                                </w:p>
                              </w:tc>
                              <w:tc>
                                <w:tcPr>
                                  <w:tcW w:w="557" w:type="pct"/>
                                  <w:tcBorders>
                                    <w:top w:val="single" w:sz="4" w:space="0" w:color="000000"/>
                                    <w:left w:val="nil"/>
                                    <w:bottom w:val="nil"/>
                                    <w:right w:val="nil"/>
                                  </w:tcBorders>
                                  <w:hideMark/>
                                </w:tcPr>
                                <w:p w14:paraId="17AC12C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1.4 </w:t>
                                  </w:r>
                                </w:p>
                              </w:tc>
                              <w:tc>
                                <w:tcPr>
                                  <w:tcW w:w="557" w:type="pct"/>
                                  <w:tcBorders>
                                    <w:top w:val="single" w:sz="4" w:space="0" w:color="000000"/>
                                    <w:left w:val="nil"/>
                                    <w:bottom w:val="nil"/>
                                    <w:right w:val="nil"/>
                                  </w:tcBorders>
                                  <w:hideMark/>
                                </w:tcPr>
                                <w:p w14:paraId="3F5A56A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07BC35F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5A70108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633" w:type="pct"/>
                                  <w:tcBorders>
                                    <w:top w:val="single" w:sz="4" w:space="0" w:color="000000"/>
                                    <w:left w:val="nil"/>
                                    <w:bottom w:val="nil"/>
                                    <w:right w:val="nil"/>
                                  </w:tcBorders>
                                  <w:hideMark/>
                                </w:tcPr>
                                <w:p w14:paraId="1836571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1.8 </w:t>
                                  </w:r>
                                </w:p>
                              </w:tc>
                            </w:tr>
                            <w:tr w:rsidR="006B53E7" w:rsidRPr="006B53E7" w14:paraId="60A9EAB5" w14:textId="77777777" w:rsidTr="006B53E7">
                              <w:trPr>
                                <w:trHeight w:val="204"/>
                              </w:trPr>
                              <w:tc>
                                <w:tcPr>
                                  <w:tcW w:w="1583" w:type="pct"/>
                                  <w:tcBorders>
                                    <w:top w:val="nil"/>
                                    <w:left w:val="nil"/>
                                    <w:bottom w:val="nil"/>
                                    <w:right w:val="nil"/>
                                  </w:tcBorders>
                                  <w:noWrap/>
                                  <w:hideMark/>
                                </w:tcPr>
                                <w:p w14:paraId="0E208330"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Equity</w:t>
                                  </w:r>
                                </w:p>
                              </w:tc>
                              <w:tc>
                                <w:tcPr>
                                  <w:tcW w:w="557" w:type="pct"/>
                                  <w:tcBorders>
                                    <w:top w:val="nil"/>
                                    <w:left w:val="nil"/>
                                    <w:bottom w:val="nil"/>
                                    <w:right w:val="nil"/>
                                  </w:tcBorders>
                                  <w:hideMark/>
                                </w:tcPr>
                                <w:p w14:paraId="1055847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1.9 </w:t>
                                  </w:r>
                                </w:p>
                              </w:tc>
                              <w:tc>
                                <w:tcPr>
                                  <w:tcW w:w="557" w:type="pct"/>
                                  <w:tcBorders>
                                    <w:top w:val="nil"/>
                                    <w:left w:val="nil"/>
                                    <w:bottom w:val="nil"/>
                                    <w:right w:val="nil"/>
                                  </w:tcBorders>
                                  <w:hideMark/>
                                </w:tcPr>
                                <w:p w14:paraId="3BC742F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1.4 </w:t>
                                  </w:r>
                                </w:p>
                              </w:tc>
                              <w:tc>
                                <w:tcPr>
                                  <w:tcW w:w="557" w:type="pct"/>
                                  <w:tcBorders>
                                    <w:top w:val="nil"/>
                                    <w:left w:val="nil"/>
                                    <w:bottom w:val="nil"/>
                                    <w:right w:val="nil"/>
                                  </w:tcBorders>
                                  <w:hideMark/>
                                </w:tcPr>
                                <w:p w14:paraId="665FC12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557" w:type="pct"/>
                                  <w:tcBorders>
                                    <w:top w:val="nil"/>
                                    <w:left w:val="nil"/>
                                    <w:bottom w:val="nil"/>
                                    <w:right w:val="nil"/>
                                  </w:tcBorders>
                                  <w:hideMark/>
                                </w:tcPr>
                                <w:p w14:paraId="02812E4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557" w:type="pct"/>
                                  <w:tcBorders>
                                    <w:top w:val="nil"/>
                                    <w:left w:val="nil"/>
                                    <w:bottom w:val="nil"/>
                                    <w:right w:val="nil"/>
                                  </w:tcBorders>
                                  <w:hideMark/>
                                </w:tcPr>
                                <w:p w14:paraId="30D986C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633" w:type="pct"/>
                                  <w:tcBorders>
                                    <w:top w:val="nil"/>
                                    <w:left w:val="nil"/>
                                    <w:bottom w:val="nil"/>
                                    <w:right w:val="nil"/>
                                  </w:tcBorders>
                                  <w:hideMark/>
                                </w:tcPr>
                                <w:p w14:paraId="24154FF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1.8 </w:t>
                                  </w:r>
                                </w:p>
                              </w:tc>
                            </w:tr>
                            <w:tr w:rsidR="006B53E7" w:rsidRPr="006B53E7" w14:paraId="264108CC" w14:textId="77777777" w:rsidTr="006B53E7">
                              <w:trPr>
                                <w:trHeight w:val="204"/>
                              </w:trPr>
                              <w:tc>
                                <w:tcPr>
                                  <w:tcW w:w="1583" w:type="pct"/>
                                  <w:tcBorders>
                                    <w:top w:val="nil"/>
                                    <w:left w:val="nil"/>
                                    <w:bottom w:val="nil"/>
                                    <w:right w:val="nil"/>
                                  </w:tcBorders>
                                  <w:noWrap/>
                                  <w:hideMark/>
                                </w:tcPr>
                                <w:p w14:paraId="719E0721"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Liabilities And Equity</w:t>
                                  </w:r>
                                </w:p>
                              </w:tc>
                              <w:tc>
                                <w:tcPr>
                                  <w:tcW w:w="557" w:type="pct"/>
                                  <w:tcBorders>
                                    <w:top w:val="nil"/>
                                    <w:left w:val="nil"/>
                                    <w:bottom w:val="nil"/>
                                    <w:right w:val="nil"/>
                                  </w:tcBorders>
                                  <w:hideMark/>
                                </w:tcPr>
                                <w:p w14:paraId="568473F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4.9 </w:t>
                                  </w:r>
                                </w:p>
                              </w:tc>
                              <w:tc>
                                <w:tcPr>
                                  <w:tcW w:w="557" w:type="pct"/>
                                  <w:tcBorders>
                                    <w:top w:val="nil"/>
                                    <w:left w:val="nil"/>
                                    <w:bottom w:val="nil"/>
                                    <w:right w:val="nil"/>
                                  </w:tcBorders>
                                  <w:hideMark/>
                                </w:tcPr>
                                <w:p w14:paraId="3262026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4.7 </w:t>
                                  </w:r>
                                </w:p>
                              </w:tc>
                              <w:tc>
                                <w:tcPr>
                                  <w:tcW w:w="557" w:type="pct"/>
                                  <w:tcBorders>
                                    <w:top w:val="nil"/>
                                    <w:left w:val="nil"/>
                                    <w:bottom w:val="nil"/>
                                    <w:right w:val="nil"/>
                                  </w:tcBorders>
                                  <w:hideMark/>
                                </w:tcPr>
                                <w:p w14:paraId="750224C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6.9 </w:t>
                                  </w:r>
                                </w:p>
                              </w:tc>
                              <w:tc>
                                <w:tcPr>
                                  <w:tcW w:w="557" w:type="pct"/>
                                  <w:tcBorders>
                                    <w:top w:val="nil"/>
                                    <w:left w:val="nil"/>
                                    <w:bottom w:val="nil"/>
                                    <w:right w:val="nil"/>
                                  </w:tcBorders>
                                  <w:hideMark/>
                                </w:tcPr>
                                <w:p w14:paraId="6E4A6C9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7.1 </w:t>
                                  </w:r>
                                </w:p>
                              </w:tc>
                              <w:tc>
                                <w:tcPr>
                                  <w:tcW w:w="557" w:type="pct"/>
                                  <w:tcBorders>
                                    <w:top w:val="nil"/>
                                    <w:left w:val="nil"/>
                                    <w:bottom w:val="nil"/>
                                    <w:right w:val="nil"/>
                                  </w:tcBorders>
                                  <w:hideMark/>
                                </w:tcPr>
                                <w:p w14:paraId="3835C06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7.7 </w:t>
                                  </w:r>
                                </w:p>
                              </w:tc>
                              <w:tc>
                                <w:tcPr>
                                  <w:tcW w:w="633" w:type="pct"/>
                                  <w:tcBorders>
                                    <w:top w:val="nil"/>
                                    <w:left w:val="nil"/>
                                    <w:bottom w:val="nil"/>
                                    <w:right w:val="nil"/>
                                  </w:tcBorders>
                                  <w:hideMark/>
                                </w:tcPr>
                                <w:p w14:paraId="012291D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6.0 </w:t>
                                  </w:r>
                                </w:p>
                              </w:tc>
                            </w:tr>
                          </w:tbl>
                          <w:p w14:paraId="7D02C6E9" w14:textId="1BE1BE58" w:rsidR="006B53E7" w:rsidRDefault="006B53E7"/>
                        </w:txbxContent>
                      </wps:txbx>
                      <wps:bodyPr rot="0" vert="horz" wrap="square" lIns="91440" tIns="45720" rIns="91440" bIns="45720" anchor="t" anchorCtr="0">
                        <a:spAutoFit/>
                      </wps:bodyPr>
                    </wps:wsp>
                  </a:graphicData>
                </a:graphic>
              </wp:inline>
            </w:drawing>
          </mc:Choice>
          <mc:Fallback>
            <w:pict>
              <v:shape w14:anchorId="2E0AB7FB" id="Text Box 2" o:spid="_x0000_s1069" type="#_x0000_t202" style="width:485.4pt;height:5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" stroked="f">
                <v:textbox style="mso-fit-shape-to-text:t">
                  <w:txbxContent>
                    <w:tbl>
                      <w:tblPr>
                        <w:tblW w:w="5000" w:type="pct"/>
                        <w:tblLook w:val="04A0" w:firstRow="1" w:lastRow="0" w:firstColumn="1" w:lastColumn="0" w:noHBand="0" w:noVBand="1"/>
                      </w:tblPr>
                      <w:tblGrid>
                        <w:gridCol w:w="2984"/>
                        <w:gridCol w:w="1050"/>
                        <w:gridCol w:w="1049"/>
                        <w:gridCol w:w="1049"/>
                        <w:gridCol w:w="1049"/>
                        <w:gridCol w:w="1049"/>
                        <w:gridCol w:w="1191"/>
                      </w:tblGrid>
                      <w:tr w:rsidR="006B53E7" w:rsidRPr="006B53E7" w14:paraId="0AFA5CFD" w14:textId="77777777" w:rsidTr="006B53E7">
                        <w:trPr>
                          <w:trHeight w:val="336"/>
                        </w:trPr>
                        <w:tc>
                          <w:tcPr>
                            <w:tcW w:w="5000" w:type="pct"/>
                            <w:gridSpan w:val="7"/>
                            <w:tcBorders>
                              <w:top w:val="nil"/>
                              <w:left w:val="nil"/>
                              <w:bottom w:val="nil"/>
                              <w:right w:val="nil"/>
                            </w:tcBorders>
                            <w:noWrap/>
                            <w:vAlign w:val="bottom"/>
                            <w:hideMark/>
                          </w:tcPr>
                          <w:p w14:paraId="359E0A35"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Magazine Luiza S.A. (</w:t>
                            </w:r>
                            <w:r w:rsidRPr="006B53E7">
                              <w:rPr>
                                <w:rFonts w:ascii="Cambria" w:eastAsia="Times New Roman" w:hAnsi="Cambria" w:cs="Arial"/>
                                <w:b/>
                                <w:bCs/>
                                <w:color w:val="000000"/>
                                <w:kern w:val="0"/>
                                <w:sz w:val="14"/>
                                <w:szCs w:val="14"/>
                                <w:lang w:eastAsia="en-IN"/>
                                <w14:ligatures w14:val="none"/>
                              </w:rPr>
                              <w:t>BOVESPA:MGLU3) &gt; Financials &gt; Balance Sheet</w:t>
                            </w:r>
                          </w:p>
                        </w:tc>
                      </w:tr>
                      <w:tr w:rsidR="006B53E7" w:rsidRPr="006B53E7" w14:paraId="00E8A1FD" w14:textId="77777777" w:rsidTr="006B53E7">
                        <w:trPr>
                          <w:trHeight w:val="204"/>
                        </w:trPr>
                        <w:tc>
                          <w:tcPr>
                            <w:tcW w:w="1583" w:type="pct"/>
                            <w:tcBorders>
                              <w:top w:val="nil"/>
                              <w:left w:val="nil"/>
                              <w:bottom w:val="nil"/>
                              <w:right w:val="nil"/>
                            </w:tcBorders>
                            <w:shd w:val="clear" w:color="000000" w:fill="003366"/>
                            <w:noWrap/>
                            <w:vAlign w:val="bottom"/>
                            <w:hideMark/>
                          </w:tcPr>
                          <w:p w14:paraId="41CDFF32"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Balance Sheet</w:t>
                            </w:r>
                          </w:p>
                        </w:tc>
                        <w:tc>
                          <w:tcPr>
                            <w:tcW w:w="557" w:type="pct"/>
                            <w:tcBorders>
                              <w:top w:val="nil"/>
                              <w:left w:val="nil"/>
                              <w:bottom w:val="nil"/>
                              <w:right w:val="nil"/>
                            </w:tcBorders>
                            <w:shd w:val="clear" w:color="000000" w:fill="003366"/>
                            <w:noWrap/>
                            <w:vAlign w:val="bottom"/>
                            <w:hideMark/>
                          </w:tcPr>
                          <w:p w14:paraId="16C3FE3A"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77FCC179"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369726F5"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5FBE6356"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557" w:type="pct"/>
                            <w:tcBorders>
                              <w:top w:val="nil"/>
                              <w:left w:val="nil"/>
                              <w:bottom w:val="nil"/>
                              <w:right w:val="nil"/>
                            </w:tcBorders>
                            <w:shd w:val="clear" w:color="000000" w:fill="003366"/>
                            <w:noWrap/>
                            <w:vAlign w:val="bottom"/>
                            <w:hideMark/>
                          </w:tcPr>
                          <w:p w14:paraId="25F5CE62"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c>
                          <w:tcPr>
                            <w:tcW w:w="633" w:type="pct"/>
                            <w:tcBorders>
                              <w:top w:val="nil"/>
                              <w:left w:val="nil"/>
                              <w:bottom w:val="nil"/>
                              <w:right w:val="nil"/>
                            </w:tcBorders>
                            <w:shd w:val="clear" w:color="000000" w:fill="003366"/>
                            <w:noWrap/>
                            <w:vAlign w:val="bottom"/>
                            <w:hideMark/>
                          </w:tcPr>
                          <w:p w14:paraId="61FB4DE8" w14:textId="77777777" w:rsidR="006B53E7" w:rsidRPr="006B53E7" w:rsidRDefault="006B53E7" w:rsidP="006B53E7">
                            <w:pPr>
                              <w:spacing w:after="0" w:line="240" w:lineRule="auto"/>
                              <w:rPr>
                                <w:rFonts w:ascii="Cambria" w:eastAsia="Times New Roman" w:hAnsi="Cambria" w:cs="Arial"/>
                                <w:b/>
                                <w:bCs/>
                                <w:color w:val="FFFFFF"/>
                                <w:kern w:val="0"/>
                                <w:sz w:val="14"/>
                                <w:szCs w:val="14"/>
                                <w:lang w:eastAsia="en-IN"/>
                                <w14:ligatures w14:val="none"/>
                              </w:rPr>
                            </w:pPr>
                            <w:r w:rsidRPr="006B53E7">
                              <w:rPr>
                                <w:rFonts w:ascii="Cambria" w:eastAsia="Times New Roman" w:hAnsi="Cambria" w:cs="Arial"/>
                                <w:b/>
                                <w:bCs/>
                                <w:color w:val="FFFFFF"/>
                                <w:kern w:val="0"/>
                                <w:sz w:val="14"/>
                                <w:szCs w:val="14"/>
                                <w:lang w:eastAsia="en-IN"/>
                                <w14:ligatures w14:val="none"/>
                              </w:rPr>
                              <w:t> </w:t>
                            </w:r>
                          </w:p>
                        </w:tc>
                      </w:tr>
                      <w:tr w:rsidR="006B53E7" w:rsidRPr="006B53E7" w14:paraId="6B5BBF58" w14:textId="77777777" w:rsidTr="006B53E7">
                        <w:trPr>
                          <w:trHeight w:val="408"/>
                        </w:trPr>
                        <w:tc>
                          <w:tcPr>
                            <w:tcW w:w="1583" w:type="pct"/>
                            <w:tcBorders>
                              <w:top w:val="nil"/>
                              <w:left w:val="nil"/>
                              <w:bottom w:val="nil"/>
                              <w:right w:val="nil"/>
                            </w:tcBorders>
                            <w:shd w:val="clear" w:color="000000" w:fill="F0F0DC"/>
                            <w:vAlign w:val="bottom"/>
                            <w:hideMark/>
                          </w:tcPr>
                          <w:p w14:paraId="779B1F2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Balance Sheet as of:</w:t>
                            </w:r>
                          </w:p>
                        </w:tc>
                        <w:tc>
                          <w:tcPr>
                            <w:tcW w:w="557" w:type="pct"/>
                            <w:tcBorders>
                              <w:top w:val="nil"/>
                              <w:left w:val="nil"/>
                              <w:bottom w:val="nil"/>
                              <w:right w:val="nil"/>
                            </w:tcBorders>
                            <w:shd w:val="clear" w:color="000000" w:fill="F0F0DC"/>
                            <w:vAlign w:val="bottom"/>
                            <w:hideMark/>
                          </w:tcPr>
                          <w:p w14:paraId="1508115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Dec-31-2019</w:t>
                            </w:r>
                          </w:p>
                        </w:tc>
                        <w:tc>
                          <w:tcPr>
                            <w:tcW w:w="557" w:type="pct"/>
                            <w:tcBorders>
                              <w:top w:val="nil"/>
                              <w:left w:val="nil"/>
                              <w:bottom w:val="nil"/>
                              <w:right w:val="nil"/>
                            </w:tcBorders>
                            <w:shd w:val="clear" w:color="000000" w:fill="F0F0DC"/>
                            <w:vAlign w:val="bottom"/>
                            <w:hideMark/>
                          </w:tcPr>
                          <w:p w14:paraId="718EE02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Dec-31-2020</w:t>
                            </w:r>
                          </w:p>
                        </w:tc>
                        <w:tc>
                          <w:tcPr>
                            <w:tcW w:w="557" w:type="pct"/>
                            <w:tcBorders>
                              <w:top w:val="nil"/>
                              <w:left w:val="nil"/>
                              <w:bottom w:val="nil"/>
                              <w:right w:val="nil"/>
                            </w:tcBorders>
                            <w:shd w:val="clear" w:color="000000" w:fill="F0F0DC"/>
                            <w:vAlign w:val="bottom"/>
                            <w:hideMark/>
                          </w:tcPr>
                          <w:p w14:paraId="1139D09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Dec-31-2021</w:t>
                            </w:r>
                          </w:p>
                        </w:tc>
                        <w:tc>
                          <w:tcPr>
                            <w:tcW w:w="557" w:type="pct"/>
                            <w:tcBorders>
                              <w:top w:val="nil"/>
                              <w:left w:val="nil"/>
                              <w:bottom w:val="nil"/>
                              <w:right w:val="nil"/>
                            </w:tcBorders>
                            <w:shd w:val="clear" w:color="000000" w:fill="F0F0DC"/>
                            <w:vAlign w:val="bottom"/>
                            <w:hideMark/>
                          </w:tcPr>
                          <w:p w14:paraId="7204397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Dec-31-2022</w:t>
                            </w:r>
                          </w:p>
                        </w:tc>
                        <w:tc>
                          <w:tcPr>
                            <w:tcW w:w="557" w:type="pct"/>
                            <w:tcBorders>
                              <w:top w:val="nil"/>
                              <w:left w:val="nil"/>
                              <w:bottom w:val="nil"/>
                              <w:right w:val="nil"/>
                            </w:tcBorders>
                            <w:shd w:val="clear" w:color="000000" w:fill="F0F0DC"/>
                            <w:vAlign w:val="bottom"/>
                            <w:hideMark/>
                          </w:tcPr>
                          <w:p w14:paraId="271CCFA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Dec-31-2023</w:t>
                            </w:r>
                          </w:p>
                        </w:tc>
                        <w:tc>
                          <w:tcPr>
                            <w:tcW w:w="633" w:type="pct"/>
                            <w:tcBorders>
                              <w:top w:val="nil"/>
                              <w:left w:val="nil"/>
                              <w:bottom w:val="nil"/>
                              <w:right w:val="nil"/>
                            </w:tcBorders>
                            <w:shd w:val="clear" w:color="000000" w:fill="F0F0DC"/>
                            <w:vAlign w:val="bottom"/>
                            <w:hideMark/>
                          </w:tcPr>
                          <w:p w14:paraId="1756788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Press Release</w:t>
                            </w:r>
                            <w:r w:rsidRPr="006B53E7">
                              <w:rPr>
                                <w:rFonts w:ascii="Cambria" w:eastAsia="Times New Roman" w:hAnsi="Cambria" w:cs="Arial"/>
                                <w:b/>
                                <w:bCs/>
                                <w:color w:val="000000"/>
                                <w:kern w:val="0"/>
                                <w:sz w:val="14"/>
                                <w:szCs w:val="14"/>
                                <w:lang w:eastAsia="en-IN"/>
                                <w14:ligatures w14:val="none"/>
                              </w:rPr>
                              <w:br/>
                              <w:t>Dec-31-2024</w:t>
                            </w:r>
                          </w:p>
                        </w:tc>
                      </w:tr>
                      <w:tr w:rsidR="006B53E7" w:rsidRPr="006B53E7" w14:paraId="00D3042A" w14:textId="77777777" w:rsidTr="006B53E7">
                        <w:trPr>
                          <w:trHeight w:val="204"/>
                        </w:trPr>
                        <w:tc>
                          <w:tcPr>
                            <w:tcW w:w="1583" w:type="pct"/>
                            <w:tcBorders>
                              <w:top w:val="nil"/>
                              <w:left w:val="nil"/>
                              <w:bottom w:val="nil"/>
                              <w:right w:val="nil"/>
                            </w:tcBorders>
                            <w:shd w:val="clear" w:color="000000" w:fill="F0F0DC"/>
                            <w:vAlign w:val="bottom"/>
                            <w:hideMark/>
                          </w:tcPr>
                          <w:p w14:paraId="39C8720E" w14:textId="77777777" w:rsidR="006B53E7" w:rsidRPr="006B53E7" w:rsidRDefault="006B53E7" w:rsidP="006B53E7">
                            <w:pPr>
                              <w:spacing w:after="0" w:line="240" w:lineRule="auto"/>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Currency</w:t>
                            </w:r>
                          </w:p>
                        </w:tc>
                        <w:tc>
                          <w:tcPr>
                            <w:tcW w:w="557" w:type="pct"/>
                            <w:tcBorders>
                              <w:top w:val="nil"/>
                              <w:left w:val="nil"/>
                              <w:bottom w:val="nil"/>
                              <w:right w:val="nil"/>
                            </w:tcBorders>
                            <w:shd w:val="clear" w:color="000000" w:fill="F0F0DC"/>
                            <w:vAlign w:val="bottom"/>
                            <w:hideMark/>
                          </w:tcPr>
                          <w:p w14:paraId="59CC49E4"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0D3BA29F"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43DA6BBA"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2D63A0BA"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557" w:type="pct"/>
                            <w:tcBorders>
                              <w:top w:val="nil"/>
                              <w:left w:val="nil"/>
                              <w:bottom w:val="nil"/>
                              <w:right w:val="nil"/>
                            </w:tcBorders>
                            <w:shd w:val="clear" w:color="000000" w:fill="F0F0DC"/>
                            <w:vAlign w:val="bottom"/>
                            <w:hideMark/>
                          </w:tcPr>
                          <w:p w14:paraId="6219D776"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c>
                          <w:tcPr>
                            <w:tcW w:w="633" w:type="pct"/>
                            <w:tcBorders>
                              <w:top w:val="nil"/>
                              <w:left w:val="nil"/>
                              <w:bottom w:val="nil"/>
                              <w:right w:val="nil"/>
                            </w:tcBorders>
                            <w:shd w:val="clear" w:color="000000" w:fill="F0F0DC"/>
                            <w:vAlign w:val="bottom"/>
                            <w:hideMark/>
                          </w:tcPr>
                          <w:p w14:paraId="146BA62F" w14:textId="77777777" w:rsidR="006B53E7" w:rsidRPr="006B53E7" w:rsidRDefault="006B53E7" w:rsidP="006B53E7">
                            <w:pPr>
                              <w:spacing w:after="0" w:line="240" w:lineRule="auto"/>
                              <w:jc w:val="right"/>
                              <w:rPr>
                                <w:rFonts w:ascii="Cambria" w:eastAsia="Times New Roman" w:hAnsi="Cambria" w:cs="Arial"/>
                                <w:b/>
                                <w:bCs/>
                                <w:i/>
                                <w:iCs/>
                                <w:color w:val="000000"/>
                                <w:kern w:val="0"/>
                                <w:sz w:val="14"/>
                                <w:szCs w:val="14"/>
                                <w:lang w:eastAsia="en-IN"/>
                                <w14:ligatures w14:val="none"/>
                              </w:rPr>
                            </w:pPr>
                            <w:r w:rsidRPr="006B53E7">
                              <w:rPr>
                                <w:rFonts w:ascii="Cambria" w:eastAsia="Times New Roman" w:hAnsi="Cambria" w:cs="Arial"/>
                                <w:b/>
                                <w:bCs/>
                                <w:i/>
                                <w:iCs/>
                                <w:color w:val="000000"/>
                                <w:kern w:val="0"/>
                                <w:sz w:val="14"/>
                                <w:szCs w:val="14"/>
                                <w:lang w:eastAsia="en-IN"/>
                                <w14:ligatures w14:val="none"/>
                              </w:rPr>
                              <w:t>USD</w:t>
                            </w:r>
                          </w:p>
                        </w:tc>
                      </w:tr>
                      <w:tr w:rsidR="006B53E7" w:rsidRPr="006B53E7" w14:paraId="11DB146F" w14:textId="77777777" w:rsidTr="006B53E7">
                        <w:trPr>
                          <w:trHeight w:val="204"/>
                        </w:trPr>
                        <w:tc>
                          <w:tcPr>
                            <w:tcW w:w="1583" w:type="pct"/>
                            <w:tcBorders>
                              <w:top w:val="nil"/>
                              <w:left w:val="nil"/>
                              <w:bottom w:val="nil"/>
                              <w:right w:val="nil"/>
                            </w:tcBorders>
                            <w:noWrap/>
                            <w:hideMark/>
                          </w:tcPr>
                          <w:p w14:paraId="3A535D61"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ASSETS</w:t>
                            </w:r>
                          </w:p>
                        </w:tc>
                        <w:tc>
                          <w:tcPr>
                            <w:tcW w:w="557" w:type="pct"/>
                            <w:tcBorders>
                              <w:top w:val="nil"/>
                              <w:left w:val="nil"/>
                              <w:bottom w:val="nil"/>
                              <w:right w:val="nil"/>
                            </w:tcBorders>
                            <w:noWrap/>
                            <w:hideMark/>
                          </w:tcPr>
                          <w:p w14:paraId="2B322CD4"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p>
                        </w:tc>
                        <w:tc>
                          <w:tcPr>
                            <w:tcW w:w="557" w:type="pct"/>
                            <w:tcBorders>
                              <w:top w:val="nil"/>
                              <w:left w:val="nil"/>
                              <w:bottom w:val="nil"/>
                              <w:right w:val="nil"/>
                            </w:tcBorders>
                            <w:noWrap/>
                            <w:hideMark/>
                          </w:tcPr>
                          <w:p w14:paraId="3EEE971C"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6227DBB2"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2E24234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3B6AAFBD"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633" w:type="pct"/>
                            <w:tcBorders>
                              <w:top w:val="nil"/>
                              <w:left w:val="nil"/>
                              <w:bottom w:val="nil"/>
                              <w:right w:val="nil"/>
                            </w:tcBorders>
                            <w:noWrap/>
                            <w:hideMark/>
                          </w:tcPr>
                          <w:p w14:paraId="06E4C80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r>
                      <w:tr w:rsidR="006B53E7" w:rsidRPr="006B53E7" w14:paraId="39D21772" w14:textId="77777777" w:rsidTr="006B53E7">
                        <w:trPr>
                          <w:trHeight w:val="204"/>
                        </w:trPr>
                        <w:tc>
                          <w:tcPr>
                            <w:tcW w:w="1583" w:type="pct"/>
                            <w:tcBorders>
                              <w:top w:val="nil"/>
                              <w:left w:val="nil"/>
                              <w:bottom w:val="nil"/>
                              <w:right w:val="nil"/>
                            </w:tcBorders>
                            <w:noWrap/>
                            <w:hideMark/>
                          </w:tcPr>
                          <w:p w14:paraId="1CAB8FE9"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Cash And Equivalents</w:t>
                            </w:r>
                          </w:p>
                        </w:tc>
                        <w:tc>
                          <w:tcPr>
                            <w:tcW w:w="557" w:type="pct"/>
                            <w:tcBorders>
                              <w:top w:val="nil"/>
                              <w:left w:val="nil"/>
                              <w:bottom w:val="nil"/>
                              <w:right w:val="nil"/>
                            </w:tcBorders>
                            <w:hideMark/>
                          </w:tcPr>
                          <w:p w14:paraId="7CBCB03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DC10E4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224D09E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00822D4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1D10AD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23EC42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r>
                      <w:tr w:rsidR="006B53E7" w:rsidRPr="006B53E7" w14:paraId="45D76FBB" w14:textId="77777777" w:rsidTr="006B53E7">
                        <w:trPr>
                          <w:trHeight w:val="204"/>
                        </w:trPr>
                        <w:tc>
                          <w:tcPr>
                            <w:tcW w:w="1583" w:type="pct"/>
                            <w:tcBorders>
                              <w:top w:val="nil"/>
                              <w:left w:val="nil"/>
                              <w:bottom w:val="nil"/>
                              <w:right w:val="nil"/>
                            </w:tcBorders>
                            <w:noWrap/>
                            <w:hideMark/>
                          </w:tcPr>
                          <w:p w14:paraId="4BDA4F7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Short Term Investments</w:t>
                            </w:r>
                          </w:p>
                        </w:tc>
                        <w:tc>
                          <w:tcPr>
                            <w:tcW w:w="557" w:type="pct"/>
                            <w:tcBorders>
                              <w:top w:val="nil"/>
                              <w:left w:val="nil"/>
                              <w:bottom w:val="nil"/>
                              <w:right w:val="nil"/>
                            </w:tcBorders>
                            <w:hideMark/>
                          </w:tcPr>
                          <w:p w14:paraId="1127385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28A9063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776171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705BB5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93C04F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5E9644B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AAD4877" w14:textId="77777777" w:rsidTr="006B53E7">
                        <w:trPr>
                          <w:trHeight w:val="204"/>
                        </w:trPr>
                        <w:tc>
                          <w:tcPr>
                            <w:tcW w:w="1583" w:type="pct"/>
                            <w:tcBorders>
                              <w:top w:val="nil"/>
                              <w:left w:val="nil"/>
                              <w:bottom w:val="nil"/>
                              <w:right w:val="nil"/>
                            </w:tcBorders>
                            <w:noWrap/>
                            <w:hideMark/>
                          </w:tcPr>
                          <w:p w14:paraId="74E642C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Cash &amp; ST Investments</w:t>
                            </w:r>
                          </w:p>
                        </w:tc>
                        <w:tc>
                          <w:tcPr>
                            <w:tcW w:w="557" w:type="pct"/>
                            <w:tcBorders>
                              <w:top w:val="single" w:sz="4" w:space="0" w:color="000000"/>
                              <w:left w:val="nil"/>
                              <w:bottom w:val="nil"/>
                              <w:right w:val="nil"/>
                            </w:tcBorders>
                            <w:hideMark/>
                          </w:tcPr>
                          <w:p w14:paraId="409DCBE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1.2 </w:t>
                            </w:r>
                          </w:p>
                        </w:tc>
                        <w:tc>
                          <w:tcPr>
                            <w:tcW w:w="557" w:type="pct"/>
                            <w:tcBorders>
                              <w:top w:val="single" w:sz="4" w:space="0" w:color="000000"/>
                              <w:left w:val="nil"/>
                              <w:bottom w:val="nil"/>
                              <w:right w:val="nil"/>
                            </w:tcBorders>
                            <w:hideMark/>
                          </w:tcPr>
                          <w:p w14:paraId="00A51CF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0.6 </w:t>
                            </w:r>
                          </w:p>
                        </w:tc>
                        <w:tc>
                          <w:tcPr>
                            <w:tcW w:w="557" w:type="pct"/>
                            <w:tcBorders>
                              <w:top w:val="single" w:sz="4" w:space="0" w:color="000000"/>
                              <w:left w:val="nil"/>
                              <w:bottom w:val="nil"/>
                              <w:right w:val="nil"/>
                            </w:tcBorders>
                            <w:hideMark/>
                          </w:tcPr>
                          <w:p w14:paraId="5953F4DC"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557" w:type="pct"/>
                            <w:tcBorders>
                              <w:top w:val="single" w:sz="4" w:space="0" w:color="000000"/>
                              <w:left w:val="nil"/>
                              <w:bottom w:val="nil"/>
                              <w:right w:val="nil"/>
                            </w:tcBorders>
                            <w:hideMark/>
                          </w:tcPr>
                          <w:p w14:paraId="04E5755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0.5 </w:t>
                            </w:r>
                          </w:p>
                        </w:tc>
                        <w:tc>
                          <w:tcPr>
                            <w:tcW w:w="557" w:type="pct"/>
                            <w:tcBorders>
                              <w:top w:val="single" w:sz="4" w:space="0" w:color="000000"/>
                              <w:left w:val="nil"/>
                              <w:bottom w:val="nil"/>
                              <w:right w:val="nil"/>
                            </w:tcBorders>
                            <w:hideMark/>
                          </w:tcPr>
                          <w:p w14:paraId="71D257C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633" w:type="pct"/>
                            <w:tcBorders>
                              <w:top w:val="single" w:sz="4" w:space="0" w:color="000000"/>
                              <w:left w:val="nil"/>
                              <w:bottom w:val="nil"/>
                              <w:right w:val="nil"/>
                            </w:tcBorders>
                            <w:hideMark/>
                          </w:tcPr>
                          <w:p w14:paraId="2D7D4AD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0.4 </w:t>
                            </w:r>
                          </w:p>
                        </w:tc>
                      </w:tr>
                      <w:tr w:rsidR="006B53E7" w:rsidRPr="006B53E7" w14:paraId="15AA9F3A" w14:textId="77777777" w:rsidTr="006B53E7">
                        <w:trPr>
                          <w:trHeight w:val="204"/>
                        </w:trPr>
                        <w:tc>
                          <w:tcPr>
                            <w:tcW w:w="1583" w:type="pct"/>
                            <w:tcBorders>
                              <w:top w:val="nil"/>
                              <w:left w:val="nil"/>
                              <w:bottom w:val="nil"/>
                              <w:right w:val="nil"/>
                            </w:tcBorders>
                            <w:noWrap/>
                            <w:hideMark/>
                          </w:tcPr>
                          <w:p w14:paraId="24C1CAB5"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Receivable</w:t>
                            </w:r>
                          </w:p>
                        </w:tc>
                        <w:tc>
                          <w:tcPr>
                            <w:tcW w:w="557" w:type="pct"/>
                            <w:tcBorders>
                              <w:top w:val="nil"/>
                              <w:left w:val="nil"/>
                              <w:bottom w:val="nil"/>
                              <w:right w:val="nil"/>
                            </w:tcBorders>
                            <w:hideMark/>
                          </w:tcPr>
                          <w:p w14:paraId="398A548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557" w:type="pct"/>
                            <w:tcBorders>
                              <w:top w:val="nil"/>
                              <w:left w:val="nil"/>
                              <w:bottom w:val="nil"/>
                              <w:right w:val="nil"/>
                            </w:tcBorders>
                            <w:hideMark/>
                          </w:tcPr>
                          <w:p w14:paraId="0ADA74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1.4 </w:t>
                            </w:r>
                          </w:p>
                        </w:tc>
                        <w:tc>
                          <w:tcPr>
                            <w:tcW w:w="557" w:type="pct"/>
                            <w:tcBorders>
                              <w:top w:val="nil"/>
                              <w:left w:val="nil"/>
                              <w:bottom w:val="nil"/>
                              <w:right w:val="nil"/>
                            </w:tcBorders>
                            <w:hideMark/>
                          </w:tcPr>
                          <w:p w14:paraId="79A2CD7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1.7 </w:t>
                            </w:r>
                          </w:p>
                        </w:tc>
                        <w:tc>
                          <w:tcPr>
                            <w:tcW w:w="557" w:type="pct"/>
                            <w:tcBorders>
                              <w:top w:val="nil"/>
                              <w:left w:val="nil"/>
                              <w:bottom w:val="nil"/>
                              <w:right w:val="nil"/>
                            </w:tcBorders>
                            <w:hideMark/>
                          </w:tcPr>
                          <w:p w14:paraId="75B2528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5514294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633" w:type="pct"/>
                            <w:tcBorders>
                              <w:top w:val="nil"/>
                              <w:left w:val="nil"/>
                              <w:bottom w:val="nil"/>
                              <w:right w:val="nil"/>
                            </w:tcBorders>
                            <w:hideMark/>
                          </w:tcPr>
                          <w:p w14:paraId="017F8F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r>
                      <w:tr w:rsidR="006B53E7" w:rsidRPr="006B53E7" w14:paraId="145A5761" w14:textId="77777777" w:rsidTr="006B53E7">
                        <w:trPr>
                          <w:trHeight w:val="204"/>
                        </w:trPr>
                        <w:tc>
                          <w:tcPr>
                            <w:tcW w:w="1583" w:type="pct"/>
                            <w:tcBorders>
                              <w:top w:val="nil"/>
                              <w:left w:val="nil"/>
                              <w:bottom w:val="nil"/>
                              <w:right w:val="nil"/>
                            </w:tcBorders>
                            <w:noWrap/>
                            <w:hideMark/>
                          </w:tcPr>
                          <w:p w14:paraId="4DAB246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Receivables</w:t>
                            </w:r>
                          </w:p>
                        </w:tc>
                        <w:tc>
                          <w:tcPr>
                            <w:tcW w:w="557" w:type="pct"/>
                            <w:tcBorders>
                              <w:top w:val="nil"/>
                              <w:left w:val="nil"/>
                              <w:bottom w:val="nil"/>
                              <w:right w:val="nil"/>
                            </w:tcBorders>
                            <w:hideMark/>
                          </w:tcPr>
                          <w:p w14:paraId="39A048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508D27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E80471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2A3478A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3A06629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633" w:type="pct"/>
                            <w:tcBorders>
                              <w:top w:val="nil"/>
                              <w:left w:val="nil"/>
                              <w:bottom w:val="nil"/>
                              <w:right w:val="nil"/>
                            </w:tcBorders>
                            <w:hideMark/>
                          </w:tcPr>
                          <w:p w14:paraId="2200D0E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60C6ABD1" w14:textId="77777777" w:rsidTr="006B53E7">
                        <w:trPr>
                          <w:trHeight w:val="204"/>
                        </w:trPr>
                        <w:tc>
                          <w:tcPr>
                            <w:tcW w:w="1583" w:type="pct"/>
                            <w:tcBorders>
                              <w:top w:val="nil"/>
                              <w:left w:val="nil"/>
                              <w:bottom w:val="nil"/>
                              <w:right w:val="nil"/>
                            </w:tcBorders>
                            <w:noWrap/>
                            <w:hideMark/>
                          </w:tcPr>
                          <w:p w14:paraId="68D6DF94"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Receivables</w:t>
                            </w:r>
                          </w:p>
                        </w:tc>
                        <w:tc>
                          <w:tcPr>
                            <w:tcW w:w="557" w:type="pct"/>
                            <w:tcBorders>
                              <w:top w:val="single" w:sz="4" w:space="0" w:color="000000"/>
                              <w:left w:val="nil"/>
                              <w:bottom w:val="nil"/>
                              <w:right w:val="nil"/>
                            </w:tcBorders>
                            <w:hideMark/>
                          </w:tcPr>
                          <w:p w14:paraId="164C2B9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0330751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1.5 </w:t>
                            </w:r>
                          </w:p>
                        </w:tc>
                        <w:tc>
                          <w:tcPr>
                            <w:tcW w:w="557" w:type="pct"/>
                            <w:tcBorders>
                              <w:top w:val="single" w:sz="4" w:space="0" w:color="000000"/>
                              <w:left w:val="nil"/>
                              <w:bottom w:val="nil"/>
                              <w:right w:val="nil"/>
                            </w:tcBorders>
                            <w:hideMark/>
                          </w:tcPr>
                          <w:p w14:paraId="75084F7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5ADD61D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2.1 </w:t>
                            </w:r>
                          </w:p>
                        </w:tc>
                        <w:tc>
                          <w:tcPr>
                            <w:tcW w:w="557" w:type="pct"/>
                            <w:tcBorders>
                              <w:top w:val="single" w:sz="4" w:space="0" w:color="000000"/>
                              <w:left w:val="nil"/>
                              <w:bottom w:val="nil"/>
                              <w:right w:val="nil"/>
                            </w:tcBorders>
                            <w:hideMark/>
                          </w:tcPr>
                          <w:p w14:paraId="79FF95AC"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1.8 </w:t>
                            </w:r>
                          </w:p>
                        </w:tc>
                        <w:tc>
                          <w:tcPr>
                            <w:tcW w:w="633" w:type="pct"/>
                            <w:tcBorders>
                              <w:top w:val="single" w:sz="4" w:space="0" w:color="000000"/>
                              <w:left w:val="nil"/>
                              <w:bottom w:val="nil"/>
                              <w:right w:val="nil"/>
                            </w:tcBorders>
                            <w:hideMark/>
                          </w:tcPr>
                          <w:p w14:paraId="5D1DF18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1.5 </w:t>
                            </w:r>
                          </w:p>
                        </w:tc>
                      </w:tr>
                      <w:tr w:rsidR="006B53E7" w:rsidRPr="006B53E7" w14:paraId="5A0C637D" w14:textId="77777777" w:rsidTr="006B53E7">
                        <w:trPr>
                          <w:trHeight w:val="204"/>
                        </w:trPr>
                        <w:tc>
                          <w:tcPr>
                            <w:tcW w:w="1583" w:type="pct"/>
                            <w:tcBorders>
                              <w:top w:val="nil"/>
                              <w:left w:val="nil"/>
                              <w:bottom w:val="nil"/>
                              <w:right w:val="nil"/>
                            </w:tcBorders>
                            <w:noWrap/>
                            <w:hideMark/>
                          </w:tcPr>
                          <w:p w14:paraId="40BA557B"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Inventory</w:t>
                            </w:r>
                          </w:p>
                        </w:tc>
                        <w:tc>
                          <w:tcPr>
                            <w:tcW w:w="557" w:type="pct"/>
                            <w:tcBorders>
                              <w:top w:val="nil"/>
                              <w:left w:val="nil"/>
                              <w:bottom w:val="nil"/>
                              <w:right w:val="nil"/>
                            </w:tcBorders>
                            <w:hideMark/>
                          </w:tcPr>
                          <w:p w14:paraId="476E206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557" w:type="pct"/>
                            <w:tcBorders>
                              <w:top w:val="nil"/>
                              <w:left w:val="nil"/>
                              <w:bottom w:val="nil"/>
                              <w:right w:val="nil"/>
                            </w:tcBorders>
                            <w:hideMark/>
                          </w:tcPr>
                          <w:p w14:paraId="66DD1B2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4B669E6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3AD8827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1F127C1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633" w:type="pct"/>
                            <w:tcBorders>
                              <w:top w:val="nil"/>
                              <w:left w:val="nil"/>
                              <w:bottom w:val="nil"/>
                              <w:right w:val="nil"/>
                            </w:tcBorders>
                            <w:hideMark/>
                          </w:tcPr>
                          <w:p w14:paraId="232EEB7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1.2 </w:t>
                            </w:r>
                          </w:p>
                        </w:tc>
                      </w:tr>
                      <w:tr w:rsidR="006B53E7" w:rsidRPr="006B53E7" w14:paraId="27FCF30E" w14:textId="77777777" w:rsidTr="006B53E7">
                        <w:trPr>
                          <w:trHeight w:val="204"/>
                        </w:trPr>
                        <w:tc>
                          <w:tcPr>
                            <w:tcW w:w="1583" w:type="pct"/>
                            <w:tcBorders>
                              <w:top w:val="nil"/>
                              <w:left w:val="nil"/>
                              <w:bottom w:val="nil"/>
                              <w:right w:val="nil"/>
                            </w:tcBorders>
                            <w:noWrap/>
                            <w:hideMark/>
                          </w:tcPr>
                          <w:p w14:paraId="285186C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Current Assets</w:t>
                            </w:r>
                          </w:p>
                        </w:tc>
                        <w:tc>
                          <w:tcPr>
                            <w:tcW w:w="557" w:type="pct"/>
                            <w:tcBorders>
                              <w:top w:val="nil"/>
                              <w:left w:val="nil"/>
                              <w:bottom w:val="nil"/>
                              <w:right w:val="nil"/>
                            </w:tcBorders>
                            <w:hideMark/>
                          </w:tcPr>
                          <w:p w14:paraId="5AAC6E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412B91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7D541A0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E78250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230B83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2218AEF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4EC80E61" w14:textId="77777777" w:rsidTr="006B53E7">
                        <w:trPr>
                          <w:trHeight w:val="204"/>
                        </w:trPr>
                        <w:tc>
                          <w:tcPr>
                            <w:tcW w:w="1583" w:type="pct"/>
                            <w:tcBorders>
                              <w:top w:val="nil"/>
                              <w:left w:val="nil"/>
                              <w:bottom w:val="nil"/>
                              <w:right w:val="nil"/>
                            </w:tcBorders>
                            <w:noWrap/>
                            <w:hideMark/>
                          </w:tcPr>
                          <w:p w14:paraId="2E0528D8"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Current Assets</w:t>
                            </w:r>
                          </w:p>
                        </w:tc>
                        <w:tc>
                          <w:tcPr>
                            <w:tcW w:w="557" w:type="pct"/>
                            <w:tcBorders>
                              <w:top w:val="single" w:sz="4" w:space="0" w:color="000000"/>
                              <w:left w:val="nil"/>
                              <w:bottom w:val="nil"/>
                              <w:right w:val="nil"/>
                            </w:tcBorders>
                            <w:hideMark/>
                          </w:tcPr>
                          <w:p w14:paraId="16FCA84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c>
                          <w:tcPr>
                            <w:tcW w:w="557" w:type="pct"/>
                            <w:tcBorders>
                              <w:top w:val="single" w:sz="4" w:space="0" w:color="000000"/>
                              <w:left w:val="nil"/>
                              <w:bottom w:val="nil"/>
                              <w:right w:val="nil"/>
                            </w:tcBorders>
                            <w:hideMark/>
                          </w:tcPr>
                          <w:p w14:paraId="75CFB1E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c>
                          <w:tcPr>
                            <w:tcW w:w="557" w:type="pct"/>
                            <w:tcBorders>
                              <w:top w:val="single" w:sz="4" w:space="0" w:color="000000"/>
                              <w:left w:val="nil"/>
                              <w:bottom w:val="nil"/>
                              <w:right w:val="nil"/>
                            </w:tcBorders>
                            <w:hideMark/>
                          </w:tcPr>
                          <w:p w14:paraId="3BE8170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4.4 </w:t>
                            </w:r>
                          </w:p>
                        </w:tc>
                        <w:tc>
                          <w:tcPr>
                            <w:tcW w:w="557" w:type="pct"/>
                            <w:tcBorders>
                              <w:top w:val="single" w:sz="4" w:space="0" w:color="000000"/>
                              <w:left w:val="nil"/>
                              <w:bottom w:val="nil"/>
                              <w:right w:val="nil"/>
                            </w:tcBorders>
                            <w:hideMark/>
                          </w:tcPr>
                          <w:p w14:paraId="51C7240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4.1 </w:t>
                            </w:r>
                          </w:p>
                        </w:tc>
                        <w:tc>
                          <w:tcPr>
                            <w:tcW w:w="557" w:type="pct"/>
                            <w:tcBorders>
                              <w:top w:val="single" w:sz="4" w:space="0" w:color="000000"/>
                              <w:left w:val="nil"/>
                              <w:bottom w:val="nil"/>
                              <w:right w:val="nil"/>
                            </w:tcBorders>
                            <w:hideMark/>
                          </w:tcPr>
                          <w:p w14:paraId="5FBF0AB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4.2 </w:t>
                            </w:r>
                          </w:p>
                        </w:tc>
                        <w:tc>
                          <w:tcPr>
                            <w:tcW w:w="633" w:type="pct"/>
                            <w:tcBorders>
                              <w:top w:val="single" w:sz="4" w:space="0" w:color="000000"/>
                              <w:left w:val="nil"/>
                              <w:bottom w:val="nil"/>
                              <w:right w:val="nil"/>
                            </w:tcBorders>
                            <w:hideMark/>
                          </w:tcPr>
                          <w:p w14:paraId="3F0C1D2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3.2 </w:t>
                            </w:r>
                          </w:p>
                        </w:tc>
                      </w:tr>
                      <w:tr w:rsidR="006B53E7" w:rsidRPr="006B53E7" w14:paraId="5D4F5A2B" w14:textId="77777777" w:rsidTr="006B53E7">
                        <w:trPr>
                          <w:trHeight w:val="204"/>
                        </w:trPr>
                        <w:tc>
                          <w:tcPr>
                            <w:tcW w:w="1583" w:type="pct"/>
                            <w:tcBorders>
                              <w:top w:val="nil"/>
                              <w:left w:val="nil"/>
                              <w:bottom w:val="nil"/>
                              <w:right w:val="nil"/>
                            </w:tcBorders>
                            <w:noWrap/>
                            <w:hideMark/>
                          </w:tcPr>
                          <w:p w14:paraId="6BDC809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Gross Property, Plant &amp; Equipment</w:t>
                            </w:r>
                          </w:p>
                        </w:tc>
                        <w:tc>
                          <w:tcPr>
                            <w:tcW w:w="557" w:type="pct"/>
                            <w:tcBorders>
                              <w:top w:val="nil"/>
                              <w:left w:val="nil"/>
                              <w:bottom w:val="nil"/>
                              <w:right w:val="nil"/>
                            </w:tcBorders>
                            <w:hideMark/>
                          </w:tcPr>
                          <w:p w14:paraId="053D39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1.2 </w:t>
                            </w:r>
                          </w:p>
                        </w:tc>
                        <w:tc>
                          <w:tcPr>
                            <w:tcW w:w="557" w:type="pct"/>
                            <w:tcBorders>
                              <w:top w:val="nil"/>
                              <w:left w:val="nil"/>
                              <w:bottom w:val="nil"/>
                              <w:right w:val="nil"/>
                            </w:tcBorders>
                            <w:hideMark/>
                          </w:tcPr>
                          <w:p w14:paraId="18C0BEC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1.0 </w:t>
                            </w:r>
                          </w:p>
                        </w:tc>
                        <w:tc>
                          <w:tcPr>
                            <w:tcW w:w="557" w:type="pct"/>
                            <w:tcBorders>
                              <w:top w:val="nil"/>
                              <w:left w:val="nil"/>
                              <w:bottom w:val="nil"/>
                              <w:right w:val="nil"/>
                            </w:tcBorders>
                            <w:hideMark/>
                          </w:tcPr>
                          <w:p w14:paraId="35644D0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1.3 </w:t>
                            </w:r>
                          </w:p>
                        </w:tc>
                        <w:tc>
                          <w:tcPr>
                            <w:tcW w:w="557" w:type="pct"/>
                            <w:tcBorders>
                              <w:top w:val="nil"/>
                              <w:left w:val="nil"/>
                              <w:bottom w:val="nil"/>
                              <w:right w:val="nil"/>
                            </w:tcBorders>
                            <w:hideMark/>
                          </w:tcPr>
                          <w:p w14:paraId="63EB28B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4F857F9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633" w:type="pct"/>
                            <w:tcBorders>
                              <w:top w:val="nil"/>
                              <w:left w:val="nil"/>
                              <w:bottom w:val="nil"/>
                              <w:right w:val="nil"/>
                            </w:tcBorders>
                            <w:hideMark/>
                          </w:tcPr>
                          <w:p w14:paraId="4F7BD96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2C3E5717" w14:textId="77777777" w:rsidTr="006B53E7">
                        <w:trPr>
                          <w:trHeight w:val="204"/>
                        </w:trPr>
                        <w:tc>
                          <w:tcPr>
                            <w:tcW w:w="1583" w:type="pct"/>
                            <w:tcBorders>
                              <w:top w:val="nil"/>
                              <w:left w:val="nil"/>
                              <w:bottom w:val="nil"/>
                              <w:right w:val="nil"/>
                            </w:tcBorders>
                            <w:noWrap/>
                            <w:hideMark/>
                          </w:tcPr>
                          <w:p w14:paraId="48430E1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Accumulated Depreciation</w:t>
                            </w:r>
                          </w:p>
                        </w:tc>
                        <w:tc>
                          <w:tcPr>
                            <w:tcW w:w="557" w:type="pct"/>
                            <w:tcBorders>
                              <w:top w:val="nil"/>
                              <w:left w:val="nil"/>
                              <w:bottom w:val="nil"/>
                              <w:right w:val="nil"/>
                            </w:tcBorders>
                            <w:hideMark/>
                          </w:tcPr>
                          <w:p w14:paraId="4F808CD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1A7804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1EFEBE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C3A79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7A65487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633" w:type="pct"/>
                            <w:tcBorders>
                              <w:top w:val="nil"/>
                              <w:left w:val="nil"/>
                              <w:bottom w:val="nil"/>
                              <w:right w:val="nil"/>
                            </w:tcBorders>
                            <w:hideMark/>
                          </w:tcPr>
                          <w:p w14:paraId="1A9A4B1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4610A11B" w14:textId="77777777" w:rsidTr="006B53E7">
                        <w:trPr>
                          <w:trHeight w:val="204"/>
                        </w:trPr>
                        <w:tc>
                          <w:tcPr>
                            <w:tcW w:w="1583" w:type="pct"/>
                            <w:tcBorders>
                              <w:top w:val="nil"/>
                              <w:left w:val="nil"/>
                              <w:bottom w:val="nil"/>
                              <w:right w:val="nil"/>
                            </w:tcBorders>
                            <w:noWrap/>
                            <w:hideMark/>
                          </w:tcPr>
                          <w:p w14:paraId="6E9FE29F"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Net Property, Plant &amp; Equipment</w:t>
                            </w:r>
                          </w:p>
                        </w:tc>
                        <w:tc>
                          <w:tcPr>
                            <w:tcW w:w="557" w:type="pct"/>
                            <w:tcBorders>
                              <w:top w:val="single" w:sz="4" w:space="0" w:color="000000"/>
                              <w:left w:val="nil"/>
                              <w:bottom w:val="nil"/>
                              <w:right w:val="nil"/>
                            </w:tcBorders>
                            <w:hideMark/>
                          </w:tcPr>
                          <w:p w14:paraId="06C5E2B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0.8 </w:t>
                            </w:r>
                          </w:p>
                        </w:tc>
                        <w:tc>
                          <w:tcPr>
                            <w:tcW w:w="557" w:type="pct"/>
                            <w:tcBorders>
                              <w:top w:val="single" w:sz="4" w:space="0" w:color="000000"/>
                              <w:left w:val="nil"/>
                              <w:bottom w:val="nil"/>
                              <w:right w:val="nil"/>
                            </w:tcBorders>
                            <w:hideMark/>
                          </w:tcPr>
                          <w:p w14:paraId="7097C1E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0.7 </w:t>
                            </w:r>
                          </w:p>
                        </w:tc>
                        <w:tc>
                          <w:tcPr>
                            <w:tcW w:w="557" w:type="pct"/>
                            <w:tcBorders>
                              <w:top w:val="single" w:sz="4" w:space="0" w:color="000000"/>
                              <w:left w:val="nil"/>
                              <w:bottom w:val="nil"/>
                              <w:right w:val="nil"/>
                            </w:tcBorders>
                            <w:hideMark/>
                          </w:tcPr>
                          <w:p w14:paraId="08F5931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501844E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1.0 </w:t>
                            </w:r>
                          </w:p>
                        </w:tc>
                        <w:tc>
                          <w:tcPr>
                            <w:tcW w:w="557" w:type="pct"/>
                            <w:tcBorders>
                              <w:top w:val="single" w:sz="4" w:space="0" w:color="000000"/>
                              <w:left w:val="nil"/>
                              <w:bottom w:val="nil"/>
                              <w:right w:val="nil"/>
                            </w:tcBorders>
                            <w:hideMark/>
                          </w:tcPr>
                          <w:p w14:paraId="4E18153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1.1 </w:t>
                            </w:r>
                          </w:p>
                        </w:tc>
                        <w:tc>
                          <w:tcPr>
                            <w:tcW w:w="633" w:type="pct"/>
                            <w:tcBorders>
                              <w:top w:val="single" w:sz="4" w:space="0" w:color="000000"/>
                              <w:left w:val="nil"/>
                              <w:bottom w:val="nil"/>
                              <w:right w:val="nil"/>
                            </w:tcBorders>
                            <w:hideMark/>
                          </w:tcPr>
                          <w:p w14:paraId="0CF24A1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0.8 </w:t>
                            </w:r>
                          </w:p>
                        </w:tc>
                      </w:tr>
                      <w:tr w:rsidR="006B53E7" w:rsidRPr="006B53E7" w14:paraId="67E6BCA2" w14:textId="77777777" w:rsidTr="006B53E7">
                        <w:trPr>
                          <w:trHeight w:val="204"/>
                        </w:trPr>
                        <w:tc>
                          <w:tcPr>
                            <w:tcW w:w="1583" w:type="pct"/>
                            <w:tcBorders>
                              <w:top w:val="nil"/>
                              <w:left w:val="nil"/>
                              <w:bottom w:val="nil"/>
                              <w:right w:val="nil"/>
                            </w:tcBorders>
                            <w:noWrap/>
                            <w:hideMark/>
                          </w:tcPr>
                          <w:p w14:paraId="0701595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Investments</w:t>
                            </w:r>
                          </w:p>
                        </w:tc>
                        <w:tc>
                          <w:tcPr>
                            <w:tcW w:w="557" w:type="pct"/>
                            <w:tcBorders>
                              <w:top w:val="nil"/>
                              <w:left w:val="nil"/>
                              <w:bottom w:val="nil"/>
                              <w:right w:val="nil"/>
                            </w:tcBorders>
                            <w:hideMark/>
                          </w:tcPr>
                          <w:p w14:paraId="59CDDC0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97E44C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C20FFB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8FE50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F61C84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654D774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22D168C6" w14:textId="77777777" w:rsidTr="006B53E7">
                        <w:trPr>
                          <w:trHeight w:val="204"/>
                        </w:trPr>
                        <w:tc>
                          <w:tcPr>
                            <w:tcW w:w="1583" w:type="pct"/>
                            <w:tcBorders>
                              <w:top w:val="nil"/>
                              <w:left w:val="nil"/>
                              <w:bottom w:val="nil"/>
                              <w:right w:val="nil"/>
                            </w:tcBorders>
                            <w:noWrap/>
                            <w:hideMark/>
                          </w:tcPr>
                          <w:p w14:paraId="19DF6FC4"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Goodwill</w:t>
                            </w:r>
                          </w:p>
                        </w:tc>
                        <w:tc>
                          <w:tcPr>
                            <w:tcW w:w="557" w:type="pct"/>
                            <w:tcBorders>
                              <w:top w:val="nil"/>
                              <w:left w:val="nil"/>
                              <w:bottom w:val="nil"/>
                              <w:right w:val="nil"/>
                            </w:tcBorders>
                            <w:hideMark/>
                          </w:tcPr>
                          <w:p w14:paraId="2BCF6EA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4FD5865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4D907B5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3AD9C05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EB4480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53C3BD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1FEB0C07" w14:textId="77777777" w:rsidTr="006B53E7">
                        <w:trPr>
                          <w:trHeight w:val="204"/>
                        </w:trPr>
                        <w:tc>
                          <w:tcPr>
                            <w:tcW w:w="1583" w:type="pct"/>
                            <w:tcBorders>
                              <w:top w:val="nil"/>
                              <w:left w:val="nil"/>
                              <w:bottom w:val="nil"/>
                              <w:right w:val="nil"/>
                            </w:tcBorders>
                            <w:noWrap/>
                            <w:hideMark/>
                          </w:tcPr>
                          <w:p w14:paraId="56AD458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Intangibles</w:t>
                            </w:r>
                          </w:p>
                        </w:tc>
                        <w:tc>
                          <w:tcPr>
                            <w:tcW w:w="557" w:type="pct"/>
                            <w:tcBorders>
                              <w:top w:val="nil"/>
                              <w:left w:val="nil"/>
                              <w:bottom w:val="nil"/>
                              <w:right w:val="nil"/>
                            </w:tcBorders>
                            <w:hideMark/>
                          </w:tcPr>
                          <w:p w14:paraId="50511E7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30A8D9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56E6322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581E84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25DEE0A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25E1F7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r>
                      <w:tr w:rsidR="006B53E7" w:rsidRPr="006B53E7" w14:paraId="6E5264D1" w14:textId="77777777" w:rsidTr="006B53E7">
                        <w:trPr>
                          <w:trHeight w:val="204"/>
                        </w:trPr>
                        <w:tc>
                          <w:tcPr>
                            <w:tcW w:w="1583" w:type="pct"/>
                            <w:tcBorders>
                              <w:top w:val="nil"/>
                              <w:left w:val="nil"/>
                              <w:bottom w:val="nil"/>
                              <w:right w:val="nil"/>
                            </w:tcBorders>
                            <w:noWrap/>
                            <w:hideMark/>
                          </w:tcPr>
                          <w:p w14:paraId="173927B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Receivable Long-Term</w:t>
                            </w:r>
                          </w:p>
                        </w:tc>
                        <w:tc>
                          <w:tcPr>
                            <w:tcW w:w="557" w:type="pct"/>
                            <w:tcBorders>
                              <w:top w:val="nil"/>
                              <w:left w:val="nil"/>
                              <w:bottom w:val="nil"/>
                              <w:right w:val="nil"/>
                            </w:tcBorders>
                            <w:hideMark/>
                          </w:tcPr>
                          <w:p w14:paraId="06B529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6EFEC4B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ECE8F5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155D6F5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C85570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268ECD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0AFCB34B" w14:textId="77777777" w:rsidTr="006B53E7">
                        <w:trPr>
                          <w:trHeight w:val="204"/>
                        </w:trPr>
                        <w:tc>
                          <w:tcPr>
                            <w:tcW w:w="1583" w:type="pct"/>
                            <w:tcBorders>
                              <w:top w:val="nil"/>
                              <w:left w:val="nil"/>
                              <w:bottom w:val="nil"/>
                              <w:right w:val="nil"/>
                            </w:tcBorders>
                            <w:noWrap/>
                            <w:hideMark/>
                          </w:tcPr>
                          <w:p w14:paraId="69F2A40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Deferred Tax Assets, LT</w:t>
                            </w:r>
                          </w:p>
                        </w:tc>
                        <w:tc>
                          <w:tcPr>
                            <w:tcW w:w="557" w:type="pct"/>
                            <w:tcBorders>
                              <w:top w:val="nil"/>
                              <w:left w:val="nil"/>
                              <w:bottom w:val="nil"/>
                              <w:right w:val="nil"/>
                            </w:tcBorders>
                            <w:hideMark/>
                          </w:tcPr>
                          <w:p w14:paraId="1C8B95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1EDA4B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4D4E67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7699F88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0BDF838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18C6502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4CEE4420" w14:textId="77777777" w:rsidTr="006B53E7">
                        <w:trPr>
                          <w:trHeight w:val="204"/>
                        </w:trPr>
                        <w:tc>
                          <w:tcPr>
                            <w:tcW w:w="1583" w:type="pct"/>
                            <w:tcBorders>
                              <w:top w:val="nil"/>
                              <w:left w:val="nil"/>
                              <w:bottom w:val="nil"/>
                              <w:right w:val="nil"/>
                            </w:tcBorders>
                            <w:noWrap/>
                            <w:hideMark/>
                          </w:tcPr>
                          <w:p w14:paraId="1B770BA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Long-Term Assets</w:t>
                            </w:r>
                          </w:p>
                        </w:tc>
                        <w:tc>
                          <w:tcPr>
                            <w:tcW w:w="557" w:type="pct"/>
                            <w:tcBorders>
                              <w:top w:val="nil"/>
                              <w:left w:val="nil"/>
                              <w:bottom w:val="nil"/>
                              <w:right w:val="nil"/>
                            </w:tcBorders>
                            <w:hideMark/>
                          </w:tcPr>
                          <w:p w14:paraId="4106E37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4051A90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7CEF02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78DFC3E2"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3B6AAC6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633" w:type="pct"/>
                            <w:tcBorders>
                              <w:top w:val="nil"/>
                              <w:left w:val="nil"/>
                              <w:bottom w:val="nil"/>
                              <w:right w:val="nil"/>
                            </w:tcBorders>
                            <w:hideMark/>
                          </w:tcPr>
                          <w:p w14:paraId="0664326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34F2522C" w14:textId="77777777" w:rsidTr="006B53E7">
                        <w:trPr>
                          <w:trHeight w:val="204"/>
                        </w:trPr>
                        <w:tc>
                          <w:tcPr>
                            <w:tcW w:w="1583" w:type="pct"/>
                            <w:tcBorders>
                              <w:top w:val="nil"/>
                              <w:left w:val="nil"/>
                              <w:bottom w:val="nil"/>
                              <w:right w:val="nil"/>
                            </w:tcBorders>
                            <w:noWrap/>
                            <w:hideMark/>
                          </w:tcPr>
                          <w:p w14:paraId="6BB86DF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Assets</w:t>
                            </w:r>
                          </w:p>
                        </w:tc>
                        <w:tc>
                          <w:tcPr>
                            <w:tcW w:w="557" w:type="pct"/>
                            <w:tcBorders>
                              <w:top w:val="single" w:sz="4" w:space="0" w:color="000000"/>
                              <w:left w:val="nil"/>
                              <w:bottom w:val="nil"/>
                              <w:right w:val="nil"/>
                            </w:tcBorders>
                            <w:hideMark/>
                          </w:tcPr>
                          <w:p w14:paraId="1D609878"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4.9 </w:t>
                            </w:r>
                          </w:p>
                        </w:tc>
                        <w:tc>
                          <w:tcPr>
                            <w:tcW w:w="557" w:type="pct"/>
                            <w:tcBorders>
                              <w:top w:val="single" w:sz="4" w:space="0" w:color="000000"/>
                              <w:left w:val="nil"/>
                              <w:bottom w:val="nil"/>
                              <w:right w:val="nil"/>
                            </w:tcBorders>
                            <w:hideMark/>
                          </w:tcPr>
                          <w:p w14:paraId="1DC5FC5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4.7 </w:t>
                            </w:r>
                          </w:p>
                        </w:tc>
                        <w:tc>
                          <w:tcPr>
                            <w:tcW w:w="557" w:type="pct"/>
                            <w:tcBorders>
                              <w:top w:val="single" w:sz="4" w:space="0" w:color="000000"/>
                              <w:left w:val="nil"/>
                              <w:bottom w:val="nil"/>
                              <w:right w:val="nil"/>
                            </w:tcBorders>
                            <w:hideMark/>
                          </w:tcPr>
                          <w:p w14:paraId="4F6ECA7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6.9 </w:t>
                            </w:r>
                          </w:p>
                        </w:tc>
                        <w:tc>
                          <w:tcPr>
                            <w:tcW w:w="557" w:type="pct"/>
                            <w:tcBorders>
                              <w:top w:val="single" w:sz="4" w:space="0" w:color="000000"/>
                              <w:left w:val="nil"/>
                              <w:bottom w:val="nil"/>
                              <w:right w:val="nil"/>
                            </w:tcBorders>
                            <w:hideMark/>
                          </w:tcPr>
                          <w:p w14:paraId="685ABCF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7.1 </w:t>
                            </w:r>
                          </w:p>
                        </w:tc>
                        <w:tc>
                          <w:tcPr>
                            <w:tcW w:w="557" w:type="pct"/>
                            <w:tcBorders>
                              <w:top w:val="single" w:sz="4" w:space="0" w:color="000000"/>
                              <w:left w:val="nil"/>
                              <w:bottom w:val="nil"/>
                              <w:right w:val="nil"/>
                            </w:tcBorders>
                            <w:hideMark/>
                          </w:tcPr>
                          <w:p w14:paraId="7C0FC88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7.7 </w:t>
                            </w:r>
                          </w:p>
                        </w:tc>
                        <w:tc>
                          <w:tcPr>
                            <w:tcW w:w="633" w:type="pct"/>
                            <w:tcBorders>
                              <w:top w:val="single" w:sz="4" w:space="0" w:color="000000"/>
                              <w:left w:val="nil"/>
                              <w:bottom w:val="nil"/>
                              <w:right w:val="nil"/>
                            </w:tcBorders>
                            <w:hideMark/>
                          </w:tcPr>
                          <w:p w14:paraId="048D1F3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6.0 </w:t>
                            </w:r>
                          </w:p>
                        </w:tc>
                      </w:tr>
                      <w:tr w:rsidR="006B53E7" w:rsidRPr="006B53E7" w14:paraId="6F079490" w14:textId="77777777" w:rsidTr="006B53E7">
                        <w:trPr>
                          <w:trHeight w:val="204"/>
                        </w:trPr>
                        <w:tc>
                          <w:tcPr>
                            <w:tcW w:w="1583" w:type="pct"/>
                            <w:tcBorders>
                              <w:top w:val="nil"/>
                              <w:left w:val="nil"/>
                              <w:bottom w:val="nil"/>
                              <w:right w:val="nil"/>
                            </w:tcBorders>
                            <w:noWrap/>
                            <w:hideMark/>
                          </w:tcPr>
                          <w:p w14:paraId="4F4744BD"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LIABILITIES</w:t>
                            </w:r>
                          </w:p>
                        </w:tc>
                        <w:tc>
                          <w:tcPr>
                            <w:tcW w:w="557" w:type="pct"/>
                            <w:tcBorders>
                              <w:top w:val="nil"/>
                              <w:left w:val="nil"/>
                              <w:bottom w:val="nil"/>
                              <w:right w:val="nil"/>
                            </w:tcBorders>
                            <w:noWrap/>
                            <w:hideMark/>
                          </w:tcPr>
                          <w:p w14:paraId="7C24EFEE"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p>
                        </w:tc>
                        <w:tc>
                          <w:tcPr>
                            <w:tcW w:w="557" w:type="pct"/>
                            <w:tcBorders>
                              <w:top w:val="nil"/>
                              <w:left w:val="nil"/>
                              <w:bottom w:val="nil"/>
                              <w:right w:val="nil"/>
                            </w:tcBorders>
                            <w:noWrap/>
                            <w:hideMark/>
                          </w:tcPr>
                          <w:p w14:paraId="30158588"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44B086DA"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433227DF"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557" w:type="pct"/>
                            <w:tcBorders>
                              <w:top w:val="nil"/>
                              <w:left w:val="nil"/>
                              <w:bottom w:val="nil"/>
                              <w:right w:val="nil"/>
                            </w:tcBorders>
                            <w:noWrap/>
                            <w:hideMark/>
                          </w:tcPr>
                          <w:p w14:paraId="76306535"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c>
                          <w:tcPr>
                            <w:tcW w:w="633" w:type="pct"/>
                            <w:tcBorders>
                              <w:top w:val="nil"/>
                              <w:left w:val="nil"/>
                              <w:bottom w:val="nil"/>
                              <w:right w:val="nil"/>
                            </w:tcBorders>
                            <w:noWrap/>
                            <w:hideMark/>
                          </w:tcPr>
                          <w:p w14:paraId="39A7A23B" w14:textId="77777777" w:rsidR="006B53E7" w:rsidRPr="006B53E7" w:rsidRDefault="006B53E7" w:rsidP="006B53E7">
                            <w:pPr>
                              <w:spacing w:after="0" w:line="240" w:lineRule="auto"/>
                              <w:rPr>
                                <w:rFonts w:ascii="Cambria" w:eastAsia="Times New Roman" w:hAnsi="Cambria" w:cs="Times New Roman"/>
                                <w:kern w:val="0"/>
                                <w:sz w:val="14"/>
                                <w:szCs w:val="14"/>
                                <w:lang w:eastAsia="en-IN"/>
                                <w14:ligatures w14:val="none"/>
                              </w:rPr>
                            </w:pPr>
                          </w:p>
                        </w:tc>
                      </w:tr>
                      <w:tr w:rsidR="006B53E7" w:rsidRPr="006B53E7" w14:paraId="47CB3AD6" w14:textId="77777777" w:rsidTr="006B53E7">
                        <w:trPr>
                          <w:trHeight w:val="204"/>
                        </w:trPr>
                        <w:tc>
                          <w:tcPr>
                            <w:tcW w:w="1583" w:type="pct"/>
                            <w:tcBorders>
                              <w:top w:val="nil"/>
                              <w:left w:val="nil"/>
                              <w:bottom w:val="nil"/>
                              <w:right w:val="nil"/>
                            </w:tcBorders>
                            <w:noWrap/>
                            <w:hideMark/>
                          </w:tcPr>
                          <w:p w14:paraId="10DB3E1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Accounts Payable</w:t>
                            </w:r>
                          </w:p>
                        </w:tc>
                        <w:tc>
                          <w:tcPr>
                            <w:tcW w:w="557" w:type="pct"/>
                            <w:tcBorders>
                              <w:top w:val="nil"/>
                              <w:left w:val="nil"/>
                              <w:bottom w:val="nil"/>
                              <w:right w:val="nil"/>
                            </w:tcBorders>
                            <w:hideMark/>
                          </w:tcPr>
                          <w:p w14:paraId="45E8DF6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11D03CD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1.6 </w:t>
                            </w:r>
                          </w:p>
                        </w:tc>
                        <w:tc>
                          <w:tcPr>
                            <w:tcW w:w="557" w:type="pct"/>
                            <w:tcBorders>
                              <w:top w:val="nil"/>
                              <w:left w:val="nil"/>
                              <w:bottom w:val="nil"/>
                              <w:right w:val="nil"/>
                            </w:tcBorders>
                            <w:hideMark/>
                          </w:tcPr>
                          <w:p w14:paraId="7CBB526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3954559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1.8 </w:t>
                            </w:r>
                          </w:p>
                        </w:tc>
                        <w:tc>
                          <w:tcPr>
                            <w:tcW w:w="557" w:type="pct"/>
                            <w:tcBorders>
                              <w:top w:val="nil"/>
                              <w:left w:val="nil"/>
                              <w:bottom w:val="nil"/>
                              <w:right w:val="nil"/>
                            </w:tcBorders>
                            <w:hideMark/>
                          </w:tcPr>
                          <w:p w14:paraId="736543F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1.9 </w:t>
                            </w:r>
                          </w:p>
                        </w:tc>
                        <w:tc>
                          <w:tcPr>
                            <w:tcW w:w="633" w:type="pct"/>
                            <w:tcBorders>
                              <w:top w:val="nil"/>
                              <w:left w:val="nil"/>
                              <w:bottom w:val="nil"/>
                              <w:right w:val="nil"/>
                            </w:tcBorders>
                            <w:hideMark/>
                          </w:tcPr>
                          <w:p w14:paraId="0EED7C6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1.7 </w:t>
                            </w:r>
                          </w:p>
                        </w:tc>
                      </w:tr>
                      <w:tr w:rsidR="006B53E7" w:rsidRPr="006B53E7" w14:paraId="62974B42" w14:textId="77777777" w:rsidTr="006B53E7">
                        <w:trPr>
                          <w:trHeight w:val="204"/>
                        </w:trPr>
                        <w:tc>
                          <w:tcPr>
                            <w:tcW w:w="1583" w:type="pct"/>
                            <w:tcBorders>
                              <w:top w:val="nil"/>
                              <w:left w:val="nil"/>
                              <w:bottom w:val="nil"/>
                              <w:right w:val="nil"/>
                            </w:tcBorders>
                            <w:noWrap/>
                            <w:hideMark/>
                          </w:tcPr>
                          <w:p w14:paraId="5A9D0A65"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Accrued Exp.</w:t>
                            </w:r>
                          </w:p>
                        </w:tc>
                        <w:tc>
                          <w:tcPr>
                            <w:tcW w:w="557" w:type="pct"/>
                            <w:tcBorders>
                              <w:top w:val="nil"/>
                              <w:left w:val="nil"/>
                              <w:bottom w:val="nil"/>
                              <w:right w:val="nil"/>
                            </w:tcBorders>
                            <w:hideMark/>
                          </w:tcPr>
                          <w:p w14:paraId="55A498A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682632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3232A2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716247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780D51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447BF5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08AE3ECC" w14:textId="77777777" w:rsidTr="006B53E7">
                        <w:trPr>
                          <w:trHeight w:val="204"/>
                        </w:trPr>
                        <w:tc>
                          <w:tcPr>
                            <w:tcW w:w="1583" w:type="pct"/>
                            <w:tcBorders>
                              <w:top w:val="nil"/>
                              <w:left w:val="nil"/>
                              <w:bottom w:val="nil"/>
                              <w:right w:val="nil"/>
                            </w:tcBorders>
                            <w:noWrap/>
                            <w:hideMark/>
                          </w:tcPr>
                          <w:p w14:paraId="612F16F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Short-term Borrowings</w:t>
                            </w:r>
                          </w:p>
                        </w:tc>
                        <w:tc>
                          <w:tcPr>
                            <w:tcW w:w="557" w:type="pct"/>
                            <w:tcBorders>
                              <w:top w:val="nil"/>
                              <w:left w:val="nil"/>
                              <w:bottom w:val="nil"/>
                              <w:right w:val="nil"/>
                            </w:tcBorders>
                            <w:hideMark/>
                          </w:tcPr>
                          <w:p w14:paraId="6690E27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5F4CB5D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1CE7CA7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34E681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71FCB4D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633" w:type="pct"/>
                            <w:tcBorders>
                              <w:top w:val="nil"/>
                              <w:left w:val="nil"/>
                              <w:bottom w:val="nil"/>
                              <w:right w:val="nil"/>
                            </w:tcBorders>
                            <w:hideMark/>
                          </w:tcPr>
                          <w:p w14:paraId="06B27E9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3DB0F03F" w14:textId="77777777" w:rsidTr="006B53E7">
                        <w:trPr>
                          <w:trHeight w:val="204"/>
                        </w:trPr>
                        <w:tc>
                          <w:tcPr>
                            <w:tcW w:w="1583" w:type="pct"/>
                            <w:tcBorders>
                              <w:top w:val="nil"/>
                              <w:left w:val="nil"/>
                              <w:bottom w:val="nil"/>
                              <w:right w:val="nil"/>
                            </w:tcBorders>
                            <w:noWrap/>
                            <w:hideMark/>
                          </w:tcPr>
                          <w:p w14:paraId="1FABBB7A"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Port. of LT Debt</w:t>
                            </w:r>
                          </w:p>
                        </w:tc>
                        <w:tc>
                          <w:tcPr>
                            <w:tcW w:w="557" w:type="pct"/>
                            <w:tcBorders>
                              <w:top w:val="nil"/>
                              <w:left w:val="nil"/>
                              <w:bottom w:val="nil"/>
                              <w:right w:val="nil"/>
                            </w:tcBorders>
                            <w:hideMark/>
                          </w:tcPr>
                          <w:p w14:paraId="1A4406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ECC352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3B2009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5729FDD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0FB65F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478468B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6280171E" w14:textId="77777777" w:rsidTr="006B53E7">
                        <w:trPr>
                          <w:trHeight w:val="204"/>
                        </w:trPr>
                        <w:tc>
                          <w:tcPr>
                            <w:tcW w:w="1583" w:type="pct"/>
                            <w:tcBorders>
                              <w:top w:val="nil"/>
                              <w:left w:val="nil"/>
                              <w:bottom w:val="nil"/>
                              <w:right w:val="nil"/>
                            </w:tcBorders>
                            <w:noWrap/>
                            <w:hideMark/>
                          </w:tcPr>
                          <w:p w14:paraId="47FD6AB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Port. of Leases</w:t>
                            </w:r>
                          </w:p>
                        </w:tc>
                        <w:tc>
                          <w:tcPr>
                            <w:tcW w:w="557" w:type="pct"/>
                            <w:tcBorders>
                              <w:top w:val="nil"/>
                              <w:left w:val="nil"/>
                              <w:bottom w:val="nil"/>
                              <w:right w:val="nil"/>
                            </w:tcBorders>
                            <w:hideMark/>
                          </w:tcPr>
                          <w:p w14:paraId="5FF2DEE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35EB6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6384E5D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C724D9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8173D3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3E94835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4DF1F161" w14:textId="77777777" w:rsidTr="006B53E7">
                        <w:trPr>
                          <w:trHeight w:val="204"/>
                        </w:trPr>
                        <w:tc>
                          <w:tcPr>
                            <w:tcW w:w="1583" w:type="pct"/>
                            <w:tcBorders>
                              <w:top w:val="nil"/>
                              <w:left w:val="nil"/>
                              <w:bottom w:val="nil"/>
                              <w:right w:val="nil"/>
                            </w:tcBorders>
                            <w:noWrap/>
                            <w:hideMark/>
                          </w:tcPr>
                          <w:p w14:paraId="6703CAAA"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Curr. Income Taxes Payable</w:t>
                            </w:r>
                          </w:p>
                        </w:tc>
                        <w:tc>
                          <w:tcPr>
                            <w:tcW w:w="557" w:type="pct"/>
                            <w:tcBorders>
                              <w:top w:val="nil"/>
                              <w:left w:val="nil"/>
                              <w:bottom w:val="nil"/>
                              <w:right w:val="nil"/>
                            </w:tcBorders>
                            <w:hideMark/>
                          </w:tcPr>
                          <w:p w14:paraId="1782C3C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0E9CC7D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FAA44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20C85E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57A205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5937D4F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7D03896" w14:textId="77777777" w:rsidTr="006B53E7">
                        <w:trPr>
                          <w:trHeight w:val="204"/>
                        </w:trPr>
                        <w:tc>
                          <w:tcPr>
                            <w:tcW w:w="1583" w:type="pct"/>
                            <w:tcBorders>
                              <w:top w:val="nil"/>
                              <w:left w:val="nil"/>
                              <w:bottom w:val="nil"/>
                              <w:right w:val="nil"/>
                            </w:tcBorders>
                            <w:noWrap/>
                            <w:hideMark/>
                          </w:tcPr>
                          <w:p w14:paraId="55C5F46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Unearned Revenue, Current</w:t>
                            </w:r>
                          </w:p>
                        </w:tc>
                        <w:tc>
                          <w:tcPr>
                            <w:tcW w:w="557" w:type="pct"/>
                            <w:tcBorders>
                              <w:top w:val="nil"/>
                              <w:left w:val="nil"/>
                              <w:bottom w:val="nil"/>
                              <w:right w:val="nil"/>
                            </w:tcBorders>
                            <w:hideMark/>
                          </w:tcPr>
                          <w:p w14:paraId="263EB97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4F5CCE3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660B7C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3776266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4AAD101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C4F432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73B97A26" w14:textId="77777777" w:rsidTr="006B53E7">
                        <w:trPr>
                          <w:trHeight w:val="204"/>
                        </w:trPr>
                        <w:tc>
                          <w:tcPr>
                            <w:tcW w:w="1583" w:type="pct"/>
                            <w:tcBorders>
                              <w:top w:val="nil"/>
                              <w:left w:val="nil"/>
                              <w:bottom w:val="nil"/>
                              <w:right w:val="nil"/>
                            </w:tcBorders>
                            <w:noWrap/>
                            <w:hideMark/>
                          </w:tcPr>
                          <w:p w14:paraId="4A17B16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Current Liabilities</w:t>
                            </w:r>
                          </w:p>
                        </w:tc>
                        <w:tc>
                          <w:tcPr>
                            <w:tcW w:w="557" w:type="pct"/>
                            <w:tcBorders>
                              <w:top w:val="nil"/>
                              <w:left w:val="nil"/>
                              <w:bottom w:val="nil"/>
                              <w:right w:val="nil"/>
                            </w:tcBorders>
                            <w:hideMark/>
                          </w:tcPr>
                          <w:p w14:paraId="09FE81C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03C4BD2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2D9A4F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13D7683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0.7 </w:t>
                            </w:r>
                          </w:p>
                        </w:tc>
                        <w:tc>
                          <w:tcPr>
                            <w:tcW w:w="557" w:type="pct"/>
                            <w:tcBorders>
                              <w:top w:val="nil"/>
                              <w:left w:val="nil"/>
                              <w:bottom w:val="nil"/>
                              <w:right w:val="nil"/>
                            </w:tcBorders>
                            <w:hideMark/>
                          </w:tcPr>
                          <w:p w14:paraId="49C4B15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0.8 </w:t>
                            </w:r>
                          </w:p>
                        </w:tc>
                        <w:tc>
                          <w:tcPr>
                            <w:tcW w:w="633" w:type="pct"/>
                            <w:tcBorders>
                              <w:top w:val="nil"/>
                              <w:left w:val="nil"/>
                              <w:bottom w:val="nil"/>
                              <w:right w:val="nil"/>
                            </w:tcBorders>
                            <w:hideMark/>
                          </w:tcPr>
                          <w:p w14:paraId="19D3F70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r>
                      <w:tr w:rsidR="006B53E7" w:rsidRPr="006B53E7" w14:paraId="434A9854" w14:textId="77777777" w:rsidTr="006B53E7">
                        <w:trPr>
                          <w:trHeight w:val="204"/>
                        </w:trPr>
                        <w:tc>
                          <w:tcPr>
                            <w:tcW w:w="1583" w:type="pct"/>
                            <w:tcBorders>
                              <w:top w:val="nil"/>
                              <w:left w:val="nil"/>
                              <w:bottom w:val="nil"/>
                              <w:right w:val="nil"/>
                            </w:tcBorders>
                            <w:noWrap/>
                            <w:hideMark/>
                          </w:tcPr>
                          <w:p w14:paraId="2D8FE823"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Current Liabilities</w:t>
                            </w:r>
                          </w:p>
                        </w:tc>
                        <w:tc>
                          <w:tcPr>
                            <w:tcW w:w="557" w:type="pct"/>
                            <w:tcBorders>
                              <w:top w:val="single" w:sz="4" w:space="0" w:color="000000"/>
                              <w:left w:val="nil"/>
                              <w:bottom w:val="nil"/>
                              <w:right w:val="nil"/>
                            </w:tcBorders>
                            <w:hideMark/>
                          </w:tcPr>
                          <w:p w14:paraId="04C94296"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380C2CF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2.6 </w:t>
                            </w:r>
                          </w:p>
                        </w:tc>
                        <w:tc>
                          <w:tcPr>
                            <w:tcW w:w="557" w:type="pct"/>
                            <w:tcBorders>
                              <w:top w:val="single" w:sz="4" w:space="0" w:color="000000"/>
                              <w:left w:val="nil"/>
                              <w:bottom w:val="nil"/>
                              <w:right w:val="nil"/>
                            </w:tcBorders>
                            <w:hideMark/>
                          </w:tcPr>
                          <w:p w14:paraId="4626BE1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2.7 </w:t>
                            </w:r>
                          </w:p>
                        </w:tc>
                        <w:tc>
                          <w:tcPr>
                            <w:tcW w:w="557" w:type="pct"/>
                            <w:tcBorders>
                              <w:top w:val="single" w:sz="4" w:space="0" w:color="000000"/>
                              <w:left w:val="nil"/>
                              <w:bottom w:val="nil"/>
                              <w:right w:val="nil"/>
                            </w:tcBorders>
                            <w:hideMark/>
                          </w:tcPr>
                          <w:p w14:paraId="5757BD4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2.8 </w:t>
                            </w:r>
                          </w:p>
                        </w:tc>
                        <w:tc>
                          <w:tcPr>
                            <w:tcW w:w="557" w:type="pct"/>
                            <w:tcBorders>
                              <w:top w:val="single" w:sz="4" w:space="0" w:color="000000"/>
                              <w:left w:val="nil"/>
                              <w:bottom w:val="nil"/>
                              <w:right w:val="nil"/>
                            </w:tcBorders>
                            <w:hideMark/>
                          </w:tcPr>
                          <w:p w14:paraId="5C04C107"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3.6 </w:t>
                            </w:r>
                          </w:p>
                        </w:tc>
                        <w:tc>
                          <w:tcPr>
                            <w:tcW w:w="633" w:type="pct"/>
                            <w:tcBorders>
                              <w:top w:val="single" w:sz="4" w:space="0" w:color="000000"/>
                              <w:left w:val="nil"/>
                              <w:bottom w:val="nil"/>
                              <w:right w:val="nil"/>
                            </w:tcBorders>
                            <w:hideMark/>
                          </w:tcPr>
                          <w:p w14:paraId="3D6E15E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2.7 </w:t>
                            </w:r>
                          </w:p>
                        </w:tc>
                      </w:tr>
                      <w:tr w:rsidR="006B53E7" w:rsidRPr="006B53E7" w14:paraId="18A074F5" w14:textId="77777777" w:rsidTr="006B53E7">
                        <w:trPr>
                          <w:trHeight w:val="204"/>
                        </w:trPr>
                        <w:tc>
                          <w:tcPr>
                            <w:tcW w:w="1583" w:type="pct"/>
                            <w:tcBorders>
                              <w:top w:val="nil"/>
                              <w:left w:val="nil"/>
                              <w:bottom w:val="nil"/>
                              <w:right w:val="nil"/>
                            </w:tcBorders>
                            <w:noWrap/>
                            <w:hideMark/>
                          </w:tcPr>
                          <w:p w14:paraId="1FC2B9D1"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Debt</w:t>
                            </w:r>
                          </w:p>
                        </w:tc>
                        <w:tc>
                          <w:tcPr>
                            <w:tcW w:w="557" w:type="pct"/>
                            <w:tcBorders>
                              <w:top w:val="nil"/>
                              <w:left w:val="nil"/>
                              <w:bottom w:val="nil"/>
                              <w:right w:val="nil"/>
                            </w:tcBorders>
                            <w:hideMark/>
                          </w:tcPr>
                          <w:p w14:paraId="0C5F3E9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3CF14BD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FF79CA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294062F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1.3 </w:t>
                            </w:r>
                          </w:p>
                        </w:tc>
                        <w:tc>
                          <w:tcPr>
                            <w:tcW w:w="557" w:type="pct"/>
                            <w:tcBorders>
                              <w:top w:val="nil"/>
                              <w:left w:val="nil"/>
                              <w:bottom w:val="nil"/>
                              <w:right w:val="nil"/>
                            </w:tcBorders>
                            <w:hideMark/>
                          </w:tcPr>
                          <w:p w14:paraId="26218A7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0.9 </w:t>
                            </w:r>
                          </w:p>
                        </w:tc>
                        <w:tc>
                          <w:tcPr>
                            <w:tcW w:w="633" w:type="pct"/>
                            <w:tcBorders>
                              <w:top w:val="nil"/>
                              <w:left w:val="nil"/>
                              <w:bottom w:val="nil"/>
                              <w:right w:val="nil"/>
                            </w:tcBorders>
                            <w:hideMark/>
                          </w:tcPr>
                          <w:p w14:paraId="6FC94D1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03283632" w14:textId="77777777" w:rsidTr="006B53E7">
                        <w:trPr>
                          <w:trHeight w:val="204"/>
                        </w:trPr>
                        <w:tc>
                          <w:tcPr>
                            <w:tcW w:w="1583" w:type="pct"/>
                            <w:tcBorders>
                              <w:top w:val="nil"/>
                              <w:left w:val="nil"/>
                              <w:bottom w:val="nil"/>
                              <w:right w:val="nil"/>
                            </w:tcBorders>
                            <w:noWrap/>
                            <w:hideMark/>
                          </w:tcPr>
                          <w:p w14:paraId="5EB3949F"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Long-Term Leases</w:t>
                            </w:r>
                          </w:p>
                        </w:tc>
                        <w:tc>
                          <w:tcPr>
                            <w:tcW w:w="557" w:type="pct"/>
                            <w:tcBorders>
                              <w:top w:val="nil"/>
                              <w:left w:val="nil"/>
                              <w:bottom w:val="nil"/>
                              <w:right w:val="nil"/>
                            </w:tcBorders>
                            <w:hideMark/>
                          </w:tcPr>
                          <w:p w14:paraId="2A598BC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4853257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38D1CCA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557" w:type="pct"/>
                            <w:tcBorders>
                              <w:top w:val="nil"/>
                              <w:left w:val="nil"/>
                              <w:bottom w:val="nil"/>
                              <w:right w:val="nil"/>
                            </w:tcBorders>
                            <w:hideMark/>
                          </w:tcPr>
                          <w:p w14:paraId="63A41A5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557" w:type="pct"/>
                            <w:tcBorders>
                              <w:top w:val="nil"/>
                              <w:left w:val="nil"/>
                              <w:bottom w:val="nil"/>
                              <w:right w:val="nil"/>
                            </w:tcBorders>
                            <w:hideMark/>
                          </w:tcPr>
                          <w:p w14:paraId="29949F3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0.6 </w:t>
                            </w:r>
                          </w:p>
                        </w:tc>
                        <w:tc>
                          <w:tcPr>
                            <w:tcW w:w="633" w:type="pct"/>
                            <w:tcBorders>
                              <w:top w:val="nil"/>
                              <w:left w:val="nil"/>
                              <w:bottom w:val="nil"/>
                              <w:right w:val="nil"/>
                            </w:tcBorders>
                            <w:hideMark/>
                          </w:tcPr>
                          <w:p w14:paraId="45AC6EE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r>
                      <w:tr w:rsidR="006B53E7" w:rsidRPr="006B53E7" w14:paraId="3A3BECE7" w14:textId="77777777" w:rsidTr="006B53E7">
                        <w:trPr>
                          <w:trHeight w:val="204"/>
                        </w:trPr>
                        <w:tc>
                          <w:tcPr>
                            <w:tcW w:w="1583" w:type="pct"/>
                            <w:tcBorders>
                              <w:top w:val="nil"/>
                              <w:left w:val="nil"/>
                              <w:bottom w:val="nil"/>
                              <w:right w:val="nil"/>
                            </w:tcBorders>
                            <w:noWrap/>
                            <w:hideMark/>
                          </w:tcPr>
                          <w:p w14:paraId="38B3C334"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Unearned Revenue, Non-Current</w:t>
                            </w:r>
                          </w:p>
                        </w:tc>
                        <w:tc>
                          <w:tcPr>
                            <w:tcW w:w="557" w:type="pct"/>
                            <w:tcBorders>
                              <w:top w:val="nil"/>
                              <w:left w:val="nil"/>
                              <w:bottom w:val="nil"/>
                              <w:right w:val="nil"/>
                            </w:tcBorders>
                            <w:hideMark/>
                          </w:tcPr>
                          <w:p w14:paraId="63546DB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390215C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00AE07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5C5124C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2FFC6B9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01B93BE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r>
                      <w:tr w:rsidR="006B53E7" w:rsidRPr="006B53E7" w14:paraId="37809F46" w14:textId="77777777" w:rsidTr="006B53E7">
                        <w:trPr>
                          <w:trHeight w:val="204"/>
                        </w:trPr>
                        <w:tc>
                          <w:tcPr>
                            <w:tcW w:w="1583" w:type="pct"/>
                            <w:tcBorders>
                              <w:top w:val="nil"/>
                              <w:left w:val="nil"/>
                              <w:bottom w:val="nil"/>
                              <w:right w:val="nil"/>
                            </w:tcBorders>
                            <w:noWrap/>
                            <w:hideMark/>
                          </w:tcPr>
                          <w:p w14:paraId="27FC278C"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Def. Tax Liability, Non-Curr.</w:t>
                            </w:r>
                          </w:p>
                        </w:tc>
                        <w:tc>
                          <w:tcPr>
                            <w:tcW w:w="557" w:type="pct"/>
                            <w:tcBorders>
                              <w:top w:val="nil"/>
                              <w:left w:val="nil"/>
                              <w:bottom w:val="nil"/>
                              <w:right w:val="nil"/>
                            </w:tcBorders>
                            <w:hideMark/>
                          </w:tcPr>
                          <w:p w14:paraId="0F85F73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216A765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C49B9C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0368AB3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557" w:type="pct"/>
                            <w:tcBorders>
                              <w:top w:val="nil"/>
                              <w:left w:val="nil"/>
                              <w:bottom w:val="nil"/>
                              <w:right w:val="nil"/>
                            </w:tcBorders>
                            <w:hideMark/>
                          </w:tcPr>
                          <w:p w14:paraId="617C042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c>
                          <w:tcPr>
                            <w:tcW w:w="633" w:type="pct"/>
                            <w:tcBorders>
                              <w:top w:val="nil"/>
                              <w:left w:val="nil"/>
                              <w:bottom w:val="nil"/>
                              <w:right w:val="nil"/>
                            </w:tcBorders>
                            <w:hideMark/>
                          </w:tcPr>
                          <w:p w14:paraId="6DB7994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0.0 </w:t>
                            </w:r>
                          </w:p>
                        </w:tc>
                      </w:tr>
                      <w:tr w:rsidR="006B53E7" w:rsidRPr="006B53E7" w14:paraId="1EC7CE93" w14:textId="77777777" w:rsidTr="006B53E7">
                        <w:trPr>
                          <w:trHeight w:val="204"/>
                        </w:trPr>
                        <w:tc>
                          <w:tcPr>
                            <w:tcW w:w="1583" w:type="pct"/>
                            <w:tcBorders>
                              <w:top w:val="nil"/>
                              <w:left w:val="nil"/>
                              <w:bottom w:val="nil"/>
                              <w:right w:val="nil"/>
                            </w:tcBorders>
                            <w:noWrap/>
                            <w:hideMark/>
                          </w:tcPr>
                          <w:p w14:paraId="5C6B0FC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Other Non-Current Liabilities</w:t>
                            </w:r>
                          </w:p>
                        </w:tc>
                        <w:tc>
                          <w:tcPr>
                            <w:tcW w:w="557" w:type="pct"/>
                            <w:tcBorders>
                              <w:top w:val="nil"/>
                              <w:left w:val="nil"/>
                              <w:bottom w:val="nil"/>
                              <w:right w:val="nil"/>
                            </w:tcBorders>
                            <w:hideMark/>
                          </w:tcPr>
                          <w:p w14:paraId="12492CD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1C4A35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5EDCA8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6E80BC5E"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BC75BF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633" w:type="pct"/>
                            <w:tcBorders>
                              <w:top w:val="nil"/>
                              <w:left w:val="nil"/>
                              <w:bottom w:val="nil"/>
                              <w:right w:val="nil"/>
                            </w:tcBorders>
                            <w:hideMark/>
                          </w:tcPr>
                          <w:p w14:paraId="0A20938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r>
                      <w:tr w:rsidR="006B53E7" w:rsidRPr="006B53E7" w14:paraId="3AB199B5" w14:textId="77777777" w:rsidTr="006B53E7">
                        <w:trPr>
                          <w:trHeight w:val="204"/>
                        </w:trPr>
                        <w:tc>
                          <w:tcPr>
                            <w:tcW w:w="1583" w:type="pct"/>
                            <w:tcBorders>
                              <w:top w:val="nil"/>
                              <w:left w:val="nil"/>
                              <w:bottom w:val="nil"/>
                              <w:right w:val="nil"/>
                            </w:tcBorders>
                            <w:noWrap/>
                            <w:hideMark/>
                          </w:tcPr>
                          <w:p w14:paraId="724CA9E7"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Liabilities</w:t>
                            </w:r>
                          </w:p>
                        </w:tc>
                        <w:tc>
                          <w:tcPr>
                            <w:tcW w:w="557" w:type="pct"/>
                            <w:tcBorders>
                              <w:top w:val="single" w:sz="4" w:space="0" w:color="000000"/>
                              <w:left w:val="nil"/>
                              <w:bottom w:val="nil"/>
                              <w:right w:val="nil"/>
                            </w:tcBorders>
                            <w:hideMark/>
                          </w:tcPr>
                          <w:p w14:paraId="021EEE38"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3.0 </w:t>
                            </w:r>
                          </w:p>
                        </w:tc>
                        <w:tc>
                          <w:tcPr>
                            <w:tcW w:w="557" w:type="pct"/>
                            <w:tcBorders>
                              <w:top w:val="single" w:sz="4" w:space="0" w:color="000000"/>
                              <w:left w:val="nil"/>
                              <w:bottom w:val="nil"/>
                              <w:right w:val="nil"/>
                            </w:tcBorders>
                            <w:hideMark/>
                          </w:tcPr>
                          <w:p w14:paraId="77A5920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3.3 </w:t>
                            </w:r>
                          </w:p>
                        </w:tc>
                        <w:tc>
                          <w:tcPr>
                            <w:tcW w:w="557" w:type="pct"/>
                            <w:tcBorders>
                              <w:top w:val="single" w:sz="4" w:space="0" w:color="000000"/>
                              <w:left w:val="nil"/>
                              <w:bottom w:val="nil"/>
                              <w:right w:val="nil"/>
                            </w:tcBorders>
                            <w:hideMark/>
                          </w:tcPr>
                          <w:p w14:paraId="25DF7BB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4.9 </w:t>
                            </w:r>
                          </w:p>
                        </w:tc>
                        <w:tc>
                          <w:tcPr>
                            <w:tcW w:w="557" w:type="pct"/>
                            <w:tcBorders>
                              <w:top w:val="single" w:sz="4" w:space="0" w:color="000000"/>
                              <w:left w:val="nil"/>
                              <w:bottom w:val="nil"/>
                              <w:right w:val="nil"/>
                            </w:tcBorders>
                            <w:hideMark/>
                          </w:tcPr>
                          <w:p w14:paraId="099A31B7"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5.1 </w:t>
                            </w:r>
                          </w:p>
                        </w:tc>
                        <w:tc>
                          <w:tcPr>
                            <w:tcW w:w="557" w:type="pct"/>
                            <w:tcBorders>
                              <w:top w:val="single" w:sz="4" w:space="0" w:color="000000"/>
                              <w:left w:val="nil"/>
                              <w:bottom w:val="nil"/>
                              <w:right w:val="nil"/>
                            </w:tcBorders>
                            <w:hideMark/>
                          </w:tcPr>
                          <w:p w14:paraId="7B71F43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5.7 </w:t>
                            </w:r>
                          </w:p>
                        </w:tc>
                        <w:tc>
                          <w:tcPr>
                            <w:tcW w:w="633" w:type="pct"/>
                            <w:tcBorders>
                              <w:top w:val="single" w:sz="4" w:space="0" w:color="000000"/>
                              <w:left w:val="nil"/>
                              <w:bottom w:val="nil"/>
                              <w:right w:val="nil"/>
                            </w:tcBorders>
                            <w:hideMark/>
                          </w:tcPr>
                          <w:p w14:paraId="5DB3182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4.2 </w:t>
                            </w:r>
                          </w:p>
                        </w:tc>
                      </w:tr>
                      <w:tr w:rsidR="006B53E7" w:rsidRPr="006B53E7" w14:paraId="6993A9B7" w14:textId="77777777" w:rsidTr="006B53E7">
                        <w:trPr>
                          <w:trHeight w:val="204"/>
                        </w:trPr>
                        <w:tc>
                          <w:tcPr>
                            <w:tcW w:w="1583" w:type="pct"/>
                            <w:tcBorders>
                              <w:top w:val="nil"/>
                              <w:left w:val="nil"/>
                              <w:bottom w:val="nil"/>
                              <w:right w:val="nil"/>
                            </w:tcBorders>
                            <w:noWrap/>
                            <w:hideMark/>
                          </w:tcPr>
                          <w:p w14:paraId="4A6287E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Common Stock</w:t>
                            </w:r>
                          </w:p>
                        </w:tc>
                        <w:tc>
                          <w:tcPr>
                            <w:tcW w:w="557" w:type="pct"/>
                            <w:tcBorders>
                              <w:top w:val="nil"/>
                              <w:left w:val="nil"/>
                              <w:bottom w:val="nil"/>
                              <w:right w:val="nil"/>
                            </w:tcBorders>
                            <w:hideMark/>
                          </w:tcPr>
                          <w:p w14:paraId="41055A6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1.5 </w:t>
                            </w:r>
                          </w:p>
                        </w:tc>
                        <w:tc>
                          <w:tcPr>
                            <w:tcW w:w="557" w:type="pct"/>
                            <w:tcBorders>
                              <w:top w:val="nil"/>
                              <w:left w:val="nil"/>
                              <w:bottom w:val="nil"/>
                              <w:right w:val="nil"/>
                            </w:tcBorders>
                            <w:hideMark/>
                          </w:tcPr>
                          <w:p w14:paraId="0569E9F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1.1 </w:t>
                            </w:r>
                          </w:p>
                        </w:tc>
                        <w:tc>
                          <w:tcPr>
                            <w:tcW w:w="557" w:type="pct"/>
                            <w:tcBorders>
                              <w:top w:val="nil"/>
                              <w:left w:val="nil"/>
                              <w:bottom w:val="nil"/>
                              <w:right w:val="nil"/>
                            </w:tcBorders>
                            <w:hideMark/>
                          </w:tcPr>
                          <w:p w14:paraId="4B40E28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2.2 </w:t>
                            </w:r>
                          </w:p>
                        </w:tc>
                        <w:tc>
                          <w:tcPr>
                            <w:tcW w:w="557" w:type="pct"/>
                            <w:tcBorders>
                              <w:top w:val="nil"/>
                              <w:left w:val="nil"/>
                              <w:bottom w:val="nil"/>
                              <w:right w:val="nil"/>
                            </w:tcBorders>
                            <w:hideMark/>
                          </w:tcPr>
                          <w:p w14:paraId="133F00F4"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2.3 </w:t>
                            </w:r>
                          </w:p>
                        </w:tc>
                        <w:tc>
                          <w:tcPr>
                            <w:tcW w:w="557" w:type="pct"/>
                            <w:tcBorders>
                              <w:top w:val="nil"/>
                              <w:left w:val="nil"/>
                              <w:bottom w:val="nil"/>
                              <w:right w:val="nil"/>
                            </w:tcBorders>
                            <w:hideMark/>
                          </w:tcPr>
                          <w:p w14:paraId="7314550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2.5 </w:t>
                            </w:r>
                          </w:p>
                        </w:tc>
                        <w:tc>
                          <w:tcPr>
                            <w:tcW w:w="633" w:type="pct"/>
                            <w:tcBorders>
                              <w:top w:val="nil"/>
                              <w:left w:val="nil"/>
                              <w:bottom w:val="nil"/>
                              <w:right w:val="nil"/>
                            </w:tcBorders>
                            <w:hideMark/>
                          </w:tcPr>
                          <w:p w14:paraId="6E0FA75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2.2 </w:t>
                            </w:r>
                          </w:p>
                        </w:tc>
                      </w:tr>
                      <w:tr w:rsidR="006B53E7" w:rsidRPr="006B53E7" w14:paraId="1D70CCF9" w14:textId="77777777" w:rsidTr="006B53E7">
                        <w:trPr>
                          <w:trHeight w:val="204"/>
                        </w:trPr>
                        <w:tc>
                          <w:tcPr>
                            <w:tcW w:w="1583" w:type="pct"/>
                            <w:tcBorders>
                              <w:top w:val="nil"/>
                              <w:left w:val="nil"/>
                              <w:bottom w:val="nil"/>
                              <w:right w:val="nil"/>
                            </w:tcBorders>
                            <w:noWrap/>
                            <w:hideMark/>
                          </w:tcPr>
                          <w:p w14:paraId="60E2CE16"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Additional Paid In Capital</w:t>
                            </w:r>
                          </w:p>
                        </w:tc>
                        <w:tc>
                          <w:tcPr>
                            <w:tcW w:w="557" w:type="pct"/>
                            <w:tcBorders>
                              <w:top w:val="nil"/>
                              <w:left w:val="nil"/>
                              <w:bottom w:val="nil"/>
                              <w:right w:val="nil"/>
                            </w:tcBorders>
                            <w:hideMark/>
                          </w:tcPr>
                          <w:p w14:paraId="7808FE7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0C16878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575A025C"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331965B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557" w:type="pct"/>
                            <w:tcBorders>
                              <w:top w:val="nil"/>
                              <w:left w:val="nil"/>
                              <w:bottom w:val="nil"/>
                              <w:right w:val="nil"/>
                            </w:tcBorders>
                            <w:hideMark/>
                          </w:tcPr>
                          <w:p w14:paraId="7060766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c>
                          <w:tcPr>
                            <w:tcW w:w="633" w:type="pct"/>
                            <w:tcBorders>
                              <w:top w:val="nil"/>
                              <w:left w:val="nil"/>
                              <w:bottom w:val="nil"/>
                              <w:right w:val="nil"/>
                            </w:tcBorders>
                            <w:hideMark/>
                          </w:tcPr>
                          <w:p w14:paraId="3FAAFB2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w:t>
                            </w:r>
                          </w:p>
                        </w:tc>
                      </w:tr>
                      <w:tr w:rsidR="006B53E7" w:rsidRPr="006B53E7" w14:paraId="6AA657AF" w14:textId="77777777" w:rsidTr="006B53E7">
                        <w:trPr>
                          <w:trHeight w:val="204"/>
                        </w:trPr>
                        <w:tc>
                          <w:tcPr>
                            <w:tcW w:w="1583" w:type="pct"/>
                            <w:tcBorders>
                              <w:top w:val="nil"/>
                              <w:left w:val="nil"/>
                              <w:bottom w:val="nil"/>
                              <w:right w:val="nil"/>
                            </w:tcBorders>
                            <w:noWrap/>
                            <w:hideMark/>
                          </w:tcPr>
                          <w:p w14:paraId="0B7437D7"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Retained Earnings</w:t>
                            </w:r>
                          </w:p>
                        </w:tc>
                        <w:tc>
                          <w:tcPr>
                            <w:tcW w:w="557" w:type="pct"/>
                            <w:tcBorders>
                              <w:top w:val="nil"/>
                              <w:left w:val="nil"/>
                              <w:bottom w:val="nil"/>
                              <w:right w:val="nil"/>
                            </w:tcBorders>
                            <w:hideMark/>
                          </w:tcPr>
                          <w:p w14:paraId="048EDC3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77A405A5"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6A7983F3"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52C7E89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A33484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633" w:type="pct"/>
                            <w:tcBorders>
                              <w:top w:val="nil"/>
                              <w:left w:val="nil"/>
                              <w:bottom w:val="nil"/>
                              <w:right w:val="nil"/>
                            </w:tcBorders>
                            <w:hideMark/>
                          </w:tcPr>
                          <w:p w14:paraId="7C6931B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56DB6FAF" w14:textId="77777777" w:rsidTr="006B53E7">
                        <w:trPr>
                          <w:trHeight w:val="204"/>
                        </w:trPr>
                        <w:tc>
                          <w:tcPr>
                            <w:tcW w:w="1583" w:type="pct"/>
                            <w:tcBorders>
                              <w:top w:val="nil"/>
                              <w:left w:val="nil"/>
                              <w:bottom w:val="nil"/>
                              <w:right w:val="nil"/>
                            </w:tcBorders>
                            <w:noWrap/>
                            <w:hideMark/>
                          </w:tcPr>
                          <w:p w14:paraId="0A7EB29D"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Treasury Stock</w:t>
                            </w:r>
                          </w:p>
                        </w:tc>
                        <w:tc>
                          <w:tcPr>
                            <w:tcW w:w="557" w:type="pct"/>
                            <w:tcBorders>
                              <w:top w:val="nil"/>
                              <w:left w:val="nil"/>
                              <w:bottom w:val="nil"/>
                              <w:right w:val="nil"/>
                            </w:tcBorders>
                            <w:hideMark/>
                          </w:tcPr>
                          <w:p w14:paraId="3996E2F0"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 </w:t>
                            </w:r>
                          </w:p>
                        </w:tc>
                        <w:tc>
                          <w:tcPr>
                            <w:tcW w:w="557" w:type="pct"/>
                            <w:tcBorders>
                              <w:top w:val="nil"/>
                              <w:left w:val="nil"/>
                              <w:bottom w:val="nil"/>
                              <w:right w:val="nil"/>
                            </w:tcBorders>
                            <w:hideMark/>
                          </w:tcPr>
                          <w:p w14:paraId="6C8CE9FA"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74F8FF06"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0F5C75E7"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557" w:type="pct"/>
                            <w:tcBorders>
                              <w:top w:val="nil"/>
                              <w:left w:val="nil"/>
                              <w:bottom w:val="nil"/>
                              <w:right w:val="nil"/>
                            </w:tcBorders>
                            <w:hideMark/>
                          </w:tcPr>
                          <w:p w14:paraId="6923E7F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(0.2)  </w:t>
                            </w:r>
                          </w:p>
                        </w:tc>
                        <w:tc>
                          <w:tcPr>
                            <w:tcW w:w="633" w:type="pct"/>
                            <w:tcBorders>
                              <w:top w:val="nil"/>
                              <w:left w:val="nil"/>
                              <w:bottom w:val="nil"/>
                              <w:right w:val="nil"/>
                            </w:tcBorders>
                            <w:hideMark/>
                          </w:tcPr>
                          <w:p w14:paraId="2187191F"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r>
                      <w:tr w:rsidR="006B53E7" w:rsidRPr="006B53E7" w14:paraId="35C69708" w14:textId="77777777" w:rsidTr="006B53E7">
                        <w:trPr>
                          <w:trHeight w:val="204"/>
                        </w:trPr>
                        <w:tc>
                          <w:tcPr>
                            <w:tcW w:w="1583" w:type="pct"/>
                            <w:tcBorders>
                              <w:top w:val="nil"/>
                              <w:left w:val="nil"/>
                              <w:bottom w:val="nil"/>
                              <w:right w:val="nil"/>
                            </w:tcBorders>
                            <w:noWrap/>
                            <w:hideMark/>
                          </w:tcPr>
                          <w:p w14:paraId="3B5879F8" w14:textId="77777777" w:rsidR="006B53E7" w:rsidRPr="006B53E7" w:rsidRDefault="006B53E7" w:rsidP="006B53E7">
                            <w:pPr>
                              <w:spacing w:after="0" w:line="240" w:lineRule="auto"/>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Comprehensive Inc. and Other</w:t>
                            </w:r>
                          </w:p>
                        </w:tc>
                        <w:tc>
                          <w:tcPr>
                            <w:tcW w:w="557" w:type="pct"/>
                            <w:tcBorders>
                              <w:top w:val="nil"/>
                              <w:left w:val="nil"/>
                              <w:bottom w:val="nil"/>
                              <w:right w:val="nil"/>
                            </w:tcBorders>
                            <w:hideMark/>
                          </w:tcPr>
                          <w:p w14:paraId="4C4C006D"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1AB92D91"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0.1 </w:t>
                            </w:r>
                          </w:p>
                        </w:tc>
                        <w:tc>
                          <w:tcPr>
                            <w:tcW w:w="557" w:type="pct"/>
                            <w:tcBorders>
                              <w:top w:val="nil"/>
                              <w:left w:val="nil"/>
                              <w:bottom w:val="nil"/>
                              <w:right w:val="nil"/>
                            </w:tcBorders>
                            <w:hideMark/>
                          </w:tcPr>
                          <w:p w14:paraId="4D15D09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(0.3)  </w:t>
                            </w:r>
                          </w:p>
                        </w:tc>
                        <w:tc>
                          <w:tcPr>
                            <w:tcW w:w="557" w:type="pct"/>
                            <w:tcBorders>
                              <w:top w:val="nil"/>
                              <w:left w:val="nil"/>
                              <w:bottom w:val="nil"/>
                              <w:right w:val="nil"/>
                            </w:tcBorders>
                            <w:hideMark/>
                          </w:tcPr>
                          <w:p w14:paraId="58F0248B"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c>
                          <w:tcPr>
                            <w:tcW w:w="557" w:type="pct"/>
                            <w:tcBorders>
                              <w:top w:val="nil"/>
                              <w:left w:val="nil"/>
                              <w:bottom w:val="nil"/>
                              <w:right w:val="nil"/>
                            </w:tcBorders>
                            <w:hideMark/>
                          </w:tcPr>
                          <w:p w14:paraId="0FB6D3B9"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(0.5)  </w:t>
                            </w:r>
                          </w:p>
                        </w:tc>
                        <w:tc>
                          <w:tcPr>
                            <w:tcW w:w="633" w:type="pct"/>
                            <w:tcBorders>
                              <w:top w:val="nil"/>
                              <w:left w:val="nil"/>
                              <w:bottom w:val="nil"/>
                              <w:right w:val="nil"/>
                            </w:tcBorders>
                            <w:hideMark/>
                          </w:tcPr>
                          <w:p w14:paraId="73E510E8" w14:textId="77777777" w:rsidR="006B53E7" w:rsidRPr="006B53E7" w:rsidRDefault="006B53E7" w:rsidP="006B53E7">
                            <w:pPr>
                              <w:spacing w:after="0" w:line="240" w:lineRule="auto"/>
                              <w:jc w:val="right"/>
                              <w:rPr>
                                <w:rFonts w:ascii="Cambria" w:eastAsia="Times New Roman" w:hAnsi="Cambria" w:cs="Arial"/>
                                <w:color w:val="000000"/>
                                <w:kern w:val="0"/>
                                <w:sz w:val="14"/>
                                <w:szCs w:val="14"/>
                                <w:lang w:eastAsia="en-IN"/>
                                <w14:ligatures w14:val="none"/>
                              </w:rPr>
                            </w:pPr>
                            <w:r w:rsidRPr="006B53E7">
                              <w:rPr>
                                <w:rFonts w:ascii="Cambria" w:eastAsia="Times New Roman" w:hAnsi="Cambria" w:cs="Arial"/>
                                <w:color w:val="000000"/>
                                <w:kern w:val="0"/>
                                <w:sz w:val="14"/>
                                <w:szCs w:val="14"/>
                                <w:lang w:eastAsia="en-IN"/>
                                <w14:ligatures w14:val="none"/>
                              </w:rPr>
                              <w:t xml:space="preserve">                   (0.4)  </w:t>
                            </w:r>
                          </w:p>
                        </w:tc>
                      </w:tr>
                      <w:tr w:rsidR="006B53E7" w:rsidRPr="006B53E7" w14:paraId="77B8F874" w14:textId="77777777" w:rsidTr="006B53E7">
                        <w:trPr>
                          <w:trHeight w:val="204"/>
                        </w:trPr>
                        <w:tc>
                          <w:tcPr>
                            <w:tcW w:w="1583" w:type="pct"/>
                            <w:tcBorders>
                              <w:top w:val="nil"/>
                              <w:left w:val="nil"/>
                              <w:bottom w:val="nil"/>
                              <w:right w:val="nil"/>
                            </w:tcBorders>
                            <w:noWrap/>
                            <w:hideMark/>
                          </w:tcPr>
                          <w:p w14:paraId="1E9CE666"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Total Common Equity</w:t>
                            </w:r>
                          </w:p>
                        </w:tc>
                        <w:tc>
                          <w:tcPr>
                            <w:tcW w:w="557" w:type="pct"/>
                            <w:tcBorders>
                              <w:top w:val="single" w:sz="4" w:space="0" w:color="000000"/>
                              <w:left w:val="nil"/>
                              <w:bottom w:val="nil"/>
                              <w:right w:val="nil"/>
                            </w:tcBorders>
                            <w:hideMark/>
                          </w:tcPr>
                          <w:p w14:paraId="043F9E6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1.9 </w:t>
                            </w:r>
                          </w:p>
                        </w:tc>
                        <w:tc>
                          <w:tcPr>
                            <w:tcW w:w="557" w:type="pct"/>
                            <w:tcBorders>
                              <w:top w:val="single" w:sz="4" w:space="0" w:color="000000"/>
                              <w:left w:val="nil"/>
                              <w:bottom w:val="nil"/>
                              <w:right w:val="nil"/>
                            </w:tcBorders>
                            <w:hideMark/>
                          </w:tcPr>
                          <w:p w14:paraId="17AC12C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1.4 </w:t>
                            </w:r>
                          </w:p>
                        </w:tc>
                        <w:tc>
                          <w:tcPr>
                            <w:tcW w:w="557" w:type="pct"/>
                            <w:tcBorders>
                              <w:top w:val="single" w:sz="4" w:space="0" w:color="000000"/>
                              <w:left w:val="nil"/>
                              <w:bottom w:val="nil"/>
                              <w:right w:val="nil"/>
                            </w:tcBorders>
                            <w:hideMark/>
                          </w:tcPr>
                          <w:p w14:paraId="3F5A56A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07BC35F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557" w:type="pct"/>
                            <w:tcBorders>
                              <w:top w:val="single" w:sz="4" w:space="0" w:color="000000"/>
                              <w:left w:val="nil"/>
                              <w:bottom w:val="nil"/>
                              <w:right w:val="nil"/>
                            </w:tcBorders>
                            <w:hideMark/>
                          </w:tcPr>
                          <w:p w14:paraId="5A70108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2.0 </w:t>
                            </w:r>
                          </w:p>
                        </w:tc>
                        <w:tc>
                          <w:tcPr>
                            <w:tcW w:w="633" w:type="pct"/>
                            <w:tcBorders>
                              <w:top w:val="single" w:sz="4" w:space="0" w:color="000000"/>
                              <w:left w:val="nil"/>
                              <w:bottom w:val="nil"/>
                              <w:right w:val="nil"/>
                            </w:tcBorders>
                            <w:hideMark/>
                          </w:tcPr>
                          <w:p w14:paraId="1836571F"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 xml:space="preserve">                       1.8 </w:t>
                            </w:r>
                          </w:p>
                        </w:tc>
                      </w:tr>
                      <w:tr w:rsidR="006B53E7" w:rsidRPr="006B53E7" w14:paraId="60A9EAB5" w14:textId="77777777" w:rsidTr="006B53E7">
                        <w:trPr>
                          <w:trHeight w:val="204"/>
                        </w:trPr>
                        <w:tc>
                          <w:tcPr>
                            <w:tcW w:w="1583" w:type="pct"/>
                            <w:tcBorders>
                              <w:top w:val="nil"/>
                              <w:left w:val="nil"/>
                              <w:bottom w:val="nil"/>
                              <w:right w:val="nil"/>
                            </w:tcBorders>
                            <w:noWrap/>
                            <w:hideMark/>
                          </w:tcPr>
                          <w:p w14:paraId="0E208330"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Equity</w:t>
                            </w:r>
                          </w:p>
                        </w:tc>
                        <w:tc>
                          <w:tcPr>
                            <w:tcW w:w="557" w:type="pct"/>
                            <w:tcBorders>
                              <w:top w:val="nil"/>
                              <w:left w:val="nil"/>
                              <w:bottom w:val="nil"/>
                              <w:right w:val="nil"/>
                            </w:tcBorders>
                            <w:hideMark/>
                          </w:tcPr>
                          <w:p w14:paraId="10558475"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1.9 </w:t>
                            </w:r>
                          </w:p>
                        </w:tc>
                        <w:tc>
                          <w:tcPr>
                            <w:tcW w:w="557" w:type="pct"/>
                            <w:tcBorders>
                              <w:top w:val="nil"/>
                              <w:left w:val="nil"/>
                              <w:bottom w:val="nil"/>
                              <w:right w:val="nil"/>
                            </w:tcBorders>
                            <w:hideMark/>
                          </w:tcPr>
                          <w:p w14:paraId="3BC742F0"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1.4 </w:t>
                            </w:r>
                          </w:p>
                        </w:tc>
                        <w:tc>
                          <w:tcPr>
                            <w:tcW w:w="557" w:type="pct"/>
                            <w:tcBorders>
                              <w:top w:val="nil"/>
                              <w:left w:val="nil"/>
                              <w:bottom w:val="nil"/>
                              <w:right w:val="nil"/>
                            </w:tcBorders>
                            <w:hideMark/>
                          </w:tcPr>
                          <w:p w14:paraId="665FC122"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557" w:type="pct"/>
                            <w:tcBorders>
                              <w:top w:val="nil"/>
                              <w:left w:val="nil"/>
                              <w:bottom w:val="nil"/>
                              <w:right w:val="nil"/>
                            </w:tcBorders>
                            <w:hideMark/>
                          </w:tcPr>
                          <w:p w14:paraId="02812E4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557" w:type="pct"/>
                            <w:tcBorders>
                              <w:top w:val="nil"/>
                              <w:left w:val="nil"/>
                              <w:bottom w:val="nil"/>
                              <w:right w:val="nil"/>
                            </w:tcBorders>
                            <w:hideMark/>
                          </w:tcPr>
                          <w:p w14:paraId="30D986CE"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2.0 </w:t>
                            </w:r>
                          </w:p>
                        </w:tc>
                        <w:tc>
                          <w:tcPr>
                            <w:tcW w:w="633" w:type="pct"/>
                            <w:tcBorders>
                              <w:top w:val="nil"/>
                              <w:left w:val="nil"/>
                              <w:bottom w:val="nil"/>
                              <w:right w:val="nil"/>
                            </w:tcBorders>
                            <w:hideMark/>
                          </w:tcPr>
                          <w:p w14:paraId="24154FFA"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single"/>
                                <w:lang w:eastAsia="en-IN"/>
                                <w14:ligatures w14:val="none"/>
                              </w:rPr>
                            </w:pPr>
                            <w:r w:rsidRPr="006B53E7">
                              <w:rPr>
                                <w:rFonts w:ascii="Cambria" w:eastAsia="Times New Roman" w:hAnsi="Cambria" w:cs="Arial"/>
                                <w:b/>
                                <w:bCs/>
                                <w:color w:val="000000"/>
                                <w:kern w:val="0"/>
                                <w:sz w:val="14"/>
                                <w:szCs w:val="14"/>
                                <w:u w:val="single"/>
                                <w:lang w:eastAsia="en-IN"/>
                                <w14:ligatures w14:val="none"/>
                              </w:rPr>
                              <w:t xml:space="preserve">                       1.8 </w:t>
                            </w:r>
                          </w:p>
                        </w:tc>
                      </w:tr>
                      <w:tr w:rsidR="006B53E7" w:rsidRPr="006B53E7" w14:paraId="264108CC" w14:textId="77777777" w:rsidTr="006B53E7">
                        <w:trPr>
                          <w:trHeight w:val="204"/>
                        </w:trPr>
                        <w:tc>
                          <w:tcPr>
                            <w:tcW w:w="1583" w:type="pct"/>
                            <w:tcBorders>
                              <w:top w:val="nil"/>
                              <w:left w:val="nil"/>
                              <w:bottom w:val="nil"/>
                              <w:right w:val="nil"/>
                            </w:tcBorders>
                            <w:noWrap/>
                            <w:hideMark/>
                          </w:tcPr>
                          <w:p w14:paraId="719E0721" w14:textId="77777777" w:rsidR="006B53E7" w:rsidRPr="006B53E7" w:rsidRDefault="006B53E7" w:rsidP="006B53E7">
                            <w:pPr>
                              <w:spacing w:after="0" w:line="240" w:lineRule="auto"/>
                              <w:rPr>
                                <w:rFonts w:ascii="Cambria" w:eastAsia="Times New Roman" w:hAnsi="Cambria" w:cs="Arial"/>
                                <w:b/>
                                <w:bCs/>
                                <w:color w:val="000000"/>
                                <w:kern w:val="0"/>
                                <w:sz w:val="14"/>
                                <w:szCs w:val="14"/>
                                <w:lang w:eastAsia="en-IN"/>
                                <w14:ligatures w14:val="none"/>
                              </w:rPr>
                            </w:pPr>
                            <w:r w:rsidRPr="006B53E7">
                              <w:rPr>
                                <w:rFonts w:ascii="Cambria" w:eastAsia="Times New Roman" w:hAnsi="Cambria" w:cs="Arial"/>
                                <w:b/>
                                <w:bCs/>
                                <w:color w:val="000000"/>
                                <w:kern w:val="0"/>
                                <w:sz w:val="14"/>
                                <w:szCs w:val="14"/>
                                <w:lang w:eastAsia="en-IN"/>
                                <w14:ligatures w14:val="none"/>
                              </w:rPr>
                              <w:t>Total Liabilities And Equity</w:t>
                            </w:r>
                          </w:p>
                        </w:tc>
                        <w:tc>
                          <w:tcPr>
                            <w:tcW w:w="557" w:type="pct"/>
                            <w:tcBorders>
                              <w:top w:val="nil"/>
                              <w:left w:val="nil"/>
                              <w:bottom w:val="nil"/>
                              <w:right w:val="nil"/>
                            </w:tcBorders>
                            <w:hideMark/>
                          </w:tcPr>
                          <w:p w14:paraId="568473F9"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4.9 </w:t>
                            </w:r>
                          </w:p>
                        </w:tc>
                        <w:tc>
                          <w:tcPr>
                            <w:tcW w:w="557" w:type="pct"/>
                            <w:tcBorders>
                              <w:top w:val="nil"/>
                              <w:left w:val="nil"/>
                              <w:bottom w:val="nil"/>
                              <w:right w:val="nil"/>
                            </w:tcBorders>
                            <w:hideMark/>
                          </w:tcPr>
                          <w:p w14:paraId="32620261"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4.7 </w:t>
                            </w:r>
                          </w:p>
                        </w:tc>
                        <w:tc>
                          <w:tcPr>
                            <w:tcW w:w="557" w:type="pct"/>
                            <w:tcBorders>
                              <w:top w:val="nil"/>
                              <w:left w:val="nil"/>
                              <w:bottom w:val="nil"/>
                              <w:right w:val="nil"/>
                            </w:tcBorders>
                            <w:hideMark/>
                          </w:tcPr>
                          <w:p w14:paraId="750224CB"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6.9 </w:t>
                            </w:r>
                          </w:p>
                        </w:tc>
                        <w:tc>
                          <w:tcPr>
                            <w:tcW w:w="557" w:type="pct"/>
                            <w:tcBorders>
                              <w:top w:val="nil"/>
                              <w:left w:val="nil"/>
                              <w:bottom w:val="nil"/>
                              <w:right w:val="nil"/>
                            </w:tcBorders>
                            <w:hideMark/>
                          </w:tcPr>
                          <w:p w14:paraId="6E4A6C9D"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7.1 </w:t>
                            </w:r>
                          </w:p>
                        </w:tc>
                        <w:tc>
                          <w:tcPr>
                            <w:tcW w:w="557" w:type="pct"/>
                            <w:tcBorders>
                              <w:top w:val="nil"/>
                              <w:left w:val="nil"/>
                              <w:bottom w:val="nil"/>
                              <w:right w:val="nil"/>
                            </w:tcBorders>
                            <w:hideMark/>
                          </w:tcPr>
                          <w:p w14:paraId="3835C064"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7.7 </w:t>
                            </w:r>
                          </w:p>
                        </w:tc>
                        <w:tc>
                          <w:tcPr>
                            <w:tcW w:w="633" w:type="pct"/>
                            <w:tcBorders>
                              <w:top w:val="nil"/>
                              <w:left w:val="nil"/>
                              <w:bottom w:val="nil"/>
                              <w:right w:val="nil"/>
                            </w:tcBorders>
                            <w:hideMark/>
                          </w:tcPr>
                          <w:p w14:paraId="012291D3" w14:textId="77777777" w:rsidR="006B53E7" w:rsidRPr="006B53E7" w:rsidRDefault="006B53E7" w:rsidP="006B53E7">
                            <w:pPr>
                              <w:spacing w:after="0" w:line="240" w:lineRule="auto"/>
                              <w:jc w:val="right"/>
                              <w:rPr>
                                <w:rFonts w:ascii="Cambria" w:eastAsia="Times New Roman" w:hAnsi="Cambria" w:cs="Arial"/>
                                <w:b/>
                                <w:bCs/>
                                <w:color w:val="000000"/>
                                <w:kern w:val="0"/>
                                <w:sz w:val="14"/>
                                <w:szCs w:val="14"/>
                                <w:u w:val="double"/>
                                <w:lang w:eastAsia="en-IN"/>
                                <w14:ligatures w14:val="none"/>
                              </w:rPr>
                            </w:pPr>
                            <w:r w:rsidRPr="006B53E7">
                              <w:rPr>
                                <w:rFonts w:ascii="Cambria" w:eastAsia="Times New Roman" w:hAnsi="Cambria" w:cs="Arial"/>
                                <w:b/>
                                <w:bCs/>
                                <w:color w:val="000000"/>
                                <w:kern w:val="0"/>
                                <w:sz w:val="14"/>
                                <w:szCs w:val="14"/>
                                <w:u w:val="double"/>
                                <w:lang w:eastAsia="en-IN"/>
                                <w14:ligatures w14:val="none"/>
                              </w:rPr>
                              <w:t xml:space="preserve">                       6.0 </w:t>
                            </w:r>
                          </w:p>
                        </w:tc>
                      </w:tr>
                    </w:tbl>
                    <w:p w14:paraId="7D02C6E9" w14:textId="1BE1BE58" w:rsidR="006B53E7" w:rsidRDefault="006B53E7"/>
                  </w:txbxContent>
                </v:textbox>
                <w10:anchorlock/>
              </v:shape>
            </w:pict>
          </mc:Fallback>
        </mc:AlternateContent>
      </w:r>
      <w:r w:rsidR="00CE00E7" w:rsidRPr="00456405">
        <w:rPr>
          <w:rFonts w:ascii="Cambria" w:hAnsi="Cambria"/>
          <w:b/>
          <w:bCs/>
          <w:sz w:val="24"/>
          <w:szCs w:val="24"/>
        </w:rPr>
        <w:br/>
      </w:r>
      <w:r w:rsidR="00DE6BE9" w:rsidRPr="00456405">
        <w:rPr>
          <w:rFonts w:ascii="Cambria" w:hAnsi="Cambria"/>
          <w:b/>
          <w:bCs/>
          <w:sz w:val="24"/>
          <w:szCs w:val="24"/>
        </w:rPr>
        <w:br/>
      </w:r>
    </w:p>
    <w:p w14:paraId="5A214DDA"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08F23558"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2B7312E2"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688C5C84"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2B0E53C3"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020CCEA7" w14:textId="77777777" w:rsidR="00396BEA" w:rsidRPr="00456405" w:rsidRDefault="00396BEA" w:rsidP="00730709">
      <w:pPr>
        <w:spacing w:beforeLines="20" w:before="48" w:afterLines="40" w:after="96" w:line="240" w:lineRule="auto"/>
        <w:jc w:val="both"/>
        <w:rPr>
          <w:rFonts w:ascii="Cambria" w:hAnsi="Cambria"/>
          <w:b/>
          <w:bCs/>
          <w:sz w:val="24"/>
          <w:szCs w:val="24"/>
        </w:rPr>
      </w:pPr>
    </w:p>
    <w:p w14:paraId="52787945" w14:textId="096E04BF" w:rsidR="00396BEA" w:rsidRPr="00456405" w:rsidRDefault="00396BEA" w:rsidP="00730709">
      <w:pPr>
        <w:spacing w:beforeLines="20" w:before="48" w:afterLines="40" w:after="96" w:line="240" w:lineRule="auto"/>
        <w:jc w:val="both"/>
        <w:rPr>
          <w:rFonts w:ascii="Cambria" w:hAnsi="Cambria"/>
          <w:b/>
          <w:bCs/>
          <w:sz w:val="24"/>
          <w:szCs w:val="24"/>
        </w:rPr>
      </w:pPr>
      <w:r w:rsidRPr="00456405">
        <w:rPr>
          <w:rFonts w:ascii="Cambria" w:hAnsi="Cambria"/>
          <w:b/>
          <w:bCs/>
          <w:noProof/>
          <w:sz w:val="24"/>
          <w:szCs w:val="24"/>
        </w:rPr>
        <w:lastRenderedPageBreak/>
        <mc:AlternateContent>
          <mc:Choice Requires="wps">
            <w:drawing>
              <wp:inline distT="0" distB="0" distL="0" distR="0" wp14:anchorId="1E3A3D26" wp14:editId="6A3709D6">
                <wp:extent cx="6164580" cy="5313680"/>
                <wp:effectExtent l="0" t="0" r="7620" b="1270"/>
                <wp:docPr id="865986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5313680"/>
                        </a:xfrm>
                        <a:prstGeom prst="rect">
                          <a:avLst/>
                        </a:prstGeom>
                        <a:solidFill>
                          <a:srgbClr val="FFFFFF"/>
                        </a:solidFill>
                        <a:ln w="9525">
                          <a:noFill/>
                          <a:miter lim="800000"/>
                          <a:headEnd/>
                          <a:tailEnd/>
                        </a:ln>
                      </wps:spPr>
                      <wps:txbx>
                        <w:txbxContent>
                          <w:tbl>
                            <w:tblPr>
                              <w:tblW w:w="5000" w:type="pct"/>
                              <w:tblLook w:val="04A0" w:firstRow="1" w:lastRow="0" w:firstColumn="1" w:lastColumn="0" w:noHBand="0" w:noVBand="1"/>
                            </w:tblPr>
                            <w:tblGrid>
                              <w:gridCol w:w="3238"/>
                              <w:gridCol w:w="1030"/>
                              <w:gridCol w:w="1031"/>
                              <w:gridCol w:w="1031"/>
                              <w:gridCol w:w="1031"/>
                              <w:gridCol w:w="1031"/>
                              <w:gridCol w:w="1029"/>
                            </w:tblGrid>
                            <w:tr w:rsidR="00396BEA" w:rsidRPr="00396BEA" w14:paraId="3CC6D482" w14:textId="77777777" w:rsidTr="00396BEA">
                              <w:trPr>
                                <w:trHeight w:val="336"/>
                              </w:trPr>
                              <w:tc>
                                <w:tcPr>
                                  <w:tcW w:w="4453" w:type="pct"/>
                                  <w:gridSpan w:val="6"/>
                                  <w:tcBorders>
                                    <w:top w:val="nil"/>
                                    <w:left w:val="nil"/>
                                    <w:bottom w:val="nil"/>
                                    <w:right w:val="nil"/>
                                  </w:tcBorders>
                                  <w:noWrap/>
                                  <w:vAlign w:val="bottom"/>
                                  <w:hideMark/>
                                </w:tcPr>
                                <w:p w14:paraId="75BAADE1"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Magazine Luiza S.A. (</w:t>
                                  </w:r>
                                  <w:r w:rsidRPr="00396BEA">
                                    <w:rPr>
                                      <w:rFonts w:ascii="Cambria" w:eastAsia="Times New Roman" w:hAnsi="Cambria" w:cs="Arial"/>
                                      <w:b/>
                                      <w:bCs/>
                                      <w:color w:val="000000"/>
                                      <w:kern w:val="0"/>
                                      <w:sz w:val="14"/>
                                      <w:szCs w:val="14"/>
                                      <w:lang w:eastAsia="en-IN"/>
                                      <w14:ligatures w14:val="none"/>
                                    </w:rPr>
                                    <w:t>BOVESPA:MGLU3) &gt; Financials &gt; Cash Flow</w:t>
                                  </w:r>
                                </w:p>
                              </w:tc>
                              <w:tc>
                                <w:tcPr>
                                  <w:tcW w:w="547" w:type="pct"/>
                                  <w:tcBorders>
                                    <w:top w:val="nil"/>
                                    <w:left w:val="nil"/>
                                    <w:bottom w:val="nil"/>
                                    <w:right w:val="nil"/>
                                  </w:tcBorders>
                                  <w:noWrap/>
                                  <w:vAlign w:val="bottom"/>
                                  <w:hideMark/>
                                </w:tcPr>
                                <w:p w14:paraId="15AD84A8"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p>
                              </w:tc>
                            </w:tr>
                            <w:tr w:rsidR="00396BEA" w:rsidRPr="00396BEA" w14:paraId="09961A30" w14:textId="77777777" w:rsidTr="00396BEA">
                              <w:trPr>
                                <w:trHeight w:val="204"/>
                              </w:trPr>
                              <w:tc>
                                <w:tcPr>
                                  <w:tcW w:w="1719" w:type="pct"/>
                                  <w:tcBorders>
                                    <w:top w:val="nil"/>
                                    <w:left w:val="nil"/>
                                    <w:bottom w:val="nil"/>
                                    <w:right w:val="nil"/>
                                  </w:tcBorders>
                                  <w:shd w:val="clear" w:color="000000" w:fill="003366"/>
                                  <w:noWrap/>
                                  <w:vAlign w:val="bottom"/>
                                  <w:hideMark/>
                                </w:tcPr>
                                <w:p w14:paraId="32D350E6"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Cash Flow</w:t>
                                  </w:r>
                                </w:p>
                              </w:tc>
                              <w:tc>
                                <w:tcPr>
                                  <w:tcW w:w="547" w:type="pct"/>
                                  <w:tcBorders>
                                    <w:top w:val="nil"/>
                                    <w:left w:val="nil"/>
                                    <w:bottom w:val="nil"/>
                                    <w:right w:val="nil"/>
                                  </w:tcBorders>
                                  <w:shd w:val="clear" w:color="000000" w:fill="003366"/>
                                  <w:noWrap/>
                                  <w:vAlign w:val="bottom"/>
                                  <w:hideMark/>
                                </w:tcPr>
                                <w:p w14:paraId="6FD360F1"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1B3AF224"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3F681AD5"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17DA295C"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277168F1"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44D3BA12"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r>
                            <w:tr w:rsidR="00396BEA" w:rsidRPr="00396BEA" w14:paraId="760C2666" w14:textId="77777777" w:rsidTr="00396BEA">
                              <w:trPr>
                                <w:trHeight w:val="816"/>
                              </w:trPr>
                              <w:tc>
                                <w:tcPr>
                                  <w:tcW w:w="1719" w:type="pct"/>
                                  <w:tcBorders>
                                    <w:top w:val="nil"/>
                                    <w:left w:val="nil"/>
                                    <w:bottom w:val="nil"/>
                                    <w:right w:val="nil"/>
                                  </w:tcBorders>
                                  <w:shd w:val="clear" w:color="000000" w:fill="F0F0DC"/>
                                  <w:vAlign w:val="bottom"/>
                                  <w:hideMark/>
                                </w:tcPr>
                                <w:p w14:paraId="5E774827"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For the Fiscal Period Ending</w:t>
                                  </w:r>
                                </w:p>
                              </w:tc>
                              <w:tc>
                                <w:tcPr>
                                  <w:tcW w:w="547" w:type="pct"/>
                                  <w:tcBorders>
                                    <w:top w:val="nil"/>
                                    <w:left w:val="nil"/>
                                    <w:bottom w:val="nil"/>
                                    <w:right w:val="nil"/>
                                  </w:tcBorders>
                                  <w:shd w:val="clear" w:color="000000" w:fill="F0F0DC"/>
                                  <w:vAlign w:val="bottom"/>
                                  <w:hideMark/>
                                </w:tcPr>
                                <w:p w14:paraId="2117DA2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Dec-31-2019</w:t>
                                  </w:r>
                                </w:p>
                              </w:tc>
                              <w:tc>
                                <w:tcPr>
                                  <w:tcW w:w="547" w:type="pct"/>
                                  <w:tcBorders>
                                    <w:top w:val="nil"/>
                                    <w:left w:val="nil"/>
                                    <w:bottom w:val="nil"/>
                                    <w:right w:val="nil"/>
                                  </w:tcBorders>
                                  <w:shd w:val="clear" w:color="000000" w:fill="F0F0DC"/>
                                  <w:vAlign w:val="bottom"/>
                                  <w:hideMark/>
                                </w:tcPr>
                                <w:p w14:paraId="2B19102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Dec-31-2020</w:t>
                                  </w:r>
                                </w:p>
                              </w:tc>
                              <w:tc>
                                <w:tcPr>
                                  <w:tcW w:w="547" w:type="pct"/>
                                  <w:tcBorders>
                                    <w:top w:val="nil"/>
                                    <w:left w:val="nil"/>
                                    <w:bottom w:val="nil"/>
                                    <w:right w:val="nil"/>
                                  </w:tcBorders>
                                  <w:shd w:val="clear" w:color="000000" w:fill="F0F0DC"/>
                                  <w:vAlign w:val="bottom"/>
                                  <w:hideMark/>
                                </w:tcPr>
                                <w:p w14:paraId="7B8D063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Restated</w:t>
                                  </w:r>
                                  <w:r w:rsidRPr="00396BEA">
                                    <w:rPr>
                                      <w:rFonts w:ascii="Cambria" w:eastAsia="Times New Roman" w:hAnsi="Cambria" w:cs="Arial"/>
                                      <w:b/>
                                      <w:bCs/>
                                      <w:color w:val="000000"/>
                                      <w:kern w:val="0"/>
                                      <w:sz w:val="14"/>
                                      <w:szCs w:val="14"/>
                                      <w:lang w:eastAsia="en-IN"/>
                                      <w14:ligatures w14:val="none"/>
                                    </w:rPr>
                                    <w:br/>
                                    <w:t>12 months</w:t>
                                  </w:r>
                                  <w:r w:rsidRPr="00396BEA">
                                    <w:rPr>
                                      <w:rFonts w:ascii="Cambria" w:eastAsia="Times New Roman" w:hAnsi="Cambria" w:cs="Arial"/>
                                      <w:b/>
                                      <w:bCs/>
                                      <w:color w:val="000000"/>
                                      <w:kern w:val="0"/>
                                      <w:sz w:val="14"/>
                                      <w:szCs w:val="14"/>
                                      <w:lang w:eastAsia="en-IN"/>
                                      <w14:ligatures w14:val="none"/>
                                    </w:rPr>
                                    <w:br/>
                                    <w:t>Dec-31-2021</w:t>
                                  </w:r>
                                </w:p>
                              </w:tc>
                              <w:tc>
                                <w:tcPr>
                                  <w:tcW w:w="547" w:type="pct"/>
                                  <w:tcBorders>
                                    <w:top w:val="nil"/>
                                    <w:left w:val="nil"/>
                                    <w:bottom w:val="nil"/>
                                    <w:right w:val="nil"/>
                                  </w:tcBorders>
                                  <w:shd w:val="clear" w:color="000000" w:fill="F0F0DC"/>
                                  <w:vAlign w:val="bottom"/>
                                  <w:hideMark/>
                                </w:tcPr>
                                <w:p w14:paraId="6C34AE0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Dec-31-2022</w:t>
                                  </w:r>
                                </w:p>
                              </w:tc>
                              <w:tc>
                                <w:tcPr>
                                  <w:tcW w:w="547" w:type="pct"/>
                                  <w:tcBorders>
                                    <w:top w:val="nil"/>
                                    <w:left w:val="nil"/>
                                    <w:bottom w:val="nil"/>
                                    <w:right w:val="nil"/>
                                  </w:tcBorders>
                                  <w:shd w:val="clear" w:color="000000" w:fill="F0F0DC"/>
                                  <w:vAlign w:val="bottom"/>
                                  <w:hideMark/>
                                </w:tcPr>
                                <w:p w14:paraId="3C05C73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Dec-31-2023</w:t>
                                  </w:r>
                                </w:p>
                              </w:tc>
                              <w:tc>
                                <w:tcPr>
                                  <w:tcW w:w="547" w:type="pct"/>
                                  <w:tcBorders>
                                    <w:top w:val="nil"/>
                                    <w:left w:val="nil"/>
                                    <w:bottom w:val="nil"/>
                                    <w:right w:val="nil"/>
                                  </w:tcBorders>
                                  <w:shd w:val="clear" w:color="000000" w:fill="F0F0DC"/>
                                  <w:vAlign w:val="bottom"/>
                                  <w:hideMark/>
                                </w:tcPr>
                                <w:p w14:paraId="44B8867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LTM</w:t>
                                  </w:r>
                                  <w:r w:rsidRPr="00396BEA">
                                    <w:rPr>
                                      <w:rFonts w:ascii="Cambria" w:eastAsia="Times New Roman" w:hAnsi="Cambria" w:cs="Arial"/>
                                      <w:b/>
                                      <w:bCs/>
                                      <w:color w:val="000000"/>
                                      <w:kern w:val="0"/>
                                      <w:sz w:val="14"/>
                                      <w:szCs w:val="14"/>
                                      <w:lang w:eastAsia="en-IN"/>
                                      <w14:ligatures w14:val="none"/>
                                    </w:rPr>
                                    <w:br/>
                                    <w:t>12 months</w:t>
                                  </w:r>
                                  <w:r w:rsidRPr="00396BEA">
                                    <w:rPr>
                                      <w:rFonts w:ascii="Cambria" w:eastAsia="Times New Roman" w:hAnsi="Cambria" w:cs="Arial"/>
                                      <w:b/>
                                      <w:bCs/>
                                      <w:color w:val="000000"/>
                                      <w:kern w:val="0"/>
                                      <w:sz w:val="14"/>
                                      <w:szCs w:val="14"/>
                                      <w:lang w:eastAsia="en-IN"/>
                                      <w14:ligatures w14:val="none"/>
                                    </w:rPr>
                                    <w:br/>
                                    <w:t>Sep-30-2024</w:t>
                                  </w:r>
                                </w:p>
                              </w:tc>
                            </w:tr>
                            <w:tr w:rsidR="00396BEA" w:rsidRPr="00396BEA" w14:paraId="59AB0B72" w14:textId="77777777" w:rsidTr="00396BEA">
                              <w:trPr>
                                <w:trHeight w:val="204"/>
                              </w:trPr>
                              <w:tc>
                                <w:tcPr>
                                  <w:tcW w:w="1719" w:type="pct"/>
                                  <w:tcBorders>
                                    <w:top w:val="nil"/>
                                    <w:left w:val="nil"/>
                                    <w:bottom w:val="nil"/>
                                    <w:right w:val="nil"/>
                                  </w:tcBorders>
                                  <w:shd w:val="clear" w:color="000000" w:fill="F0F0DC"/>
                                  <w:vAlign w:val="bottom"/>
                                  <w:hideMark/>
                                </w:tcPr>
                                <w:p w14:paraId="4B2A11B6" w14:textId="77777777" w:rsidR="00396BEA" w:rsidRPr="00396BEA" w:rsidRDefault="00396BEA" w:rsidP="00396BEA">
                                  <w:pPr>
                                    <w:spacing w:after="0" w:line="240" w:lineRule="auto"/>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Currency</w:t>
                                  </w:r>
                                </w:p>
                              </w:tc>
                              <w:tc>
                                <w:tcPr>
                                  <w:tcW w:w="547" w:type="pct"/>
                                  <w:tcBorders>
                                    <w:top w:val="nil"/>
                                    <w:left w:val="nil"/>
                                    <w:bottom w:val="nil"/>
                                    <w:right w:val="nil"/>
                                  </w:tcBorders>
                                  <w:shd w:val="clear" w:color="000000" w:fill="F0F0DC"/>
                                  <w:vAlign w:val="bottom"/>
                                  <w:hideMark/>
                                </w:tcPr>
                                <w:p w14:paraId="27F65A4C"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30F2CDA8"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6DC87AC6"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3F1AE87A"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0655758D"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178B64E9"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r>
                            <w:tr w:rsidR="00396BEA" w:rsidRPr="00396BEA" w14:paraId="65BC55C2" w14:textId="77777777" w:rsidTr="00396BEA">
                              <w:trPr>
                                <w:trHeight w:val="204"/>
                              </w:trPr>
                              <w:tc>
                                <w:tcPr>
                                  <w:tcW w:w="1719" w:type="pct"/>
                                  <w:tcBorders>
                                    <w:top w:val="nil"/>
                                    <w:left w:val="nil"/>
                                    <w:bottom w:val="nil"/>
                                    <w:right w:val="nil"/>
                                  </w:tcBorders>
                                  <w:noWrap/>
                                  <w:hideMark/>
                                </w:tcPr>
                                <w:p w14:paraId="11E2F539"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Net Income</w:t>
                                  </w:r>
                                </w:p>
                              </w:tc>
                              <w:tc>
                                <w:tcPr>
                                  <w:tcW w:w="547" w:type="pct"/>
                                  <w:tcBorders>
                                    <w:top w:val="nil"/>
                                    <w:left w:val="nil"/>
                                    <w:bottom w:val="nil"/>
                                    <w:right w:val="nil"/>
                                  </w:tcBorders>
                                  <w:hideMark/>
                                </w:tcPr>
                                <w:p w14:paraId="4AE6594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01FB12B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180ACDB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7183361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51BEA87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1A52636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r>
                            <w:tr w:rsidR="00396BEA" w:rsidRPr="00396BEA" w14:paraId="64BE7DE8" w14:textId="77777777" w:rsidTr="00396BEA">
                              <w:trPr>
                                <w:trHeight w:val="204"/>
                              </w:trPr>
                              <w:tc>
                                <w:tcPr>
                                  <w:tcW w:w="1719" w:type="pct"/>
                                  <w:tcBorders>
                                    <w:top w:val="nil"/>
                                    <w:left w:val="nil"/>
                                    <w:bottom w:val="nil"/>
                                    <w:right w:val="nil"/>
                                  </w:tcBorders>
                                  <w:noWrap/>
                                  <w:hideMark/>
                                </w:tcPr>
                                <w:p w14:paraId="0532F089"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Depreciation &amp; Amort.</w:t>
                                  </w:r>
                                </w:p>
                              </w:tc>
                              <w:tc>
                                <w:tcPr>
                                  <w:tcW w:w="547" w:type="pct"/>
                                  <w:tcBorders>
                                    <w:top w:val="nil"/>
                                    <w:left w:val="nil"/>
                                    <w:bottom w:val="nil"/>
                                    <w:right w:val="nil"/>
                                  </w:tcBorders>
                                  <w:hideMark/>
                                </w:tcPr>
                                <w:p w14:paraId="0E42715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601F71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470C57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554EC4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5F85B0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3C8ADC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7D6F5F70" w14:textId="77777777" w:rsidTr="00396BEA">
                              <w:trPr>
                                <w:trHeight w:val="204"/>
                              </w:trPr>
                              <w:tc>
                                <w:tcPr>
                                  <w:tcW w:w="1719" w:type="pct"/>
                                  <w:tcBorders>
                                    <w:top w:val="nil"/>
                                    <w:left w:val="nil"/>
                                    <w:bottom w:val="nil"/>
                                    <w:right w:val="nil"/>
                                  </w:tcBorders>
                                  <w:noWrap/>
                                  <w:hideMark/>
                                </w:tcPr>
                                <w:p w14:paraId="7AF12158"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Amort. of Goodwill and Intangibles</w:t>
                                  </w:r>
                                </w:p>
                              </w:tc>
                              <w:tc>
                                <w:tcPr>
                                  <w:tcW w:w="547" w:type="pct"/>
                                  <w:tcBorders>
                                    <w:top w:val="nil"/>
                                    <w:left w:val="nil"/>
                                    <w:bottom w:val="nil"/>
                                    <w:right w:val="nil"/>
                                  </w:tcBorders>
                                  <w:hideMark/>
                                </w:tcPr>
                                <w:p w14:paraId="0F9914A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EBACCF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F553E2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43F0B4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1A189B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0D2C741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r>
                            <w:tr w:rsidR="00396BEA" w:rsidRPr="00396BEA" w14:paraId="7590233A" w14:textId="77777777" w:rsidTr="00396BEA">
                              <w:trPr>
                                <w:trHeight w:val="204"/>
                              </w:trPr>
                              <w:tc>
                                <w:tcPr>
                                  <w:tcW w:w="1719" w:type="pct"/>
                                  <w:tcBorders>
                                    <w:top w:val="nil"/>
                                    <w:left w:val="nil"/>
                                    <w:bottom w:val="nil"/>
                                    <w:right w:val="nil"/>
                                  </w:tcBorders>
                                  <w:noWrap/>
                                  <w:hideMark/>
                                </w:tcPr>
                                <w:p w14:paraId="34AD42E6"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Depreciation &amp; Amort., Total</w:t>
                                  </w:r>
                                </w:p>
                              </w:tc>
                              <w:tc>
                                <w:tcPr>
                                  <w:tcW w:w="547" w:type="pct"/>
                                  <w:tcBorders>
                                    <w:top w:val="single" w:sz="4" w:space="0" w:color="000000"/>
                                    <w:left w:val="nil"/>
                                    <w:bottom w:val="nil"/>
                                    <w:right w:val="nil"/>
                                  </w:tcBorders>
                                  <w:hideMark/>
                                </w:tcPr>
                                <w:p w14:paraId="75EC4B1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509B3E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046A8C3"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11C51B8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1BCF57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921824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r>
                            <w:tr w:rsidR="00396BEA" w:rsidRPr="00396BEA" w14:paraId="1EC0F9D2" w14:textId="77777777" w:rsidTr="00396BEA">
                              <w:trPr>
                                <w:trHeight w:val="204"/>
                              </w:trPr>
                              <w:tc>
                                <w:tcPr>
                                  <w:tcW w:w="1719" w:type="pct"/>
                                  <w:tcBorders>
                                    <w:top w:val="nil"/>
                                    <w:left w:val="nil"/>
                                    <w:bottom w:val="nil"/>
                                    <w:right w:val="nil"/>
                                  </w:tcBorders>
                                  <w:noWrap/>
                                  <w:hideMark/>
                                </w:tcPr>
                                <w:p w14:paraId="35A459D0"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Amortization</w:t>
                                  </w:r>
                                </w:p>
                              </w:tc>
                              <w:tc>
                                <w:tcPr>
                                  <w:tcW w:w="547" w:type="pct"/>
                                  <w:tcBorders>
                                    <w:top w:val="nil"/>
                                    <w:left w:val="nil"/>
                                    <w:bottom w:val="nil"/>
                                    <w:right w:val="nil"/>
                                  </w:tcBorders>
                                  <w:hideMark/>
                                </w:tcPr>
                                <w:p w14:paraId="7D16503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C1004A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D9051C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49D9BC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3D6DF78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EBE1F3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3B6FBC3" w14:textId="77777777" w:rsidTr="00396BEA">
                              <w:trPr>
                                <w:trHeight w:val="204"/>
                              </w:trPr>
                              <w:tc>
                                <w:tcPr>
                                  <w:tcW w:w="1719" w:type="pct"/>
                                  <w:tcBorders>
                                    <w:top w:val="nil"/>
                                    <w:left w:val="nil"/>
                                    <w:bottom w:val="nil"/>
                                    <w:right w:val="nil"/>
                                  </w:tcBorders>
                                  <w:noWrap/>
                                  <w:hideMark/>
                                </w:tcPr>
                                <w:p w14:paraId="6C3CA98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Asset </w:t>
                                  </w:r>
                                  <w:r w:rsidRPr="00396BEA">
                                    <w:rPr>
                                      <w:rFonts w:ascii="Cambria" w:eastAsia="Times New Roman" w:hAnsi="Cambria" w:cs="Arial"/>
                                      <w:color w:val="000000"/>
                                      <w:kern w:val="0"/>
                                      <w:sz w:val="14"/>
                                      <w:szCs w:val="14"/>
                                      <w:lang w:eastAsia="en-IN"/>
                                      <w14:ligatures w14:val="none"/>
                                    </w:rPr>
                                    <w:t>Writedown &amp; Restructuring Costs</w:t>
                                  </w:r>
                                </w:p>
                              </w:tc>
                              <w:tc>
                                <w:tcPr>
                                  <w:tcW w:w="547" w:type="pct"/>
                                  <w:tcBorders>
                                    <w:top w:val="nil"/>
                                    <w:left w:val="nil"/>
                                    <w:bottom w:val="nil"/>
                                    <w:right w:val="nil"/>
                                  </w:tcBorders>
                                  <w:hideMark/>
                                </w:tcPr>
                                <w:p w14:paraId="6E40A1B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089E00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465071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2CE22A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2914089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09AF50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2879F9C6" w14:textId="77777777" w:rsidTr="00396BEA">
                              <w:trPr>
                                <w:trHeight w:val="204"/>
                              </w:trPr>
                              <w:tc>
                                <w:tcPr>
                                  <w:tcW w:w="1719" w:type="pct"/>
                                  <w:tcBorders>
                                    <w:top w:val="nil"/>
                                    <w:left w:val="nil"/>
                                    <w:bottom w:val="nil"/>
                                    <w:right w:val="nil"/>
                                  </w:tcBorders>
                                  <w:noWrap/>
                                  <w:hideMark/>
                                </w:tcPr>
                                <w:p w14:paraId="2DE54919"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(Income) Loss on Equity Invest.</w:t>
                                  </w:r>
                                </w:p>
                              </w:tc>
                              <w:tc>
                                <w:tcPr>
                                  <w:tcW w:w="547" w:type="pct"/>
                                  <w:tcBorders>
                                    <w:top w:val="nil"/>
                                    <w:left w:val="nil"/>
                                    <w:bottom w:val="nil"/>
                                    <w:right w:val="nil"/>
                                  </w:tcBorders>
                                  <w:hideMark/>
                                </w:tcPr>
                                <w:p w14:paraId="5032208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E1753E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FF9C1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B7B284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EC622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121E1E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5958FC5B" w14:textId="77777777" w:rsidTr="00396BEA">
                              <w:trPr>
                                <w:trHeight w:val="204"/>
                              </w:trPr>
                              <w:tc>
                                <w:tcPr>
                                  <w:tcW w:w="1719" w:type="pct"/>
                                  <w:tcBorders>
                                    <w:top w:val="nil"/>
                                    <w:left w:val="nil"/>
                                    <w:bottom w:val="nil"/>
                                    <w:right w:val="nil"/>
                                  </w:tcBorders>
                                  <w:noWrap/>
                                  <w:hideMark/>
                                </w:tcPr>
                                <w:p w14:paraId="6A6FF9F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Provision &amp; Write-off of Bad debts</w:t>
                                  </w:r>
                                </w:p>
                              </w:tc>
                              <w:tc>
                                <w:tcPr>
                                  <w:tcW w:w="547" w:type="pct"/>
                                  <w:tcBorders>
                                    <w:top w:val="nil"/>
                                    <w:left w:val="nil"/>
                                    <w:bottom w:val="nil"/>
                                    <w:right w:val="nil"/>
                                  </w:tcBorders>
                                  <w:hideMark/>
                                </w:tcPr>
                                <w:p w14:paraId="64D48AA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8D855C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2E5E97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DDC0B7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DB0E96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F753D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B19D55B" w14:textId="77777777" w:rsidTr="00396BEA">
                              <w:trPr>
                                <w:trHeight w:val="204"/>
                              </w:trPr>
                              <w:tc>
                                <w:tcPr>
                                  <w:tcW w:w="1719" w:type="pct"/>
                                  <w:tcBorders>
                                    <w:top w:val="nil"/>
                                    <w:left w:val="nil"/>
                                    <w:bottom w:val="nil"/>
                                    <w:right w:val="nil"/>
                                  </w:tcBorders>
                                  <w:noWrap/>
                                  <w:hideMark/>
                                </w:tcPr>
                                <w:p w14:paraId="45D61C4E"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Operating Activities</w:t>
                                  </w:r>
                                </w:p>
                              </w:tc>
                              <w:tc>
                                <w:tcPr>
                                  <w:tcW w:w="547" w:type="pct"/>
                                  <w:tcBorders>
                                    <w:top w:val="nil"/>
                                    <w:left w:val="nil"/>
                                    <w:bottom w:val="nil"/>
                                    <w:right w:val="nil"/>
                                  </w:tcBorders>
                                  <w:hideMark/>
                                </w:tcPr>
                                <w:p w14:paraId="4208AFB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24A792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E163C9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1620010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4D4CAB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2712EB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5016DD1F" w14:textId="77777777" w:rsidTr="00396BEA">
                              <w:trPr>
                                <w:trHeight w:val="204"/>
                              </w:trPr>
                              <w:tc>
                                <w:tcPr>
                                  <w:tcW w:w="1719" w:type="pct"/>
                                  <w:tcBorders>
                                    <w:top w:val="nil"/>
                                    <w:left w:val="nil"/>
                                    <w:bottom w:val="nil"/>
                                    <w:right w:val="nil"/>
                                  </w:tcBorders>
                                  <w:noWrap/>
                                  <w:hideMark/>
                                </w:tcPr>
                                <w:p w14:paraId="091AEAB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Acc. Receivable</w:t>
                                  </w:r>
                                </w:p>
                              </w:tc>
                              <w:tc>
                                <w:tcPr>
                                  <w:tcW w:w="547" w:type="pct"/>
                                  <w:tcBorders>
                                    <w:top w:val="nil"/>
                                    <w:left w:val="nil"/>
                                    <w:bottom w:val="nil"/>
                                    <w:right w:val="nil"/>
                                  </w:tcBorders>
                                  <w:hideMark/>
                                </w:tcPr>
                                <w:p w14:paraId="68AB1C1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07624FC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619AD3C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0BBADD9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1AD2FBF0"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2B17EE1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167FEAAD" w14:textId="77777777" w:rsidTr="00396BEA">
                              <w:trPr>
                                <w:trHeight w:val="204"/>
                              </w:trPr>
                              <w:tc>
                                <w:tcPr>
                                  <w:tcW w:w="1719" w:type="pct"/>
                                  <w:tcBorders>
                                    <w:top w:val="nil"/>
                                    <w:left w:val="nil"/>
                                    <w:bottom w:val="nil"/>
                                    <w:right w:val="nil"/>
                                  </w:tcBorders>
                                  <w:noWrap/>
                                  <w:hideMark/>
                                </w:tcPr>
                                <w:p w14:paraId="182DE18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Inventories</w:t>
                                  </w:r>
                                </w:p>
                              </w:tc>
                              <w:tc>
                                <w:tcPr>
                                  <w:tcW w:w="547" w:type="pct"/>
                                  <w:tcBorders>
                                    <w:top w:val="nil"/>
                                    <w:left w:val="nil"/>
                                    <w:bottom w:val="nil"/>
                                    <w:right w:val="nil"/>
                                  </w:tcBorders>
                                  <w:hideMark/>
                                </w:tcPr>
                                <w:p w14:paraId="3330D34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732614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16E2A8D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1074541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9CAC63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323910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3274E787" w14:textId="77777777" w:rsidTr="00396BEA">
                              <w:trPr>
                                <w:trHeight w:val="204"/>
                              </w:trPr>
                              <w:tc>
                                <w:tcPr>
                                  <w:tcW w:w="1719" w:type="pct"/>
                                  <w:tcBorders>
                                    <w:top w:val="nil"/>
                                    <w:left w:val="nil"/>
                                    <w:bottom w:val="nil"/>
                                    <w:right w:val="nil"/>
                                  </w:tcBorders>
                                  <w:noWrap/>
                                  <w:hideMark/>
                                </w:tcPr>
                                <w:p w14:paraId="445AB19C"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Acc. Payable</w:t>
                                  </w:r>
                                </w:p>
                              </w:tc>
                              <w:tc>
                                <w:tcPr>
                                  <w:tcW w:w="547" w:type="pct"/>
                                  <w:tcBorders>
                                    <w:top w:val="nil"/>
                                    <w:left w:val="nil"/>
                                    <w:bottom w:val="nil"/>
                                    <w:right w:val="nil"/>
                                  </w:tcBorders>
                                  <w:hideMark/>
                                </w:tcPr>
                                <w:p w14:paraId="665C817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05DEA8B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49FC289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69ADD8B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D6080C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A3871D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76BF6B7B" w14:textId="77777777" w:rsidTr="00396BEA">
                              <w:trPr>
                                <w:trHeight w:val="204"/>
                              </w:trPr>
                              <w:tc>
                                <w:tcPr>
                                  <w:tcW w:w="1719" w:type="pct"/>
                                  <w:tcBorders>
                                    <w:top w:val="nil"/>
                                    <w:left w:val="nil"/>
                                    <w:bottom w:val="nil"/>
                                    <w:right w:val="nil"/>
                                  </w:tcBorders>
                                  <w:noWrap/>
                                  <w:hideMark/>
                                </w:tcPr>
                                <w:p w14:paraId="49E3016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Inc. Taxes</w:t>
                                  </w:r>
                                </w:p>
                              </w:tc>
                              <w:tc>
                                <w:tcPr>
                                  <w:tcW w:w="547" w:type="pct"/>
                                  <w:tcBorders>
                                    <w:top w:val="nil"/>
                                    <w:left w:val="nil"/>
                                    <w:bottom w:val="nil"/>
                                    <w:right w:val="nil"/>
                                  </w:tcBorders>
                                  <w:hideMark/>
                                </w:tcPr>
                                <w:p w14:paraId="24B8D030"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117952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0C10F1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96BF79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E060B5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8EEA86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C052940" w14:textId="77777777" w:rsidTr="00396BEA">
                              <w:trPr>
                                <w:trHeight w:val="204"/>
                              </w:trPr>
                              <w:tc>
                                <w:tcPr>
                                  <w:tcW w:w="1719" w:type="pct"/>
                                  <w:tcBorders>
                                    <w:top w:val="nil"/>
                                    <w:left w:val="nil"/>
                                    <w:bottom w:val="nil"/>
                                    <w:right w:val="nil"/>
                                  </w:tcBorders>
                                  <w:noWrap/>
                                  <w:hideMark/>
                                </w:tcPr>
                                <w:p w14:paraId="288B3576"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Other Net Operating Assets</w:t>
                                  </w:r>
                                </w:p>
                              </w:tc>
                              <w:tc>
                                <w:tcPr>
                                  <w:tcW w:w="547" w:type="pct"/>
                                  <w:tcBorders>
                                    <w:top w:val="nil"/>
                                    <w:left w:val="nil"/>
                                    <w:bottom w:val="nil"/>
                                    <w:right w:val="nil"/>
                                  </w:tcBorders>
                                  <w:hideMark/>
                                </w:tcPr>
                                <w:p w14:paraId="7F8EB95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(1.0)  </w:t>
                                  </w:r>
                                </w:p>
                              </w:tc>
                              <w:tc>
                                <w:tcPr>
                                  <w:tcW w:w="547" w:type="pct"/>
                                  <w:tcBorders>
                                    <w:top w:val="nil"/>
                                    <w:left w:val="nil"/>
                                    <w:bottom w:val="nil"/>
                                    <w:right w:val="nil"/>
                                  </w:tcBorders>
                                  <w:hideMark/>
                                </w:tcPr>
                                <w:p w14:paraId="216A529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0.8 </w:t>
                                  </w:r>
                                </w:p>
                              </w:tc>
                              <w:tc>
                                <w:tcPr>
                                  <w:tcW w:w="547" w:type="pct"/>
                                  <w:tcBorders>
                                    <w:top w:val="nil"/>
                                    <w:left w:val="nil"/>
                                    <w:bottom w:val="nil"/>
                                    <w:right w:val="nil"/>
                                  </w:tcBorders>
                                  <w:hideMark/>
                                </w:tcPr>
                                <w:p w14:paraId="06F060D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EBF47E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1B37680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79EA3F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21145E8B" w14:textId="77777777" w:rsidTr="00396BEA">
                              <w:trPr>
                                <w:trHeight w:val="204"/>
                              </w:trPr>
                              <w:tc>
                                <w:tcPr>
                                  <w:tcW w:w="1719" w:type="pct"/>
                                  <w:tcBorders>
                                    <w:top w:val="nil"/>
                                    <w:left w:val="nil"/>
                                    <w:bottom w:val="nil"/>
                                    <w:right w:val="nil"/>
                                  </w:tcBorders>
                                  <w:noWrap/>
                                  <w:hideMark/>
                                </w:tcPr>
                                <w:p w14:paraId="4D0C5304"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Ops.</w:t>
                                  </w:r>
                                </w:p>
                              </w:tc>
                              <w:tc>
                                <w:tcPr>
                                  <w:tcW w:w="547" w:type="pct"/>
                                  <w:tcBorders>
                                    <w:top w:val="single" w:sz="4" w:space="0" w:color="000000"/>
                                    <w:left w:val="nil"/>
                                    <w:bottom w:val="nil"/>
                                    <w:right w:val="nil"/>
                                  </w:tcBorders>
                                  <w:hideMark/>
                                </w:tcPr>
                                <w:p w14:paraId="6CD9A75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(0.8)  </w:t>
                                  </w:r>
                                </w:p>
                              </w:tc>
                              <w:tc>
                                <w:tcPr>
                                  <w:tcW w:w="547" w:type="pct"/>
                                  <w:tcBorders>
                                    <w:top w:val="single" w:sz="4" w:space="0" w:color="000000"/>
                                    <w:left w:val="nil"/>
                                    <w:bottom w:val="nil"/>
                                    <w:right w:val="nil"/>
                                  </w:tcBorders>
                                  <w:hideMark/>
                                </w:tcPr>
                                <w:p w14:paraId="74F52A6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c>
                                <w:tcPr>
                                  <w:tcW w:w="547" w:type="pct"/>
                                  <w:tcBorders>
                                    <w:top w:val="single" w:sz="4" w:space="0" w:color="000000"/>
                                    <w:left w:val="nil"/>
                                    <w:bottom w:val="nil"/>
                                    <w:right w:val="nil"/>
                                  </w:tcBorders>
                                  <w:hideMark/>
                                </w:tcPr>
                                <w:p w14:paraId="7C6909B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64A75A6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c>
                                <w:tcPr>
                                  <w:tcW w:w="547" w:type="pct"/>
                                  <w:tcBorders>
                                    <w:top w:val="single" w:sz="4" w:space="0" w:color="000000"/>
                                    <w:left w:val="nil"/>
                                    <w:bottom w:val="nil"/>
                                    <w:right w:val="nil"/>
                                  </w:tcBorders>
                                  <w:hideMark/>
                                </w:tcPr>
                                <w:p w14:paraId="0344B51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0.7 </w:t>
                                  </w:r>
                                </w:p>
                              </w:tc>
                              <w:tc>
                                <w:tcPr>
                                  <w:tcW w:w="547" w:type="pct"/>
                                  <w:tcBorders>
                                    <w:top w:val="single" w:sz="4" w:space="0" w:color="000000"/>
                                    <w:left w:val="nil"/>
                                    <w:bottom w:val="nil"/>
                                    <w:right w:val="nil"/>
                                  </w:tcBorders>
                                  <w:hideMark/>
                                </w:tcPr>
                                <w:p w14:paraId="7DE3A3E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r>
                            <w:tr w:rsidR="00396BEA" w:rsidRPr="00396BEA" w14:paraId="5D6F9D88" w14:textId="77777777" w:rsidTr="00396BEA">
                              <w:trPr>
                                <w:trHeight w:val="204"/>
                              </w:trPr>
                              <w:tc>
                                <w:tcPr>
                                  <w:tcW w:w="1719" w:type="pct"/>
                                  <w:tcBorders>
                                    <w:top w:val="nil"/>
                                    <w:left w:val="nil"/>
                                    <w:bottom w:val="nil"/>
                                    <w:right w:val="nil"/>
                                  </w:tcBorders>
                                  <w:noWrap/>
                                  <w:hideMark/>
                                </w:tcPr>
                                <w:p w14:paraId="257BC1C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Capital Expenditure</w:t>
                                  </w:r>
                                </w:p>
                              </w:tc>
                              <w:tc>
                                <w:tcPr>
                                  <w:tcW w:w="547" w:type="pct"/>
                                  <w:tcBorders>
                                    <w:top w:val="nil"/>
                                    <w:left w:val="nil"/>
                                    <w:bottom w:val="nil"/>
                                    <w:right w:val="nil"/>
                                  </w:tcBorders>
                                  <w:hideMark/>
                                </w:tcPr>
                                <w:p w14:paraId="17C4D8F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5C52D8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86FDEF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6CA9F6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51DFD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E047E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7D2BCB56" w14:textId="77777777" w:rsidTr="00396BEA">
                              <w:trPr>
                                <w:trHeight w:val="204"/>
                              </w:trPr>
                              <w:tc>
                                <w:tcPr>
                                  <w:tcW w:w="1719" w:type="pct"/>
                                  <w:tcBorders>
                                    <w:top w:val="nil"/>
                                    <w:left w:val="nil"/>
                                    <w:bottom w:val="nil"/>
                                    <w:right w:val="nil"/>
                                  </w:tcBorders>
                                  <w:noWrap/>
                                  <w:hideMark/>
                                </w:tcPr>
                                <w:p w14:paraId="1DFB40A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Cash Acquisitions</w:t>
                                  </w:r>
                                </w:p>
                              </w:tc>
                              <w:tc>
                                <w:tcPr>
                                  <w:tcW w:w="547" w:type="pct"/>
                                  <w:tcBorders>
                                    <w:top w:val="nil"/>
                                    <w:left w:val="nil"/>
                                    <w:bottom w:val="nil"/>
                                    <w:right w:val="nil"/>
                                  </w:tcBorders>
                                  <w:hideMark/>
                                </w:tcPr>
                                <w:p w14:paraId="4AEBFCC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A4CCA9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F04BF1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423FD6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3BDDBD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5A6DA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1066409B" w14:textId="77777777" w:rsidTr="00396BEA">
                              <w:trPr>
                                <w:trHeight w:val="204"/>
                              </w:trPr>
                              <w:tc>
                                <w:tcPr>
                                  <w:tcW w:w="1719" w:type="pct"/>
                                  <w:tcBorders>
                                    <w:top w:val="nil"/>
                                    <w:left w:val="nil"/>
                                    <w:bottom w:val="nil"/>
                                    <w:right w:val="nil"/>
                                  </w:tcBorders>
                                  <w:noWrap/>
                                  <w:hideMark/>
                                </w:tcPr>
                                <w:p w14:paraId="1424A1A0"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Sale (Purchase) of Intangible assets</w:t>
                                  </w:r>
                                </w:p>
                              </w:tc>
                              <w:tc>
                                <w:tcPr>
                                  <w:tcW w:w="547" w:type="pct"/>
                                  <w:tcBorders>
                                    <w:top w:val="nil"/>
                                    <w:left w:val="nil"/>
                                    <w:bottom w:val="nil"/>
                                    <w:right w:val="nil"/>
                                  </w:tcBorders>
                                  <w:hideMark/>
                                </w:tcPr>
                                <w:p w14:paraId="5C59228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28DB59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17C059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DEF8AB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9A9309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AB943A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6FDBECA3" w14:textId="77777777" w:rsidTr="00396BEA">
                              <w:trPr>
                                <w:trHeight w:val="204"/>
                              </w:trPr>
                              <w:tc>
                                <w:tcPr>
                                  <w:tcW w:w="1719" w:type="pct"/>
                                  <w:tcBorders>
                                    <w:top w:val="nil"/>
                                    <w:left w:val="nil"/>
                                    <w:bottom w:val="nil"/>
                                    <w:right w:val="nil"/>
                                  </w:tcBorders>
                                  <w:noWrap/>
                                  <w:hideMark/>
                                </w:tcPr>
                                <w:p w14:paraId="3DC93E58"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Investing</w:t>
                                  </w:r>
                                </w:p>
                              </w:tc>
                              <w:tc>
                                <w:tcPr>
                                  <w:tcW w:w="547" w:type="pct"/>
                                  <w:tcBorders>
                                    <w:top w:val="single" w:sz="4" w:space="0" w:color="000000"/>
                                    <w:left w:val="nil"/>
                                    <w:bottom w:val="nil"/>
                                    <w:right w:val="nil"/>
                                  </w:tcBorders>
                                  <w:hideMark/>
                                </w:tcPr>
                                <w:p w14:paraId="6C698D1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28574E8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386C657D"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317E3B1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2AD8A3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669B536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r>
                            <w:tr w:rsidR="00396BEA" w:rsidRPr="00396BEA" w14:paraId="54D460BB" w14:textId="77777777" w:rsidTr="00396BEA">
                              <w:trPr>
                                <w:trHeight w:val="204"/>
                              </w:trPr>
                              <w:tc>
                                <w:tcPr>
                                  <w:tcW w:w="1719" w:type="pct"/>
                                  <w:tcBorders>
                                    <w:top w:val="nil"/>
                                    <w:left w:val="nil"/>
                                    <w:bottom w:val="nil"/>
                                    <w:right w:val="nil"/>
                                  </w:tcBorders>
                                  <w:noWrap/>
                                  <w:hideMark/>
                                </w:tcPr>
                                <w:p w14:paraId="63120EF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Long-Term Debt Issued</w:t>
                                  </w:r>
                                </w:p>
                              </w:tc>
                              <w:tc>
                                <w:tcPr>
                                  <w:tcW w:w="547" w:type="pct"/>
                                  <w:tcBorders>
                                    <w:top w:val="nil"/>
                                    <w:left w:val="nil"/>
                                    <w:bottom w:val="nil"/>
                                    <w:right w:val="nil"/>
                                  </w:tcBorders>
                                  <w:hideMark/>
                                </w:tcPr>
                                <w:p w14:paraId="46D50D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66DCD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D66DEE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1.1 </w:t>
                                  </w:r>
                                </w:p>
                              </w:tc>
                              <w:tc>
                                <w:tcPr>
                                  <w:tcW w:w="547" w:type="pct"/>
                                  <w:tcBorders>
                                    <w:top w:val="nil"/>
                                    <w:left w:val="nil"/>
                                    <w:bottom w:val="nil"/>
                                    <w:right w:val="nil"/>
                                  </w:tcBorders>
                                  <w:hideMark/>
                                </w:tcPr>
                                <w:p w14:paraId="1E81D3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5932DC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2A4FDCB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35182ED5" w14:textId="77777777" w:rsidTr="00396BEA">
                              <w:trPr>
                                <w:trHeight w:val="204"/>
                              </w:trPr>
                              <w:tc>
                                <w:tcPr>
                                  <w:tcW w:w="1719" w:type="pct"/>
                                  <w:tcBorders>
                                    <w:top w:val="nil"/>
                                    <w:left w:val="nil"/>
                                    <w:bottom w:val="nil"/>
                                    <w:right w:val="nil"/>
                                  </w:tcBorders>
                                  <w:noWrap/>
                                  <w:hideMark/>
                                </w:tcPr>
                                <w:p w14:paraId="728FBB80"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Debt Issued</w:t>
                                  </w:r>
                                </w:p>
                              </w:tc>
                              <w:tc>
                                <w:tcPr>
                                  <w:tcW w:w="547" w:type="pct"/>
                                  <w:tcBorders>
                                    <w:top w:val="single" w:sz="4" w:space="0" w:color="000000"/>
                                    <w:left w:val="nil"/>
                                    <w:bottom w:val="nil"/>
                                    <w:right w:val="nil"/>
                                  </w:tcBorders>
                                  <w:hideMark/>
                                </w:tcPr>
                                <w:p w14:paraId="0F1907F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4E53B9A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D05AEC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1.1 </w:t>
                                  </w:r>
                                </w:p>
                              </w:tc>
                              <w:tc>
                                <w:tcPr>
                                  <w:tcW w:w="547" w:type="pct"/>
                                  <w:tcBorders>
                                    <w:top w:val="single" w:sz="4" w:space="0" w:color="000000"/>
                                    <w:left w:val="nil"/>
                                    <w:bottom w:val="nil"/>
                                    <w:right w:val="nil"/>
                                  </w:tcBorders>
                                  <w:hideMark/>
                                </w:tcPr>
                                <w:p w14:paraId="5E0EFF3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06151ED"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c>
                                <w:tcPr>
                                  <w:tcW w:w="547" w:type="pct"/>
                                  <w:tcBorders>
                                    <w:top w:val="single" w:sz="4" w:space="0" w:color="000000"/>
                                    <w:left w:val="nil"/>
                                    <w:bottom w:val="nil"/>
                                    <w:right w:val="nil"/>
                                  </w:tcBorders>
                                  <w:hideMark/>
                                </w:tcPr>
                                <w:p w14:paraId="3090910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r>
                            <w:tr w:rsidR="00396BEA" w:rsidRPr="00396BEA" w14:paraId="0DBB2BC2" w14:textId="77777777" w:rsidTr="00396BEA">
                              <w:trPr>
                                <w:trHeight w:val="204"/>
                              </w:trPr>
                              <w:tc>
                                <w:tcPr>
                                  <w:tcW w:w="1719" w:type="pct"/>
                                  <w:tcBorders>
                                    <w:top w:val="nil"/>
                                    <w:left w:val="nil"/>
                                    <w:bottom w:val="nil"/>
                                    <w:right w:val="nil"/>
                                  </w:tcBorders>
                                  <w:noWrap/>
                                  <w:hideMark/>
                                </w:tcPr>
                                <w:p w14:paraId="7BC96436"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Long-Term Debt Repaid</w:t>
                                  </w:r>
                                </w:p>
                              </w:tc>
                              <w:tc>
                                <w:tcPr>
                                  <w:tcW w:w="547" w:type="pct"/>
                                  <w:tcBorders>
                                    <w:top w:val="nil"/>
                                    <w:left w:val="nil"/>
                                    <w:bottom w:val="nil"/>
                                    <w:right w:val="nil"/>
                                  </w:tcBorders>
                                  <w:hideMark/>
                                </w:tcPr>
                                <w:p w14:paraId="78166CB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F55A77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407156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7ECC72E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460A5A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AC048F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2CD9FEF5" w14:textId="77777777" w:rsidTr="00396BEA">
                              <w:trPr>
                                <w:trHeight w:val="204"/>
                              </w:trPr>
                              <w:tc>
                                <w:tcPr>
                                  <w:tcW w:w="1719" w:type="pct"/>
                                  <w:tcBorders>
                                    <w:top w:val="nil"/>
                                    <w:left w:val="nil"/>
                                    <w:bottom w:val="nil"/>
                                    <w:right w:val="nil"/>
                                  </w:tcBorders>
                                  <w:noWrap/>
                                  <w:hideMark/>
                                </w:tcPr>
                                <w:p w14:paraId="608A5BA9"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Debt Repaid</w:t>
                                  </w:r>
                                </w:p>
                              </w:tc>
                              <w:tc>
                                <w:tcPr>
                                  <w:tcW w:w="547" w:type="pct"/>
                                  <w:tcBorders>
                                    <w:top w:val="single" w:sz="4" w:space="0" w:color="000000"/>
                                    <w:left w:val="nil"/>
                                    <w:bottom w:val="nil"/>
                                    <w:right w:val="nil"/>
                                  </w:tcBorders>
                                  <w:hideMark/>
                                </w:tcPr>
                                <w:p w14:paraId="36EB465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AF6AA0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3E4FB3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(0.4)  </w:t>
                                  </w:r>
                                </w:p>
                              </w:tc>
                              <w:tc>
                                <w:tcPr>
                                  <w:tcW w:w="547" w:type="pct"/>
                                  <w:tcBorders>
                                    <w:top w:val="single" w:sz="4" w:space="0" w:color="000000"/>
                                    <w:left w:val="nil"/>
                                    <w:bottom w:val="nil"/>
                                    <w:right w:val="nil"/>
                                  </w:tcBorders>
                                  <w:hideMark/>
                                </w:tcPr>
                                <w:p w14:paraId="6286942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FEE327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501410E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r>
                            <w:tr w:rsidR="00396BEA" w:rsidRPr="00396BEA" w14:paraId="52EB8857" w14:textId="77777777" w:rsidTr="00396BEA">
                              <w:trPr>
                                <w:trHeight w:val="204"/>
                              </w:trPr>
                              <w:tc>
                                <w:tcPr>
                                  <w:tcW w:w="1719" w:type="pct"/>
                                  <w:tcBorders>
                                    <w:top w:val="nil"/>
                                    <w:left w:val="nil"/>
                                    <w:bottom w:val="nil"/>
                                    <w:right w:val="nil"/>
                                  </w:tcBorders>
                                  <w:noWrap/>
                                  <w:hideMark/>
                                </w:tcPr>
                                <w:p w14:paraId="4216D2F2"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Issuance of Common Stock</w:t>
                                  </w:r>
                                </w:p>
                              </w:tc>
                              <w:tc>
                                <w:tcPr>
                                  <w:tcW w:w="547" w:type="pct"/>
                                  <w:tcBorders>
                                    <w:top w:val="nil"/>
                                    <w:left w:val="nil"/>
                                    <w:bottom w:val="nil"/>
                                    <w:right w:val="nil"/>
                                  </w:tcBorders>
                                  <w:hideMark/>
                                </w:tcPr>
                                <w:p w14:paraId="00A774D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1.1 </w:t>
                                  </w:r>
                                </w:p>
                              </w:tc>
                              <w:tc>
                                <w:tcPr>
                                  <w:tcW w:w="547" w:type="pct"/>
                                  <w:tcBorders>
                                    <w:top w:val="nil"/>
                                    <w:left w:val="nil"/>
                                    <w:bottom w:val="nil"/>
                                    <w:right w:val="nil"/>
                                  </w:tcBorders>
                                  <w:hideMark/>
                                </w:tcPr>
                                <w:p w14:paraId="333B322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0FFE3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73BEE95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E0B1F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BD7051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432443F8" w14:textId="77777777" w:rsidTr="00396BEA">
                              <w:trPr>
                                <w:trHeight w:val="204"/>
                              </w:trPr>
                              <w:tc>
                                <w:tcPr>
                                  <w:tcW w:w="1719" w:type="pct"/>
                                  <w:tcBorders>
                                    <w:top w:val="nil"/>
                                    <w:left w:val="nil"/>
                                    <w:bottom w:val="nil"/>
                                    <w:right w:val="nil"/>
                                  </w:tcBorders>
                                  <w:noWrap/>
                                  <w:hideMark/>
                                </w:tcPr>
                                <w:p w14:paraId="30DA5FE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Repurchase of Common Stock</w:t>
                                  </w:r>
                                </w:p>
                              </w:tc>
                              <w:tc>
                                <w:tcPr>
                                  <w:tcW w:w="547" w:type="pct"/>
                                  <w:tcBorders>
                                    <w:top w:val="nil"/>
                                    <w:left w:val="nil"/>
                                    <w:bottom w:val="nil"/>
                                    <w:right w:val="nil"/>
                                  </w:tcBorders>
                                  <w:hideMark/>
                                </w:tcPr>
                                <w:p w14:paraId="449DE2C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811DF8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0B94C2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3FAC709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5567BED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8125A7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02F27416" w14:textId="77777777" w:rsidTr="00396BEA">
                              <w:trPr>
                                <w:trHeight w:val="204"/>
                              </w:trPr>
                              <w:tc>
                                <w:tcPr>
                                  <w:tcW w:w="1719" w:type="pct"/>
                                  <w:tcBorders>
                                    <w:top w:val="nil"/>
                                    <w:left w:val="nil"/>
                                    <w:bottom w:val="nil"/>
                                    <w:right w:val="nil"/>
                                  </w:tcBorders>
                                  <w:noWrap/>
                                  <w:hideMark/>
                                </w:tcPr>
                                <w:p w14:paraId="61504D4B"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Common Dividends Paid</w:t>
                                  </w:r>
                                </w:p>
                              </w:tc>
                              <w:tc>
                                <w:tcPr>
                                  <w:tcW w:w="547" w:type="pct"/>
                                  <w:tcBorders>
                                    <w:top w:val="nil"/>
                                    <w:left w:val="nil"/>
                                    <w:bottom w:val="nil"/>
                                    <w:right w:val="nil"/>
                                  </w:tcBorders>
                                  <w:hideMark/>
                                </w:tcPr>
                                <w:p w14:paraId="60B22C0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E501D6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285B55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E8B97A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C46174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27F87D7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37640DA6" w14:textId="77777777" w:rsidTr="00396BEA">
                              <w:trPr>
                                <w:trHeight w:val="204"/>
                              </w:trPr>
                              <w:tc>
                                <w:tcPr>
                                  <w:tcW w:w="1719" w:type="pct"/>
                                  <w:tcBorders>
                                    <w:top w:val="nil"/>
                                    <w:left w:val="nil"/>
                                    <w:bottom w:val="nil"/>
                                    <w:right w:val="nil"/>
                                  </w:tcBorders>
                                  <w:noWrap/>
                                  <w:hideMark/>
                                </w:tcPr>
                                <w:p w14:paraId="2A5C1D66"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Dividends Paid</w:t>
                                  </w:r>
                                </w:p>
                              </w:tc>
                              <w:tc>
                                <w:tcPr>
                                  <w:tcW w:w="547" w:type="pct"/>
                                  <w:tcBorders>
                                    <w:top w:val="single" w:sz="4" w:space="0" w:color="000000"/>
                                    <w:left w:val="nil"/>
                                    <w:bottom w:val="nil"/>
                                    <w:right w:val="nil"/>
                                  </w:tcBorders>
                                  <w:hideMark/>
                                </w:tcPr>
                                <w:p w14:paraId="2AE0AEB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089C93F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79E4C4D0"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585F633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5E6DEE00"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c>
                                <w:tcPr>
                                  <w:tcW w:w="547" w:type="pct"/>
                                  <w:tcBorders>
                                    <w:top w:val="single" w:sz="4" w:space="0" w:color="000000"/>
                                    <w:left w:val="nil"/>
                                    <w:bottom w:val="nil"/>
                                    <w:right w:val="nil"/>
                                  </w:tcBorders>
                                  <w:hideMark/>
                                </w:tcPr>
                                <w:p w14:paraId="3A50589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r>
                            <w:tr w:rsidR="00396BEA" w:rsidRPr="00396BEA" w14:paraId="68AE6C47" w14:textId="77777777" w:rsidTr="00396BEA">
                              <w:trPr>
                                <w:trHeight w:val="204"/>
                              </w:trPr>
                              <w:tc>
                                <w:tcPr>
                                  <w:tcW w:w="1719" w:type="pct"/>
                                  <w:tcBorders>
                                    <w:top w:val="nil"/>
                                    <w:left w:val="nil"/>
                                    <w:bottom w:val="nil"/>
                                    <w:right w:val="nil"/>
                                  </w:tcBorders>
                                  <w:noWrap/>
                                  <w:hideMark/>
                                </w:tcPr>
                                <w:p w14:paraId="146C5CE5"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Financing Activities</w:t>
                                  </w:r>
                                </w:p>
                              </w:tc>
                              <w:tc>
                                <w:tcPr>
                                  <w:tcW w:w="547" w:type="pct"/>
                                  <w:tcBorders>
                                    <w:top w:val="nil"/>
                                    <w:left w:val="nil"/>
                                    <w:bottom w:val="nil"/>
                                    <w:right w:val="nil"/>
                                  </w:tcBorders>
                                  <w:hideMark/>
                                </w:tcPr>
                                <w:p w14:paraId="1C346A8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1E76C6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636571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2DB8565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13D41B0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4B1E68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r>
                            <w:tr w:rsidR="00396BEA" w:rsidRPr="00396BEA" w14:paraId="6711A516" w14:textId="77777777" w:rsidTr="00396BEA">
                              <w:trPr>
                                <w:trHeight w:val="204"/>
                              </w:trPr>
                              <w:tc>
                                <w:tcPr>
                                  <w:tcW w:w="1719" w:type="pct"/>
                                  <w:tcBorders>
                                    <w:top w:val="nil"/>
                                    <w:left w:val="nil"/>
                                    <w:bottom w:val="nil"/>
                                    <w:right w:val="nil"/>
                                  </w:tcBorders>
                                  <w:noWrap/>
                                  <w:hideMark/>
                                </w:tcPr>
                                <w:p w14:paraId="067CCCBE"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Financing</w:t>
                                  </w:r>
                                </w:p>
                              </w:tc>
                              <w:tc>
                                <w:tcPr>
                                  <w:tcW w:w="547" w:type="pct"/>
                                  <w:tcBorders>
                                    <w:top w:val="single" w:sz="4" w:space="0" w:color="000000"/>
                                    <w:left w:val="nil"/>
                                    <w:bottom w:val="nil"/>
                                    <w:right w:val="nil"/>
                                  </w:tcBorders>
                                  <w:hideMark/>
                                </w:tcPr>
                                <w:p w14:paraId="7CC74C8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1.0 </w:t>
                                  </w:r>
                                </w:p>
                              </w:tc>
                              <w:tc>
                                <w:tcPr>
                                  <w:tcW w:w="547" w:type="pct"/>
                                  <w:tcBorders>
                                    <w:top w:val="single" w:sz="4" w:space="0" w:color="000000"/>
                                    <w:left w:val="nil"/>
                                    <w:bottom w:val="nil"/>
                                    <w:right w:val="nil"/>
                                  </w:tcBorders>
                                  <w:hideMark/>
                                </w:tcPr>
                                <w:p w14:paraId="04D0613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92D4F7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1.8 </w:t>
                                  </w:r>
                                </w:p>
                              </w:tc>
                              <w:tc>
                                <w:tcPr>
                                  <w:tcW w:w="547" w:type="pct"/>
                                  <w:tcBorders>
                                    <w:top w:val="single" w:sz="4" w:space="0" w:color="000000"/>
                                    <w:left w:val="nil"/>
                                    <w:bottom w:val="nil"/>
                                    <w:right w:val="nil"/>
                                  </w:tcBorders>
                                  <w:hideMark/>
                                </w:tcPr>
                                <w:p w14:paraId="6A4E910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(0.4)  </w:t>
                                  </w:r>
                                </w:p>
                              </w:tc>
                              <w:tc>
                                <w:tcPr>
                                  <w:tcW w:w="547" w:type="pct"/>
                                  <w:tcBorders>
                                    <w:top w:val="single" w:sz="4" w:space="0" w:color="000000"/>
                                    <w:left w:val="nil"/>
                                    <w:bottom w:val="nil"/>
                                    <w:right w:val="nil"/>
                                  </w:tcBorders>
                                  <w:hideMark/>
                                </w:tcPr>
                                <w:p w14:paraId="631F6D1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c>
                                <w:tcPr>
                                  <w:tcW w:w="547" w:type="pct"/>
                                  <w:tcBorders>
                                    <w:top w:val="single" w:sz="4" w:space="0" w:color="000000"/>
                                    <w:left w:val="nil"/>
                                    <w:bottom w:val="nil"/>
                                    <w:right w:val="nil"/>
                                  </w:tcBorders>
                                  <w:hideMark/>
                                </w:tcPr>
                                <w:p w14:paraId="47AA307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r>
                            <w:tr w:rsidR="00396BEA" w:rsidRPr="00396BEA" w14:paraId="1A707016" w14:textId="77777777" w:rsidTr="00396BEA">
                              <w:trPr>
                                <w:trHeight w:val="204"/>
                              </w:trPr>
                              <w:tc>
                                <w:tcPr>
                                  <w:tcW w:w="1719" w:type="pct"/>
                                  <w:tcBorders>
                                    <w:top w:val="nil"/>
                                    <w:left w:val="nil"/>
                                    <w:bottom w:val="nil"/>
                                    <w:right w:val="nil"/>
                                  </w:tcBorders>
                                  <w:noWrap/>
                                  <w:hideMark/>
                                </w:tcPr>
                                <w:p w14:paraId="2AF719C1"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Net Change in Cash</w:t>
                                  </w:r>
                                </w:p>
                              </w:tc>
                              <w:tc>
                                <w:tcPr>
                                  <w:tcW w:w="547" w:type="pct"/>
                                  <w:tcBorders>
                                    <w:top w:val="single" w:sz="4" w:space="0" w:color="000000"/>
                                    <w:left w:val="nil"/>
                                    <w:bottom w:val="nil"/>
                                    <w:right w:val="nil"/>
                                  </w:tcBorders>
                                  <w:hideMark/>
                                </w:tcPr>
                                <w:p w14:paraId="64A3D60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C55DCD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0.3 </w:t>
                                  </w:r>
                                </w:p>
                              </w:tc>
                              <w:tc>
                                <w:tcPr>
                                  <w:tcW w:w="547" w:type="pct"/>
                                  <w:tcBorders>
                                    <w:top w:val="single" w:sz="4" w:space="0" w:color="000000"/>
                                    <w:left w:val="nil"/>
                                    <w:bottom w:val="nil"/>
                                    <w:right w:val="nil"/>
                                  </w:tcBorders>
                                  <w:hideMark/>
                                </w:tcPr>
                                <w:p w14:paraId="05064DA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0.2 </w:t>
                                  </w:r>
                                </w:p>
                              </w:tc>
                              <w:tc>
                                <w:tcPr>
                                  <w:tcW w:w="547" w:type="pct"/>
                                  <w:tcBorders>
                                    <w:top w:val="single" w:sz="4" w:space="0" w:color="000000"/>
                                    <w:left w:val="nil"/>
                                    <w:bottom w:val="nil"/>
                                    <w:right w:val="nil"/>
                                  </w:tcBorders>
                                  <w:hideMark/>
                                </w:tcPr>
                                <w:p w14:paraId="5DDE750E"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 </w:t>
                                  </w:r>
                                </w:p>
                              </w:tc>
                              <w:tc>
                                <w:tcPr>
                                  <w:tcW w:w="547" w:type="pct"/>
                                  <w:tcBorders>
                                    <w:top w:val="single" w:sz="4" w:space="0" w:color="000000"/>
                                    <w:left w:val="nil"/>
                                    <w:bottom w:val="nil"/>
                                    <w:right w:val="nil"/>
                                  </w:tcBorders>
                                  <w:hideMark/>
                                </w:tcPr>
                                <w:p w14:paraId="3A3D956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0.0 </w:t>
                                  </w:r>
                                </w:p>
                              </w:tc>
                              <w:tc>
                                <w:tcPr>
                                  <w:tcW w:w="547" w:type="pct"/>
                                  <w:tcBorders>
                                    <w:top w:val="single" w:sz="4" w:space="0" w:color="000000"/>
                                    <w:left w:val="nil"/>
                                    <w:bottom w:val="nil"/>
                                    <w:right w:val="nil"/>
                                  </w:tcBorders>
                                  <w:hideMark/>
                                </w:tcPr>
                                <w:p w14:paraId="679A02F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(0.2)  </w:t>
                                  </w:r>
                                </w:p>
                              </w:tc>
                            </w:tr>
                          </w:tbl>
                          <w:p w14:paraId="450CCDAB" w14:textId="58A9FA9E" w:rsidR="00396BEA" w:rsidRDefault="00396BEA"/>
                        </w:txbxContent>
                      </wps:txbx>
                      <wps:bodyPr rot="0" vert="horz" wrap="square" lIns="91440" tIns="45720" rIns="91440" bIns="45720" anchor="t" anchorCtr="0">
                        <a:spAutoFit/>
                      </wps:bodyPr>
                    </wps:wsp>
                  </a:graphicData>
                </a:graphic>
              </wp:inline>
            </w:drawing>
          </mc:Choice>
          <mc:Fallback>
            <w:pict>
              <v:shape w14:anchorId="1E3A3D26" id="_x0000_s1070" type="#_x0000_t202" style="width:485.4pt;height:4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" stroked="f">
                <v:textbox style="mso-fit-shape-to-text:t">
                  <w:txbxContent>
                    <w:tbl>
                      <w:tblPr>
                        <w:tblW w:w="5000" w:type="pct"/>
                        <w:tblLook w:val="04A0" w:firstRow="1" w:lastRow="0" w:firstColumn="1" w:lastColumn="0" w:noHBand="0" w:noVBand="1"/>
                      </w:tblPr>
                      <w:tblGrid>
                        <w:gridCol w:w="3238"/>
                        <w:gridCol w:w="1030"/>
                        <w:gridCol w:w="1031"/>
                        <w:gridCol w:w="1031"/>
                        <w:gridCol w:w="1031"/>
                        <w:gridCol w:w="1031"/>
                        <w:gridCol w:w="1029"/>
                      </w:tblGrid>
                      <w:tr w:rsidR="00396BEA" w:rsidRPr="00396BEA" w14:paraId="3CC6D482" w14:textId="77777777" w:rsidTr="00396BEA">
                        <w:trPr>
                          <w:trHeight w:val="336"/>
                        </w:trPr>
                        <w:tc>
                          <w:tcPr>
                            <w:tcW w:w="4453" w:type="pct"/>
                            <w:gridSpan w:val="6"/>
                            <w:tcBorders>
                              <w:top w:val="nil"/>
                              <w:left w:val="nil"/>
                              <w:bottom w:val="nil"/>
                              <w:right w:val="nil"/>
                            </w:tcBorders>
                            <w:noWrap/>
                            <w:vAlign w:val="bottom"/>
                            <w:hideMark/>
                          </w:tcPr>
                          <w:p w14:paraId="75BAADE1"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Magazine Luiza S.A. (</w:t>
                            </w:r>
                            <w:r w:rsidRPr="00396BEA">
                              <w:rPr>
                                <w:rFonts w:ascii="Cambria" w:eastAsia="Times New Roman" w:hAnsi="Cambria" w:cs="Arial"/>
                                <w:b/>
                                <w:bCs/>
                                <w:color w:val="000000"/>
                                <w:kern w:val="0"/>
                                <w:sz w:val="14"/>
                                <w:szCs w:val="14"/>
                                <w:lang w:eastAsia="en-IN"/>
                                <w14:ligatures w14:val="none"/>
                              </w:rPr>
                              <w:t>BOVESPA:MGLU3) &gt; Financials &gt; Cash Flow</w:t>
                            </w:r>
                          </w:p>
                        </w:tc>
                        <w:tc>
                          <w:tcPr>
                            <w:tcW w:w="547" w:type="pct"/>
                            <w:tcBorders>
                              <w:top w:val="nil"/>
                              <w:left w:val="nil"/>
                              <w:bottom w:val="nil"/>
                              <w:right w:val="nil"/>
                            </w:tcBorders>
                            <w:noWrap/>
                            <w:vAlign w:val="bottom"/>
                            <w:hideMark/>
                          </w:tcPr>
                          <w:p w14:paraId="15AD84A8"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p>
                        </w:tc>
                      </w:tr>
                      <w:tr w:rsidR="00396BEA" w:rsidRPr="00396BEA" w14:paraId="09961A30" w14:textId="77777777" w:rsidTr="00396BEA">
                        <w:trPr>
                          <w:trHeight w:val="204"/>
                        </w:trPr>
                        <w:tc>
                          <w:tcPr>
                            <w:tcW w:w="1719" w:type="pct"/>
                            <w:tcBorders>
                              <w:top w:val="nil"/>
                              <w:left w:val="nil"/>
                              <w:bottom w:val="nil"/>
                              <w:right w:val="nil"/>
                            </w:tcBorders>
                            <w:shd w:val="clear" w:color="000000" w:fill="003366"/>
                            <w:noWrap/>
                            <w:vAlign w:val="bottom"/>
                            <w:hideMark/>
                          </w:tcPr>
                          <w:p w14:paraId="32D350E6"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Cash Flow</w:t>
                            </w:r>
                          </w:p>
                        </w:tc>
                        <w:tc>
                          <w:tcPr>
                            <w:tcW w:w="547" w:type="pct"/>
                            <w:tcBorders>
                              <w:top w:val="nil"/>
                              <w:left w:val="nil"/>
                              <w:bottom w:val="nil"/>
                              <w:right w:val="nil"/>
                            </w:tcBorders>
                            <w:shd w:val="clear" w:color="000000" w:fill="003366"/>
                            <w:noWrap/>
                            <w:vAlign w:val="bottom"/>
                            <w:hideMark/>
                          </w:tcPr>
                          <w:p w14:paraId="6FD360F1"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1B3AF224"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3F681AD5"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17DA295C"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277168F1"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c>
                          <w:tcPr>
                            <w:tcW w:w="547" w:type="pct"/>
                            <w:tcBorders>
                              <w:top w:val="nil"/>
                              <w:left w:val="nil"/>
                              <w:bottom w:val="nil"/>
                              <w:right w:val="nil"/>
                            </w:tcBorders>
                            <w:shd w:val="clear" w:color="000000" w:fill="003366"/>
                            <w:noWrap/>
                            <w:vAlign w:val="bottom"/>
                            <w:hideMark/>
                          </w:tcPr>
                          <w:p w14:paraId="44D3BA12" w14:textId="77777777" w:rsidR="00396BEA" w:rsidRPr="00396BEA" w:rsidRDefault="00396BEA" w:rsidP="00396BEA">
                            <w:pPr>
                              <w:spacing w:after="0" w:line="240" w:lineRule="auto"/>
                              <w:rPr>
                                <w:rFonts w:ascii="Cambria" w:eastAsia="Times New Roman" w:hAnsi="Cambria" w:cs="Arial"/>
                                <w:b/>
                                <w:bCs/>
                                <w:color w:val="FFFFFF"/>
                                <w:kern w:val="0"/>
                                <w:sz w:val="14"/>
                                <w:szCs w:val="14"/>
                                <w:lang w:eastAsia="en-IN"/>
                                <w14:ligatures w14:val="none"/>
                              </w:rPr>
                            </w:pPr>
                            <w:r w:rsidRPr="00396BEA">
                              <w:rPr>
                                <w:rFonts w:ascii="Cambria" w:eastAsia="Times New Roman" w:hAnsi="Cambria" w:cs="Arial"/>
                                <w:b/>
                                <w:bCs/>
                                <w:color w:val="FFFFFF"/>
                                <w:kern w:val="0"/>
                                <w:sz w:val="14"/>
                                <w:szCs w:val="14"/>
                                <w:lang w:eastAsia="en-IN"/>
                                <w14:ligatures w14:val="none"/>
                              </w:rPr>
                              <w:t> </w:t>
                            </w:r>
                          </w:p>
                        </w:tc>
                      </w:tr>
                      <w:tr w:rsidR="00396BEA" w:rsidRPr="00396BEA" w14:paraId="760C2666" w14:textId="77777777" w:rsidTr="00396BEA">
                        <w:trPr>
                          <w:trHeight w:val="816"/>
                        </w:trPr>
                        <w:tc>
                          <w:tcPr>
                            <w:tcW w:w="1719" w:type="pct"/>
                            <w:tcBorders>
                              <w:top w:val="nil"/>
                              <w:left w:val="nil"/>
                              <w:bottom w:val="nil"/>
                              <w:right w:val="nil"/>
                            </w:tcBorders>
                            <w:shd w:val="clear" w:color="000000" w:fill="F0F0DC"/>
                            <w:vAlign w:val="bottom"/>
                            <w:hideMark/>
                          </w:tcPr>
                          <w:p w14:paraId="5E774827"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For the Fiscal Period Ending</w:t>
                            </w:r>
                          </w:p>
                        </w:tc>
                        <w:tc>
                          <w:tcPr>
                            <w:tcW w:w="547" w:type="pct"/>
                            <w:tcBorders>
                              <w:top w:val="nil"/>
                              <w:left w:val="nil"/>
                              <w:bottom w:val="nil"/>
                              <w:right w:val="nil"/>
                            </w:tcBorders>
                            <w:shd w:val="clear" w:color="000000" w:fill="F0F0DC"/>
                            <w:vAlign w:val="bottom"/>
                            <w:hideMark/>
                          </w:tcPr>
                          <w:p w14:paraId="2117DA2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Dec-31-2019</w:t>
                            </w:r>
                          </w:p>
                        </w:tc>
                        <w:tc>
                          <w:tcPr>
                            <w:tcW w:w="547" w:type="pct"/>
                            <w:tcBorders>
                              <w:top w:val="nil"/>
                              <w:left w:val="nil"/>
                              <w:bottom w:val="nil"/>
                              <w:right w:val="nil"/>
                            </w:tcBorders>
                            <w:shd w:val="clear" w:color="000000" w:fill="F0F0DC"/>
                            <w:vAlign w:val="bottom"/>
                            <w:hideMark/>
                          </w:tcPr>
                          <w:p w14:paraId="2B19102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Dec-31-2020</w:t>
                            </w:r>
                          </w:p>
                        </w:tc>
                        <w:tc>
                          <w:tcPr>
                            <w:tcW w:w="547" w:type="pct"/>
                            <w:tcBorders>
                              <w:top w:val="nil"/>
                              <w:left w:val="nil"/>
                              <w:bottom w:val="nil"/>
                              <w:right w:val="nil"/>
                            </w:tcBorders>
                            <w:shd w:val="clear" w:color="000000" w:fill="F0F0DC"/>
                            <w:vAlign w:val="bottom"/>
                            <w:hideMark/>
                          </w:tcPr>
                          <w:p w14:paraId="7B8D063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Restated</w:t>
                            </w:r>
                            <w:r w:rsidRPr="00396BEA">
                              <w:rPr>
                                <w:rFonts w:ascii="Cambria" w:eastAsia="Times New Roman" w:hAnsi="Cambria" w:cs="Arial"/>
                                <w:b/>
                                <w:bCs/>
                                <w:color w:val="000000"/>
                                <w:kern w:val="0"/>
                                <w:sz w:val="14"/>
                                <w:szCs w:val="14"/>
                                <w:lang w:eastAsia="en-IN"/>
                                <w14:ligatures w14:val="none"/>
                              </w:rPr>
                              <w:br/>
                              <w:t>12 months</w:t>
                            </w:r>
                            <w:r w:rsidRPr="00396BEA">
                              <w:rPr>
                                <w:rFonts w:ascii="Cambria" w:eastAsia="Times New Roman" w:hAnsi="Cambria" w:cs="Arial"/>
                                <w:b/>
                                <w:bCs/>
                                <w:color w:val="000000"/>
                                <w:kern w:val="0"/>
                                <w:sz w:val="14"/>
                                <w:szCs w:val="14"/>
                                <w:lang w:eastAsia="en-IN"/>
                                <w14:ligatures w14:val="none"/>
                              </w:rPr>
                              <w:br/>
                              <w:t>Dec-31-2021</w:t>
                            </w:r>
                          </w:p>
                        </w:tc>
                        <w:tc>
                          <w:tcPr>
                            <w:tcW w:w="547" w:type="pct"/>
                            <w:tcBorders>
                              <w:top w:val="nil"/>
                              <w:left w:val="nil"/>
                              <w:bottom w:val="nil"/>
                              <w:right w:val="nil"/>
                            </w:tcBorders>
                            <w:shd w:val="clear" w:color="000000" w:fill="F0F0DC"/>
                            <w:vAlign w:val="bottom"/>
                            <w:hideMark/>
                          </w:tcPr>
                          <w:p w14:paraId="6C34AE0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Dec-31-2022</w:t>
                            </w:r>
                          </w:p>
                        </w:tc>
                        <w:tc>
                          <w:tcPr>
                            <w:tcW w:w="547" w:type="pct"/>
                            <w:tcBorders>
                              <w:top w:val="nil"/>
                              <w:left w:val="nil"/>
                              <w:bottom w:val="nil"/>
                              <w:right w:val="nil"/>
                            </w:tcBorders>
                            <w:shd w:val="clear" w:color="000000" w:fill="F0F0DC"/>
                            <w:vAlign w:val="bottom"/>
                            <w:hideMark/>
                          </w:tcPr>
                          <w:p w14:paraId="3C05C73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12 months</w:t>
                            </w:r>
                            <w:r w:rsidRPr="00396BEA">
                              <w:rPr>
                                <w:rFonts w:ascii="Cambria" w:eastAsia="Times New Roman" w:hAnsi="Cambria" w:cs="Arial"/>
                                <w:b/>
                                <w:bCs/>
                                <w:color w:val="000000"/>
                                <w:kern w:val="0"/>
                                <w:sz w:val="14"/>
                                <w:szCs w:val="14"/>
                                <w:lang w:eastAsia="en-IN"/>
                                <w14:ligatures w14:val="none"/>
                              </w:rPr>
                              <w:br/>
                              <w:t>Dec-31-2023</w:t>
                            </w:r>
                          </w:p>
                        </w:tc>
                        <w:tc>
                          <w:tcPr>
                            <w:tcW w:w="547" w:type="pct"/>
                            <w:tcBorders>
                              <w:top w:val="nil"/>
                              <w:left w:val="nil"/>
                              <w:bottom w:val="nil"/>
                              <w:right w:val="nil"/>
                            </w:tcBorders>
                            <w:shd w:val="clear" w:color="000000" w:fill="F0F0DC"/>
                            <w:vAlign w:val="bottom"/>
                            <w:hideMark/>
                          </w:tcPr>
                          <w:p w14:paraId="44B8867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LTM</w:t>
                            </w:r>
                            <w:r w:rsidRPr="00396BEA">
                              <w:rPr>
                                <w:rFonts w:ascii="Cambria" w:eastAsia="Times New Roman" w:hAnsi="Cambria" w:cs="Arial"/>
                                <w:b/>
                                <w:bCs/>
                                <w:color w:val="000000"/>
                                <w:kern w:val="0"/>
                                <w:sz w:val="14"/>
                                <w:szCs w:val="14"/>
                                <w:lang w:eastAsia="en-IN"/>
                                <w14:ligatures w14:val="none"/>
                              </w:rPr>
                              <w:br/>
                              <w:t>12 months</w:t>
                            </w:r>
                            <w:r w:rsidRPr="00396BEA">
                              <w:rPr>
                                <w:rFonts w:ascii="Cambria" w:eastAsia="Times New Roman" w:hAnsi="Cambria" w:cs="Arial"/>
                                <w:b/>
                                <w:bCs/>
                                <w:color w:val="000000"/>
                                <w:kern w:val="0"/>
                                <w:sz w:val="14"/>
                                <w:szCs w:val="14"/>
                                <w:lang w:eastAsia="en-IN"/>
                                <w14:ligatures w14:val="none"/>
                              </w:rPr>
                              <w:br/>
                              <w:t>Sep-30-2024</w:t>
                            </w:r>
                          </w:p>
                        </w:tc>
                      </w:tr>
                      <w:tr w:rsidR="00396BEA" w:rsidRPr="00396BEA" w14:paraId="59AB0B72" w14:textId="77777777" w:rsidTr="00396BEA">
                        <w:trPr>
                          <w:trHeight w:val="204"/>
                        </w:trPr>
                        <w:tc>
                          <w:tcPr>
                            <w:tcW w:w="1719" w:type="pct"/>
                            <w:tcBorders>
                              <w:top w:val="nil"/>
                              <w:left w:val="nil"/>
                              <w:bottom w:val="nil"/>
                              <w:right w:val="nil"/>
                            </w:tcBorders>
                            <w:shd w:val="clear" w:color="000000" w:fill="F0F0DC"/>
                            <w:vAlign w:val="bottom"/>
                            <w:hideMark/>
                          </w:tcPr>
                          <w:p w14:paraId="4B2A11B6" w14:textId="77777777" w:rsidR="00396BEA" w:rsidRPr="00396BEA" w:rsidRDefault="00396BEA" w:rsidP="00396BEA">
                            <w:pPr>
                              <w:spacing w:after="0" w:line="240" w:lineRule="auto"/>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Currency</w:t>
                            </w:r>
                          </w:p>
                        </w:tc>
                        <w:tc>
                          <w:tcPr>
                            <w:tcW w:w="547" w:type="pct"/>
                            <w:tcBorders>
                              <w:top w:val="nil"/>
                              <w:left w:val="nil"/>
                              <w:bottom w:val="nil"/>
                              <w:right w:val="nil"/>
                            </w:tcBorders>
                            <w:shd w:val="clear" w:color="000000" w:fill="F0F0DC"/>
                            <w:vAlign w:val="bottom"/>
                            <w:hideMark/>
                          </w:tcPr>
                          <w:p w14:paraId="27F65A4C"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30F2CDA8"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6DC87AC6"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3F1AE87A"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0655758D"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c>
                          <w:tcPr>
                            <w:tcW w:w="547" w:type="pct"/>
                            <w:tcBorders>
                              <w:top w:val="nil"/>
                              <w:left w:val="nil"/>
                              <w:bottom w:val="nil"/>
                              <w:right w:val="nil"/>
                            </w:tcBorders>
                            <w:shd w:val="clear" w:color="000000" w:fill="F0F0DC"/>
                            <w:vAlign w:val="bottom"/>
                            <w:hideMark/>
                          </w:tcPr>
                          <w:p w14:paraId="178B64E9" w14:textId="77777777" w:rsidR="00396BEA" w:rsidRPr="00396BEA" w:rsidRDefault="00396BEA" w:rsidP="00396BEA">
                            <w:pPr>
                              <w:spacing w:after="0" w:line="240" w:lineRule="auto"/>
                              <w:jc w:val="right"/>
                              <w:rPr>
                                <w:rFonts w:ascii="Cambria" w:eastAsia="Times New Roman" w:hAnsi="Cambria" w:cs="Arial"/>
                                <w:b/>
                                <w:bCs/>
                                <w:i/>
                                <w:iCs/>
                                <w:color w:val="000000"/>
                                <w:kern w:val="0"/>
                                <w:sz w:val="14"/>
                                <w:szCs w:val="14"/>
                                <w:lang w:eastAsia="en-IN"/>
                                <w14:ligatures w14:val="none"/>
                              </w:rPr>
                            </w:pPr>
                            <w:r w:rsidRPr="00396BEA">
                              <w:rPr>
                                <w:rFonts w:ascii="Cambria" w:eastAsia="Times New Roman" w:hAnsi="Cambria" w:cs="Arial"/>
                                <w:b/>
                                <w:bCs/>
                                <w:i/>
                                <w:iCs/>
                                <w:color w:val="000000"/>
                                <w:kern w:val="0"/>
                                <w:sz w:val="14"/>
                                <w:szCs w:val="14"/>
                                <w:lang w:eastAsia="en-IN"/>
                                <w14:ligatures w14:val="none"/>
                              </w:rPr>
                              <w:t>USD</w:t>
                            </w:r>
                          </w:p>
                        </w:tc>
                      </w:tr>
                      <w:tr w:rsidR="00396BEA" w:rsidRPr="00396BEA" w14:paraId="65BC55C2" w14:textId="77777777" w:rsidTr="00396BEA">
                        <w:trPr>
                          <w:trHeight w:val="204"/>
                        </w:trPr>
                        <w:tc>
                          <w:tcPr>
                            <w:tcW w:w="1719" w:type="pct"/>
                            <w:tcBorders>
                              <w:top w:val="nil"/>
                              <w:left w:val="nil"/>
                              <w:bottom w:val="nil"/>
                              <w:right w:val="nil"/>
                            </w:tcBorders>
                            <w:noWrap/>
                            <w:hideMark/>
                          </w:tcPr>
                          <w:p w14:paraId="11E2F539"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Net Income</w:t>
                            </w:r>
                          </w:p>
                        </w:tc>
                        <w:tc>
                          <w:tcPr>
                            <w:tcW w:w="547" w:type="pct"/>
                            <w:tcBorders>
                              <w:top w:val="nil"/>
                              <w:left w:val="nil"/>
                              <w:bottom w:val="nil"/>
                              <w:right w:val="nil"/>
                            </w:tcBorders>
                            <w:hideMark/>
                          </w:tcPr>
                          <w:p w14:paraId="4AE6594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01FB12B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180ACDB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7183361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nil"/>
                              <w:left w:val="nil"/>
                              <w:bottom w:val="nil"/>
                              <w:right w:val="nil"/>
                            </w:tcBorders>
                            <w:hideMark/>
                          </w:tcPr>
                          <w:p w14:paraId="51BEA87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nil"/>
                              <w:left w:val="nil"/>
                              <w:bottom w:val="nil"/>
                              <w:right w:val="nil"/>
                            </w:tcBorders>
                            <w:hideMark/>
                          </w:tcPr>
                          <w:p w14:paraId="1A52636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r>
                      <w:tr w:rsidR="00396BEA" w:rsidRPr="00396BEA" w14:paraId="64BE7DE8" w14:textId="77777777" w:rsidTr="00396BEA">
                        <w:trPr>
                          <w:trHeight w:val="204"/>
                        </w:trPr>
                        <w:tc>
                          <w:tcPr>
                            <w:tcW w:w="1719" w:type="pct"/>
                            <w:tcBorders>
                              <w:top w:val="nil"/>
                              <w:left w:val="nil"/>
                              <w:bottom w:val="nil"/>
                              <w:right w:val="nil"/>
                            </w:tcBorders>
                            <w:noWrap/>
                            <w:hideMark/>
                          </w:tcPr>
                          <w:p w14:paraId="0532F089"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Depreciation &amp; Amort.</w:t>
                            </w:r>
                          </w:p>
                        </w:tc>
                        <w:tc>
                          <w:tcPr>
                            <w:tcW w:w="547" w:type="pct"/>
                            <w:tcBorders>
                              <w:top w:val="nil"/>
                              <w:left w:val="nil"/>
                              <w:bottom w:val="nil"/>
                              <w:right w:val="nil"/>
                            </w:tcBorders>
                            <w:hideMark/>
                          </w:tcPr>
                          <w:p w14:paraId="0E42715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601F71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470C57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554EC4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5F85B0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23C8ADC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7D6F5F70" w14:textId="77777777" w:rsidTr="00396BEA">
                        <w:trPr>
                          <w:trHeight w:val="204"/>
                        </w:trPr>
                        <w:tc>
                          <w:tcPr>
                            <w:tcW w:w="1719" w:type="pct"/>
                            <w:tcBorders>
                              <w:top w:val="nil"/>
                              <w:left w:val="nil"/>
                              <w:bottom w:val="nil"/>
                              <w:right w:val="nil"/>
                            </w:tcBorders>
                            <w:noWrap/>
                            <w:hideMark/>
                          </w:tcPr>
                          <w:p w14:paraId="7AF12158"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Amort. of Goodwill and Intangibles</w:t>
                            </w:r>
                          </w:p>
                        </w:tc>
                        <w:tc>
                          <w:tcPr>
                            <w:tcW w:w="547" w:type="pct"/>
                            <w:tcBorders>
                              <w:top w:val="nil"/>
                              <w:left w:val="nil"/>
                              <w:bottom w:val="nil"/>
                              <w:right w:val="nil"/>
                            </w:tcBorders>
                            <w:hideMark/>
                          </w:tcPr>
                          <w:p w14:paraId="0F9914A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EBACCF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F553E2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43F0B4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1A189B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0D2C741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r>
                      <w:tr w:rsidR="00396BEA" w:rsidRPr="00396BEA" w14:paraId="7590233A" w14:textId="77777777" w:rsidTr="00396BEA">
                        <w:trPr>
                          <w:trHeight w:val="204"/>
                        </w:trPr>
                        <w:tc>
                          <w:tcPr>
                            <w:tcW w:w="1719" w:type="pct"/>
                            <w:tcBorders>
                              <w:top w:val="nil"/>
                              <w:left w:val="nil"/>
                              <w:bottom w:val="nil"/>
                              <w:right w:val="nil"/>
                            </w:tcBorders>
                            <w:noWrap/>
                            <w:hideMark/>
                          </w:tcPr>
                          <w:p w14:paraId="34AD42E6"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Depreciation &amp; Amort., Total</w:t>
                            </w:r>
                          </w:p>
                        </w:tc>
                        <w:tc>
                          <w:tcPr>
                            <w:tcW w:w="547" w:type="pct"/>
                            <w:tcBorders>
                              <w:top w:val="single" w:sz="4" w:space="0" w:color="000000"/>
                              <w:left w:val="nil"/>
                              <w:bottom w:val="nil"/>
                              <w:right w:val="nil"/>
                            </w:tcBorders>
                            <w:hideMark/>
                          </w:tcPr>
                          <w:p w14:paraId="75EC4B1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509B3E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046A8C3"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11C51B8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1BCF57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921824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r>
                      <w:tr w:rsidR="00396BEA" w:rsidRPr="00396BEA" w14:paraId="1EC0F9D2" w14:textId="77777777" w:rsidTr="00396BEA">
                        <w:trPr>
                          <w:trHeight w:val="204"/>
                        </w:trPr>
                        <w:tc>
                          <w:tcPr>
                            <w:tcW w:w="1719" w:type="pct"/>
                            <w:tcBorders>
                              <w:top w:val="nil"/>
                              <w:left w:val="nil"/>
                              <w:bottom w:val="nil"/>
                              <w:right w:val="nil"/>
                            </w:tcBorders>
                            <w:noWrap/>
                            <w:hideMark/>
                          </w:tcPr>
                          <w:p w14:paraId="35A459D0"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Amortization</w:t>
                            </w:r>
                          </w:p>
                        </w:tc>
                        <w:tc>
                          <w:tcPr>
                            <w:tcW w:w="547" w:type="pct"/>
                            <w:tcBorders>
                              <w:top w:val="nil"/>
                              <w:left w:val="nil"/>
                              <w:bottom w:val="nil"/>
                              <w:right w:val="nil"/>
                            </w:tcBorders>
                            <w:hideMark/>
                          </w:tcPr>
                          <w:p w14:paraId="7D16503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C1004A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6D9051C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49D9BC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3D6DF78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EBE1F3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3B6FBC3" w14:textId="77777777" w:rsidTr="00396BEA">
                        <w:trPr>
                          <w:trHeight w:val="204"/>
                        </w:trPr>
                        <w:tc>
                          <w:tcPr>
                            <w:tcW w:w="1719" w:type="pct"/>
                            <w:tcBorders>
                              <w:top w:val="nil"/>
                              <w:left w:val="nil"/>
                              <w:bottom w:val="nil"/>
                              <w:right w:val="nil"/>
                            </w:tcBorders>
                            <w:noWrap/>
                            <w:hideMark/>
                          </w:tcPr>
                          <w:p w14:paraId="6C3CA98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Asset </w:t>
                            </w:r>
                            <w:r w:rsidRPr="00396BEA">
                              <w:rPr>
                                <w:rFonts w:ascii="Cambria" w:eastAsia="Times New Roman" w:hAnsi="Cambria" w:cs="Arial"/>
                                <w:color w:val="000000"/>
                                <w:kern w:val="0"/>
                                <w:sz w:val="14"/>
                                <w:szCs w:val="14"/>
                                <w:lang w:eastAsia="en-IN"/>
                                <w14:ligatures w14:val="none"/>
                              </w:rPr>
                              <w:t>Writedown &amp; Restructuring Costs</w:t>
                            </w:r>
                          </w:p>
                        </w:tc>
                        <w:tc>
                          <w:tcPr>
                            <w:tcW w:w="547" w:type="pct"/>
                            <w:tcBorders>
                              <w:top w:val="nil"/>
                              <w:left w:val="nil"/>
                              <w:bottom w:val="nil"/>
                              <w:right w:val="nil"/>
                            </w:tcBorders>
                            <w:hideMark/>
                          </w:tcPr>
                          <w:p w14:paraId="6E40A1B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089E00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465071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2CE22A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2914089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09AF50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2879F9C6" w14:textId="77777777" w:rsidTr="00396BEA">
                        <w:trPr>
                          <w:trHeight w:val="204"/>
                        </w:trPr>
                        <w:tc>
                          <w:tcPr>
                            <w:tcW w:w="1719" w:type="pct"/>
                            <w:tcBorders>
                              <w:top w:val="nil"/>
                              <w:left w:val="nil"/>
                              <w:bottom w:val="nil"/>
                              <w:right w:val="nil"/>
                            </w:tcBorders>
                            <w:noWrap/>
                            <w:hideMark/>
                          </w:tcPr>
                          <w:p w14:paraId="2DE54919"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(Income) Loss on Equity Invest.</w:t>
                            </w:r>
                          </w:p>
                        </w:tc>
                        <w:tc>
                          <w:tcPr>
                            <w:tcW w:w="547" w:type="pct"/>
                            <w:tcBorders>
                              <w:top w:val="nil"/>
                              <w:left w:val="nil"/>
                              <w:bottom w:val="nil"/>
                              <w:right w:val="nil"/>
                            </w:tcBorders>
                            <w:hideMark/>
                          </w:tcPr>
                          <w:p w14:paraId="5032208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E1753E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FF9C1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3B7B284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EC622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121E1E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5958FC5B" w14:textId="77777777" w:rsidTr="00396BEA">
                        <w:trPr>
                          <w:trHeight w:val="204"/>
                        </w:trPr>
                        <w:tc>
                          <w:tcPr>
                            <w:tcW w:w="1719" w:type="pct"/>
                            <w:tcBorders>
                              <w:top w:val="nil"/>
                              <w:left w:val="nil"/>
                              <w:bottom w:val="nil"/>
                              <w:right w:val="nil"/>
                            </w:tcBorders>
                            <w:noWrap/>
                            <w:hideMark/>
                          </w:tcPr>
                          <w:p w14:paraId="6A6FF9F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Provision &amp; Write-off of Bad debts</w:t>
                            </w:r>
                          </w:p>
                        </w:tc>
                        <w:tc>
                          <w:tcPr>
                            <w:tcW w:w="547" w:type="pct"/>
                            <w:tcBorders>
                              <w:top w:val="nil"/>
                              <w:left w:val="nil"/>
                              <w:bottom w:val="nil"/>
                              <w:right w:val="nil"/>
                            </w:tcBorders>
                            <w:hideMark/>
                          </w:tcPr>
                          <w:p w14:paraId="64D48AA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8D855C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2E5E97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7DDC0B7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DB0E96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F753D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B19D55B" w14:textId="77777777" w:rsidTr="00396BEA">
                        <w:trPr>
                          <w:trHeight w:val="204"/>
                        </w:trPr>
                        <w:tc>
                          <w:tcPr>
                            <w:tcW w:w="1719" w:type="pct"/>
                            <w:tcBorders>
                              <w:top w:val="nil"/>
                              <w:left w:val="nil"/>
                              <w:bottom w:val="nil"/>
                              <w:right w:val="nil"/>
                            </w:tcBorders>
                            <w:noWrap/>
                            <w:hideMark/>
                          </w:tcPr>
                          <w:p w14:paraId="45D61C4E"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Operating Activities</w:t>
                            </w:r>
                          </w:p>
                        </w:tc>
                        <w:tc>
                          <w:tcPr>
                            <w:tcW w:w="547" w:type="pct"/>
                            <w:tcBorders>
                              <w:top w:val="nil"/>
                              <w:left w:val="nil"/>
                              <w:bottom w:val="nil"/>
                              <w:right w:val="nil"/>
                            </w:tcBorders>
                            <w:hideMark/>
                          </w:tcPr>
                          <w:p w14:paraId="4208AFB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24A792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E163C9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1620010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4D4CAB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2712EB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5016DD1F" w14:textId="77777777" w:rsidTr="00396BEA">
                        <w:trPr>
                          <w:trHeight w:val="204"/>
                        </w:trPr>
                        <w:tc>
                          <w:tcPr>
                            <w:tcW w:w="1719" w:type="pct"/>
                            <w:tcBorders>
                              <w:top w:val="nil"/>
                              <w:left w:val="nil"/>
                              <w:bottom w:val="nil"/>
                              <w:right w:val="nil"/>
                            </w:tcBorders>
                            <w:noWrap/>
                            <w:hideMark/>
                          </w:tcPr>
                          <w:p w14:paraId="091AEAB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Acc. Receivable</w:t>
                            </w:r>
                          </w:p>
                        </w:tc>
                        <w:tc>
                          <w:tcPr>
                            <w:tcW w:w="547" w:type="pct"/>
                            <w:tcBorders>
                              <w:top w:val="nil"/>
                              <w:left w:val="nil"/>
                              <w:bottom w:val="nil"/>
                              <w:right w:val="nil"/>
                            </w:tcBorders>
                            <w:hideMark/>
                          </w:tcPr>
                          <w:p w14:paraId="68AB1C1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07624FC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619AD3C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0BBADD9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1AD2FBF0"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2B17EE1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167FEAAD" w14:textId="77777777" w:rsidTr="00396BEA">
                        <w:trPr>
                          <w:trHeight w:val="204"/>
                        </w:trPr>
                        <w:tc>
                          <w:tcPr>
                            <w:tcW w:w="1719" w:type="pct"/>
                            <w:tcBorders>
                              <w:top w:val="nil"/>
                              <w:left w:val="nil"/>
                              <w:bottom w:val="nil"/>
                              <w:right w:val="nil"/>
                            </w:tcBorders>
                            <w:noWrap/>
                            <w:hideMark/>
                          </w:tcPr>
                          <w:p w14:paraId="182DE18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Inventories</w:t>
                            </w:r>
                          </w:p>
                        </w:tc>
                        <w:tc>
                          <w:tcPr>
                            <w:tcW w:w="547" w:type="pct"/>
                            <w:tcBorders>
                              <w:top w:val="nil"/>
                              <w:left w:val="nil"/>
                              <w:bottom w:val="nil"/>
                              <w:right w:val="nil"/>
                            </w:tcBorders>
                            <w:hideMark/>
                          </w:tcPr>
                          <w:p w14:paraId="3330D34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732614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16E2A8D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1074541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59CAC63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5323910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3274E787" w14:textId="77777777" w:rsidTr="00396BEA">
                        <w:trPr>
                          <w:trHeight w:val="204"/>
                        </w:trPr>
                        <w:tc>
                          <w:tcPr>
                            <w:tcW w:w="1719" w:type="pct"/>
                            <w:tcBorders>
                              <w:top w:val="nil"/>
                              <w:left w:val="nil"/>
                              <w:bottom w:val="nil"/>
                              <w:right w:val="nil"/>
                            </w:tcBorders>
                            <w:noWrap/>
                            <w:hideMark/>
                          </w:tcPr>
                          <w:p w14:paraId="445AB19C"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Acc. Payable</w:t>
                            </w:r>
                          </w:p>
                        </w:tc>
                        <w:tc>
                          <w:tcPr>
                            <w:tcW w:w="547" w:type="pct"/>
                            <w:tcBorders>
                              <w:top w:val="nil"/>
                              <w:left w:val="nil"/>
                              <w:bottom w:val="nil"/>
                              <w:right w:val="nil"/>
                            </w:tcBorders>
                            <w:hideMark/>
                          </w:tcPr>
                          <w:p w14:paraId="665C817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05DEA8B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49FC289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69ADD8B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0.0 </w:t>
                            </w:r>
                          </w:p>
                        </w:tc>
                        <w:tc>
                          <w:tcPr>
                            <w:tcW w:w="547" w:type="pct"/>
                            <w:tcBorders>
                              <w:top w:val="nil"/>
                              <w:left w:val="nil"/>
                              <w:bottom w:val="nil"/>
                              <w:right w:val="nil"/>
                            </w:tcBorders>
                            <w:hideMark/>
                          </w:tcPr>
                          <w:p w14:paraId="4D6080C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A3871D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76BF6B7B" w14:textId="77777777" w:rsidTr="00396BEA">
                        <w:trPr>
                          <w:trHeight w:val="204"/>
                        </w:trPr>
                        <w:tc>
                          <w:tcPr>
                            <w:tcW w:w="1719" w:type="pct"/>
                            <w:tcBorders>
                              <w:top w:val="nil"/>
                              <w:left w:val="nil"/>
                              <w:bottom w:val="nil"/>
                              <w:right w:val="nil"/>
                            </w:tcBorders>
                            <w:noWrap/>
                            <w:hideMark/>
                          </w:tcPr>
                          <w:p w14:paraId="49E3016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Inc. Taxes</w:t>
                            </w:r>
                          </w:p>
                        </w:tc>
                        <w:tc>
                          <w:tcPr>
                            <w:tcW w:w="547" w:type="pct"/>
                            <w:tcBorders>
                              <w:top w:val="nil"/>
                              <w:left w:val="nil"/>
                              <w:bottom w:val="nil"/>
                              <w:right w:val="nil"/>
                            </w:tcBorders>
                            <w:hideMark/>
                          </w:tcPr>
                          <w:p w14:paraId="24B8D030"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117952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0C10F1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696BF79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E060B5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8EEA86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5C052940" w14:textId="77777777" w:rsidTr="00396BEA">
                        <w:trPr>
                          <w:trHeight w:val="204"/>
                        </w:trPr>
                        <w:tc>
                          <w:tcPr>
                            <w:tcW w:w="1719" w:type="pct"/>
                            <w:tcBorders>
                              <w:top w:val="nil"/>
                              <w:left w:val="nil"/>
                              <w:bottom w:val="nil"/>
                              <w:right w:val="nil"/>
                            </w:tcBorders>
                            <w:noWrap/>
                            <w:hideMark/>
                          </w:tcPr>
                          <w:p w14:paraId="288B3576"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Change in Other Net Operating Assets</w:t>
                            </w:r>
                          </w:p>
                        </w:tc>
                        <w:tc>
                          <w:tcPr>
                            <w:tcW w:w="547" w:type="pct"/>
                            <w:tcBorders>
                              <w:top w:val="nil"/>
                              <w:left w:val="nil"/>
                              <w:bottom w:val="nil"/>
                              <w:right w:val="nil"/>
                            </w:tcBorders>
                            <w:hideMark/>
                          </w:tcPr>
                          <w:p w14:paraId="7F8EB95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(1.0)  </w:t>
                            </w:r>
                          </w:p>
                        </w:tc>
                        <w:tc>
                          <w:tcPr>
                            <w:tcW w:w="547" w:type="pct"/>
                            <w:tcBorders>
                              <w:top w:val="nil"/>
                              <w:left w:val="nil"/>
                              <w:bottom w:val="nil"/>
                              <w:right w:val="nil"/>
                            </w:tcBorders>
                            <w:hideMark/>
                          </w:tcPr>
                          <w:p w14:paraId="216A529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0.8 </w:t>
                            </w:r>
                          </w:p>
                        </w:tc>
                        <w:tc>
                          <w:tcPr>
                            <w:tcW w:w="547" w:type="pct"/>
                            <w:tcBorders>
                              <w:top w:val="nil"/>
                              <w:left w:val="nil"/>
                              <w:bottom w:val="nil"/>
                              <w:right w:val="nil"/>
                            </w:tcBorders>
                            <w:hideMark/>
                          </w:tcPr>
                          <w:p w14:paraId="06F060D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4EBF47E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1B37680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79EA3F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21145E8B" w14:textId="77777777" w:rsidTr="00396BEA">
                        <w:trPr>
                          <w:trHeight w:val="204"/>
                        </w:trPr>
                        <w:tc>
                          <w:tcPr>
                            <w:tcW w:w="1719" w:type="pct"/>
                            <w:tcBorders>
                              <w:top w:val="nil"/>
                              <w:left w:val="nil"/>
                              <w:bottom w:val="nil"/>
                              <w:right w:val="nil"/>
                            </w:tcBorders>
                            <w:noWrap/>
                            <w:hideMark/>
                          </w:tcPr>
                          <w:p w14:paraId="4D0C5304"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Ops.</w:t>
                            </w:r>
                          </w:p>
                        </w:tc>
                        <w:tc>
                          <w:tcPr>
                            <w:tcW w:w="547" w:type="pct"/>
                            <w:tcBorders>
                              <w:top w:val="single" w:sz="4" w:space="0" w:color="000000"/>
                              <w:left w:val="nil"/>
                              <w:bottom w:val="nil"/>
                              <w:right w:val="nil"/>
                            </w:tcBorders>
                            <w:hideMark/>
                          </w:tcPr>
                          <w:p w14:paraId="6CD9A75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(0.8)  </w:t>
                            </w:r>
                          </w:p>
                        </w:tc>
                        <w:tc>
                          <w:tcPr>
                            <w:tcW w:w="547" w:type="pct"/>
                            <w:tcBorders>
                              <w:top w:val="single" w:sz="4" w:space="0" w:color="000000"/>
                              <w:left w:val="nil"/>
                              <w:bottom w:val="nil"/>
                              <w:right w:val="nil"/>
                            </w:tcBorders>
                            <w:hideMark/>
                          </w:tcPr>
                          <w:p w14:paraId="74F52A6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c>
                          <w:tcPr>
                            <w:tcW w:w="547" w:type="pct"/>
                            <w:tcBorders>
                              <w:top w:val="single" w:sz="4" w:space="0" w:color="000000"/>
                              <w:left w:val="nil"/>
                              <w:bottom w:val="nil"/>
                              <w:right w:val="nil"/>
                            </w:tcBorders>
                            <w:hideMark/>
                          </w:tcPr>
                          <w:p w14:paraId="7C6909B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(1.4)  </w:t>
                            </w:r>
                          </w:p>
                        </w:tc>
                        <w:tc>
                          <w:tcPr>
                            <w:tcW w:w="547" w:type="pct"/>
                            <w:tcBorders>
                              <w:top w:val="single" w:sz="4" w:space="0" w:color="000000"/>
                              <w:left w:val="nil"/>
                              <w:bottom w:val="nil"/>
                              <w:right w:val="nil"/>
                            </w:tcBorders>
                            <w:hideMark/>
                          </w:tcPr>
                          <w:p w14:paraId="64A75A6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c>
                          <w:tcPr>
                            <w:tcW w:w="547" w:type="pct"/>
                            <w:tcBorders>
                              <w:top w:val="single" w:sz="4" w:space="0" w:color="000000"/>
                              <w:left w:val="nil"/>
                              <w:bottom w:val="nil"/>
                              <w:right w:val="nil"/>
                            </w:tcBorders>
                            <w:hideMark/>
                          </w:tcPr>
                          <w:p w14:paraId="0344B51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0.7 </w:t>
                            </w:r>
                          </w:p>
                        </w:tc>
                        <w:tc>
                          <w:tcPr>
                            <w:tcW w:w="547" w:type="pct"/>
                            <w:tcBorders>
                              <w:top w:val="single" w:sz="4" w:space="0" w:color="000000"/>
                              <w:left w:val="nil"/>
                              <w:bottom w:val="nil"/>
                              <w:right w:val="nil"/>
                            </w:tcBorders>
                            <w:hideMark/>
                          </w:tcPr>
                          <w:p w14:paraId="7DE3A3E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r>
                      <w:tr w:rsidR="00396BEA" w:rsidRPr="00396BEA" w14:paraId="5D6F9D88" w14:textId="77777777" w:rsidTr="00396BEA">
                        <w:trPr>
                          <w:trHeight w:val="204"/>
                        </w:trPr>
                        <w:tc>
                          <w:tcPr>
                            <w:tcW w:w="1719" w:type="pct"/>
                            <w:tcBorders>
                              <w:top w:val="nil"/>
                              <w:left w:val="nil"/>
                              <w:bottom w:val="nil"/>
                              <w:right w:val="nil"/>
                            </w:tcBorders>
                            <w:noWrap/>
                            <w:hideMark/>
                          </w:tcPr>
                          <w:p w14:paraId="257BC1C1"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Capital Expenditure</w:t>
                            </w:r>
                          </w:p>
                        </w:tc>
                        <w:tc>
                          <w:tcPr>
                            <w:tcW w:w="547" w:type="pct"/>
                            <w:tcBorders>
                              <w:top w:val="nil"/>
                              <w:left w:val="nil"/>
                              <w:bottom w:val="nil"/>
                              <w:right w:val="nil"/>
                            </w:tcBorders>
                            <w:hideMark/>
                          </w:tcPr>
                          <w:p w14:paraId="17C4D8F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5C52D8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86FDEF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6CA9F6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651DFD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E047E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r>
                      <w:tr w:rsidR="00396BEA" w:rsidRPr="00396BEA" w14:paraId="7D2BCB56" w14:textId="77777777" w:rsidTr="00396BEA">
                        <w:trPr>
                          <w:trHeight w:val="204"/>
                        </w:trPr>
                        <w:tc>
                          <w:tcPr>
                            <w:tcW w:w="1719" w:type="pct"/>
                            <w:tcBorders>
                              <w:top w:val="nil"/>
                              <w:left w:val="nil"/>
                              <w:bottom w:val="nil"/>
                              <w:right w:val="nil"/>
                            </w:tcBorders>
                            <w:noWrap/>
                            <w:hideMark/>
                          </w:tcPr>
                          <w:p w14:paraId="1DFB40A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Cash Acquisitions</w:t>
                            </w:r>
                          </w:p>
                        </w:tc>
                        <w:tc>
                          <w:tcPr>
                            <w:tcW w:w="547" w:type="pct"/>
                            <w:tcBorders>
                              <w:top w:val="nil"/>
                              <w:left w:val="nil"/>
                              <w:bottom w:val="nil"/>
                              <w:right w:val="nil"/>
                            </w:tcBorders>
                            <w:hideMark/>
                          </w:tcPr>
                          <w:p w14:paraId="4AEBFCC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A4CCA9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F04BF1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0423FD6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3BDDBD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5A6DA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1066409B" w14:textId="77777777" w:rsidTr="00396BEA">
                        <w:trPr>
                          <w:trHeight w:val="204"/>
                        </w:trPr>
                        <w:tc>
                          <w:tcPr>
                            <w:tcW w:w="1719" w:type="pct"/>
                            <w:tcBorders>
                              <w:top w:val="nil"/>
                              <w:left w:val="nil"/>
                              <w:bottom w:val="nil"/>
                              <w:right w:val="nil"/>
                            </w:tcBorders>
                            <w:noWrap/>
                            <w:hideMark/>
                          </w:tcPr>
                          <w:p w14:paraId="1424A1A0"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Sale (Purchase) of Intangible assets</w:t>
                            </w:r>
                          </w:p>
                        </w:tc>
                        <w:tc>
                          <w:tcPr>
                            <w:tcW w:w="547" w:type="pct"/>
                            <w:tcBorders>
                              <w:top w:val="nil"/>
                              <w:left w:val="nil"/>
                              <w:bottom w:val="nil"/>
                              <w:right w:val="nil"/>
                            </w:tcBorders>
                            <w:hideMark/>
                          </w:tcPr>
                          <w:p w14:paraId="5C59228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28DB59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17C059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3DEF8AB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9A9309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AB943A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r>
                      <w:tr w:rsidR="00396BEA" w:rsidRPr="00396BEA" w14:paraId="6FDBECA3" w14:textId="77777777" w:rsidTr="00396BEA">
                        <w:trPr>
                          <w:trHeight w:val="204"/>
                        </w:trPr>
                        <w:tc>
                          <w:tcPr>
                            <w:tcW w:w="1719" w:type="pct"/>
                            <w:tcBorders>
                              <w:top w:val="nil"/>
                              <w:left w:val="nil"/>
                              <w:bottom w:val="nil"/>
                              <w:right w:val="nil"/>
                            </w:tcBorders>
                            <w:noWrap/>
                            <w:hideMark/>
                          </w:tcPr>
                          <w:p w14:paraId="3DC93E58"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Investing</w:t>
                            </w:r>
                          </w:p>
                        </w:tc>
                        <w:tc>
                          <w:tcPr>
                            <w:tcW w:w="547" w:type="pct"/>
                            <w:tcBorders>
                              <w:top w:val="single" w:sz="4" w:space="0" w:color="000000"/>
                              <w:left w:val="nil"/>
                              <w:bottom w:val="nil"/>
                              <w:right w:val="nil"/>
                            </w:tcBorders>
                            <w:hideMark/>
                          </w:tcPr>
                          <w:p w14:paraId="6C698D1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28574E8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386C657D"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317E3B1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2AD8A3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669B536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r>
                      <w:tr w:rsidR="00396BEA" w:rsidRPr="00396BEA" w14:paraId="54D460BB" w14:textId="77777777" w:rsidTr="00396BEA">
                        <w:trPr>
                          <w:trHeight w:val="204"/>
                        </w:trPr>
                        <w:tc>
                          <w:tcPr>
                            <w:tcW w:w="1719" w:type="pct"/>
                            <w:tcBorders>
                              <w:top w:val="nil"/>
                              <w:left w:val="nil"/>
                              <w:bottom w:val="nil"/>
                              <w:right w:val="nil"/>
                            </w:tcBorders>
                            <w:noWrap/>
                            <w:hideMark/>
                          </w:tcPr>
                          <w:p w14:paraId="63120EF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Long-Term Debt Issued</w:t>
                            </w:r>
                          </w:p>
                        </w:tc>
                        <w:tc>
                          <w:tcPr>
                            <w:tcW w:w="547" w:type="pct"/>
                            <w:tcBorders>
                              <w:top w:val="nil"/>
                              <w:left w:val="nil"/>
                              <w:bottom w:val="nil"/>
                              <w:right w:val="nil"/>
                            </w:tcBorders>
                            <w:hideMark/>
                          </w:tcPr>
                          <w:p w14:paraId="46D50D5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766DCD3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6D66DEE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1.1 </w:t>
                            </w:r>
                          </w:p>
                        </w:tc>
                        <w:tc>
                          <w:tcPr>
                            <w:tcW w:w="547" w:type="pct"/>
                            <w:tcBorders>
                              <w:top w:val="nil"/>
                              <w:left w:val="nil"/>
                              <w:bottom w:val="nil"/>
                              <w:right w:val="nil"/>
                            </w:tcBorders>
                            <w:hideMark/>
                          </w:tcPr>
                          <w:p w14:paraId="1E81D3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75932DC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2A4FDCB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35182ED5" w14:textId="77777777" w:rsidTr="00396BEA">
                        <w:trPr>
                          <w:trHeight w:val="204"/>
                        </w:trPr>
                        <w:tc>
                          <w:tcPr>
                            <w:tcW w:w="1719" w:type="pct"/>
                            <w:tcBorders>
                              <w:top w:val="nil"/>
                              <w:left w:val="nil"/>
                              <w:bottom w:val="nil"/>
                              <w:right w:val="nil"/>
                            </w:tcBorders>
                            <w:noWrap/>
                            <w:hideMark/>
                          </w:tcPr>
                          <w:p w14:paraId="728FBB80"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Debt Issued</w:t>
                            </w:r>
                          </w:p>
                        </w:tc>
                        <w:tc>
                          <w:tcPr>
                            <w:tcW w:w="547" w:type="pct"/>
                            <w:tcBorders>
                              <w:top w:val="single" w:sz="4" w:space="0" w:color="000000"/>
                              <w:left w:val="nil"/>
                              <w:bottom w:val="nil"/>
                              <w:right w:val="nil"/>
                            </w:tcBorders>
                            <w:hideMark/>
                          </w:tcPr>
                          <w:p w14:paraId="0F1907F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4E53B9A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D05AEC7"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1.1 </w:t>
                            </w:r>
                          </w:p>
                        </w:tc>
                        <w:tc>
                          <w:tcPr>
                            <w:tcW w:w="547" w:type="pct"/>
                            <w:tcBorders>
                              <w:top w:val="single" w:sz="4" w:space="0" w:color="000000"/>
                              <w:left w:val="nil"/>
                              <w:bottom w:val="nil"/>
                              <w:right w:val="nil"/>
                            </w:tcBorders>
                            <w:hideMark/>
                          </w:tcPr>
                          <w:p w14:paraId="5E0EFF3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006151ED"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c>
                          <w:tcPr>
                            <w:tcW w:w="547" w:type="pct"/>
                            <w:tcBorders>
                              <w:top w:val="single" w:sz="4" w:space="0" w:color="000000"/>
                              <w:left w:val="nil"/>
                              <w:bottom w:val="nil"/>
                              <w:right w:val="nil"/>
                            </w:tcBorders>
                            <w:hideMark/>
                          </w:tcPr>
                          <w:p w14:paraId="3090910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r>
                      <w:tr w:rsidR="00396BEA" w:rsidRPr="00396BEA" w14:paraId="0DBB2BC2" w14:textId="77777777" w:rsidTr="00396BEA">
                        <w:trPr>
                          <w:trHeight w:val="204"/>
                        </w:trPr>
                        <w:tc>
                          <w:tcPr>
                            <w:tcW w:w="1719" w:type="pct"/>
                            <w:tcBorders>
                              <w:top w:val="nil"/>
                              <w:left w:val="nil"/>
                              <w:bottom w:val="nil"/>
                              <w:right w:val="nil"/>
                            </w:tcBorders>
                            <w:noWrap/>
                            <w:hideMark/>
                          </w:tcPr>
                          <w:p w14:paraId="7BC96436"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Long-Term Debt Repaid</w:t>
                            </w:r>
                          </w:p>
                        </w:tc>
                        <w:tc>
                          <w:tcPr>
                            <w:tcW w:w="547" w:type="pct"/>
                            <w:tcBorders>
                              <w:top w:val="nil"/>
                              <w:left w:val="nil"/>
                              <w:bottom w:val="nil"/>
                              <w:right w:val="nil"/>
                            </w:tcBorders>
                            <w:hideMark/>
                          </w:tcPr>
                          <w:p w14:paraId="78166CB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F55A77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4071563"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(0.4)  </w:t>
                            </w:r>
                          </w:p>
                        </w:tc>
                        <w:tc>
                          <w:tcPr>
                            <w:tcW w:w="547" w:type="pct"/>
                            <w:tcBorders>
                              <w:top w:val="nil"/>
                              <w:left w:val="nil"/>
                              <w:bottom w:val="nil"/>
                              <w:right w:val="nil"/>
                            </w:tcBorders>
                            <w:hideMark/>
                          </w:tcPr>
                          <w:p w14:paraId="7ECC72E5"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0460A5A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0AC048F2"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2CD9FEF5" w14:textId="77777777" w:rsidTr="00396BEA">
                        <w:trPr>
                          <w:trHeight w:val="204"/>
                        </w:trPr>
                        <w:tc>
                          <w:tcPr>
                            <w:tcW w:w="1719" w:type="pct"/>
                            <w:tcBorders>
                              <w:top w:val="nil"/>
                              <w:left w:val="nil"/>
                              <w:bottom w:val="nil"/>
                              <w:right w:val="nil"/>
                            </w:tcBorders>
                            <w:noWrap/>
                            <w:hideMark/>
                          </w:tcPr>
                          <w:p w14:paraId="608A5BA9"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Debt Repaid</w:t>
                            </w:r>
                          </w:p>
                        </w:tc>
                        <w:tc>
                          <w:tcPr>
                            <w:tcW w:w="547" w:type="pct"/>
                            <w:tcBorders>
                              <w:top w:val="single" w:sz="4" w:space="0" w:color="000000"/>
                              <w:left w:val="nil"/>
                              <w:bottom w:val="nil"/>
                              <w:right w:val="nil"/>
                            </w:tcBorders>
                            <w:hideMark/>
                          </w:tcPr>
                          <w:p w14:paraId="36EB465A"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7AF6AA02"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63E4FB39"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(0.4)  </w:t>
                            </w:r>
                          </w:p>
                        </w:tc>
                        <w:tc>
                          <w:tcPr>
                            <w:tcW w:w="547" w:type="pct"/>
                            <w:tcBorders>
                              <w:top w:val="single" w:sz="4" w:space="0" w:color="000000"/>
                              <w:left w:val="nil"/>
                              <w:bottom w:val="nil"/>
                              <w:right w:val="nil"/>
                            </w:tcBorders>
                            <w:hideMark/>
                          </w:tcPr>
                          <w:p w14:paraId="6286942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(0.2)  </w:t>
                            </w:r>
                          </w:p>
                        </w:tc>
                        <w:tc>
                          <w:tcPr>
                            <w:tcW w:w="547" w:type="pct"/>
                            <w:tcBorders>
                              <w:top w:val="single" w:sz="4" w:space="0" w:color="000000"/>
                              <w:left w:val="nil"/>
                              <w:bottom w:val="nil"/>
                              <w:right w:val="nil"/>
                            </w:tcBorders>
                            <w:hideMark/>
                          </w:tcPr>
                          <w:p w14:paraId="5FEE327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501410E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(0.5)  </w:t>
                            </w:r>
                          </w:p>
                        </w:tc>
                      </w:tr>
                      <w:tr w:rsidR="00396BEA" w:rsidRPr="00396BEA" w14:paraId="52EB8857" w14:textId="77777777" w:rsidTr="00396BEA">
                        <w:trPr>
                          <w:trHeight w:val="204"/>
                        </w:trPr>
                        <w:tc>
                          <w:tcPr>
                            <w:tcW w:w="1719" w:type="pct"/>
                            <w:tcBorders>
                              <w:top w:val="nil"/>
                              <w:left w:val="nil"/>
                              <w:bottom w:val="nil"/>
                              <w:right w:val="nil"/>
                            </w:tcBorders>
                            <w:noWrap/>
                            <w:hideMark/>
                          </w:tcPr>
                          <w:p w14:paraId="4216D2F2"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Issuance of Common Stock</w:t>
                            </w:r>
                          </w:p>
                        </w:tc>
                        <w:tc>
                          <w:tcPr>
                            <w:tcW w:w="547" w:type="pct"/>
                            <w:tcBorders>
                              <w:top w:val="nil"/>
                              <w:left w:val="nil"/>
                              <w:bottom w:val="nil"/>
                              <w:right w:val="nil"/>
                            </w:tcBorders>
                            <w:hideMark/>
                          </w:tcPr>
                          <w:p w14:paraId="00A774D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1.1 </w:t>
                            </w:r>
                          </w:p>
                        </w:tc>
                        <w:tc>
                          <w:tcPr>
                            <w:tcW w:w="547" w:type="pct"/>
                            <w:tcBorders>
                              <w:top w:val="nil"/>
                              <w:left w:val="nil"/>
                              <w:bottom w:val="nil"/>
                              <w:right w:val="nil"/>
                            </w:tcBorders>
                            <w:hideMark/>
                          </w:tcPr>
                          <w:p w14:paraId="333B322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0FFE34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0.7 </w:t>
                            </w:r>
                          </w:p>
                        </w:tc>
                        <w:tc>
                          <w:tcPr>
                            <w:tcW w:w="547" w:type="pct"/>
                            <w:tcBorders>
                              <w:top w:val="nil"/>
                              <w:left w:val="nil"/>
                              <w:bottom w:val="nil"/>
                              <w:right w:val="nil"/>
                            </w:tcBorders>
                            <w:hideMark/>
                          </w:tcPr>
                          <w:p w14:paraId="73BEE95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E0B1F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BD7051B"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r>
                      <w:tr w:rsidR="00396BEA" w:rsidRPr="00396BEA" w14:paraId="432443F8" w14:textId="77777777" w:rsidTr="00396BEA">
                        <w:trPr>
                          <w:trHeight w:val="204"/>
                        </w:trPr>
                        <w:tc>
                          <w:tcPr>
                            <w:tcW w:w="1719" w:type="pct"/>
                            <w:tcBorders>
                              <w:top w:val="nil"/>
                              <w:left w:val="nil"/>
                              <w:bottom w:val="nil"/>
                              <w:right w:val="nil"/>
                            </w:tcBorders>
                            <w:noWrap/>
                            <w:hideMark/>
                          </w:tcPr>
                          <w:p w14:paraId="30DA5FE7"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Repurchase of Common Stock</w:t>
                            </w:r>
                          </w:p>
                        </w:tc>
                        <w:tc>
                          <w:tcPr>
                            <w:tcW w:w="547" w:type="pct"/>
                            <w:tcBorders>
                              <w:top w:val="nil"/>
                              <w:left w:val="nil"/>
                              <w:bottom w:val="nil"/>
                              <w:right w:val="nil"/>
                            </w:tcBorders>
                            <w:hideMark/>
                          </w:tcPr>
                          <w:p w14:paraId="449DE2C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7811DF8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60B94C2E"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(0.2)  </w:t>
                            </w:r>
                          </w:p>
                        </w:tc>
                        <w:tc>
                          <w:tcPr>
                            <w:tcW w:w="547" w:type="pct"/>
                            <w:tcBorders>
                              <w:top w:val="nil"/>
                              <w:left w:val="nil"/>
                              <w:bottom w:val="nil"/>
                              <w:right w:val="nil"/>
                            </w:tcBorders>
                            <w:hideMark/>
                          </w:tcPr>
                          <w:p w14:paraId="3FAC7094"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5567BEDF"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08125A7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02F27416" w14:textId="77777777" w:rsidTr="00396BEA">
                        <w:trPr>
                          <w:trHeight w:val="204"/>
                        </w:trPr>
                        <w:tc>
                          <w:tcPr>
                            <w:tcW w:w="1719" w:type="pct"/>
                            <w:tcBorders>
                              <w:top w:val="nil"/>
                              <w:left w:val="nil"/>
                              <w:bottom w:val="nil"/>
                              <w:right w:val="nil"/>
                            </w:tcBorders>
                            <w:noWrap/>
                            <w:hideMark/>
                          </w:tcPr>
                          <w:p w14:paraId="61504D4B"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Common Dividends Paid</w:t>
                            </w:r>
                          </w:p>
                        </w:tc>
                        <w:tc>
                          <w:tcPr>
                            <w:tcW w:w="547" w:type="pct"/>
                            <w:tcBorders>
                              <w:top w:val="nil"/>
                              <w:left w:val="nil"/>
                              <w:bottom w:val="nil"/>
                              <w:right w:val="nil"/>
                            </w:tcBorders>
                            <w:hideMark/>
                          </w:tcPr>
                          <w:p w14:paraId="60B22C08"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2E501D6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5285B55D"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6E8B97A9"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7C46174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c>
                          <w:tcPr>
                            <w:tcW w:w="547" w:type="pct"/>
                            <w:tcBorders>
                              <w:top w:val="nil"/>
                              <w:left w:val="nil"/>
                              <w:bottom w:val="nil"/>
                              <w:right w:val="nil"/>
                            </w:tcBorders>
                            <w:hideMark/>
                          </w:tcPr>
                          <w:p w14:paraId="27F87D7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w:t>
                            </w:r>
                          </w:p>
                        </w:tc>
                      </w:tr>
                      <w:tr w:rsidR="00396BEA" w:rsidRPr="00396BEA" w14:paraId="37640DA6" w14:textId="77777777" w:rsidTr="00396BEA">
                        <w:trPr>
                          <w:trHeight w:val="204"/>
                        </w:trPr>
                        <w:tc>
                          <w:tcPr>
                            <w:tcW w:w="1719" w:type="pct"/>
                            <w:tcBorders>
                              <w:top w:val="nil"/>
                              <w:left w:val="nil"/>
                              <w:bottom w:val="nil"/>
                              <w:right w:val="nil"/>
                            </w:tcBorders>
                            <w:noWrap/>
                            <w:hideMark/>
                          </w:tcPr>
                          <w:p w14:paraId="2A5C1D66"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Total Dividends Paid</w:t>
                            </w:r>
                          </w:p>
                        </w:tc>
                        <w:tc>
                          <w:tcPr>
                            <w:tcW w:w="547" w:type="pct"/>
                            <w:tcBorders>
                              <w:top w:val="single" w:sz="4" w:space="0" w:color="000000"/>
                              <w:left w:val="nil"/>
                              <w:bottom w:val="nil"/>
                              <w:right w:val="nil"/>
                            </w:tcBorders>
                            <w:hideMark/>
                          </w:tcPr>
                          <w:p w14:paraId="2AE0AEB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089C93F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79E4C4D0"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585F6336"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 </w:t>
                            </w:r>
                          </w:p>
                        </w:tc>
                        <w:tc>
                          <w:tcPr>
                            <w:tcW w:w="547" w:type="pct"/>
                            <w:tcBorders>
                              <w:top w:val="single" w:sz="4" w:space="0" w:color="000000"/>
                              <w:left w:val="nil"/>
                              <w:bottom w:val="nil"/>
                              <w:right w:val="nil"/>
                            </w:tcBorders>
                            <w:hideMark/>
                          </w:tcPr>
                          <w:p w14:paraId="5E6DEE00"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c>
                          <w:tcPr>
                            <w:tcW w:w="547" w:type="pct"/>
                            <w:tcBorders>
                              <w:top w:val="single" w:sz="4" w:space="0" w:color="000000"/>
                              <w:left w:val="nil"/>
                              <w:bottom w:val="nil"/>
                              <w:right w:val="nil"/>
                            </w:tcBorders>
                            <w:hideMark/>
                          </w:tcPr>
                          <w:p w14:paraId="3A50589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w:t>
                            </w:r>
                          </w:p>
                        </w:tc>
                      </w:tr>
                      <w:tr w:rsidR="00396BEA" w:rsidRPr="00396BEA" w14:paraId="68AE6C47" w14:textId="77777777" w:rsidTr="00396BEA">
                        <w:trPr>
                          <w:trHeight w:val="204"/>
                        </w:trPr>
                        <w:tc>
                          <w:tcPr>
                            <w:tcW w:w="1719" w:type="pct"/>
                            <w:tcBorders>
                              <w:top w:val="nil"/>
                              <w:left w:val="nil"/>
                              <w:bottom w:val="nil"/>
                              <w:right w:val="nil"/>
                            </w:tcBorders>
                            <w:noWrap/>
                            <w:hideMark/>
                          </w:tcPr>
                          <w:p w14:paraId="146C5CE5" w14:textId="77777777" w:rsidR="00396BEA" w:rsidRPr="00396BEA" w:rsidRDefault="00396BEA" w:rsidP="00396BEA">
                            <w:pPr>
                              <w:spacing w:after="0" w:line="240" w:lineRule="auto"/>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Other Financing Activities</w:t>
                            </w:r>
                          </w:p>
                        </w:tc>
                        <w:tc>
                          <w:tcPr>
                            <w:tcW w:w="547" w:type="pct"/>
                            <w:tcBorders>
                              <w:top w:val="nil"/>
                              <w:left w:val="nil"/>
                              <w:bottom w:val="nil"/>
                              <w:right w:val="nil"/>
                            </w:tcBorders>
                            <w:hideMark/>
                          </w:tcPr>
                          <w:p w14:paraId="1C346A87"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(0.1)  </w:t>
                            </w:r>
                          </w:p>
                        </w:tc>
                        <w:tc>
                          <w:tcPr>
                            <w:tcW w:w="547" w:type="pct"/>
                            <w:tcBorders>
                              <w:top w:val="nil"/>
                              <w:left w:val="nil"/>
                              <w:bottom w:val="nil"/>
                              <w:right w:val="nil"/>
                            </w:tcBorders>
                            <w:hideMark/>
                          </w:tcPr>
                          <w:p w14:paraId="21E76C66"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 </w:t>
                            </w:r>
                          </w:p>
                        </w:tc>
                        <w:tc>
                          <w:tcPr>
                            <w:tcW w:w="547" w:type="pct"/>
                            <w:tcBorders>
                              <w:top w:val="nil"/>
                              <w:left w:val="nil"/>
                              <w:bottom w:val="nil"/>
                              <w:right w:val="nil"/>
                            </w:tcBorders>
                            <w:hideMark/>
                          </w:tcPr>
                          <w:p w14:paraId="4636571A"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2DB85651"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c>
                          <w:tcPr>
                            <w:tcW w:w="547" w:type="pct"/>
                            <w:tcBorders>
                              <w:top w:val="nil"/>
                              <w:left w:val="nil"/>
                              <w:bottom w:val="nil"/>
                              <w:right w:val="nil"/>
                            </w:tcBorders>
                            <w:hideMark/>
                          </w:tcPr>
                          <w:p w14:paraId="13D41B0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(0.5)  </w:t>
                            </w:r>
                          </w:p>
                        </w:tc>
                        <w:tc>
                          <w:tcPr>
                            <w:tcW w:w="547" w:type="pct"/>
                            <w:tcBorders>
                              <w:top w:val="nil"/>
                              <w:left w:val="nil"/>
                              <w:bottom w:val="nil"/>
                              <w:right w:val="nil"/>
                            </w:tcBorders>
                            <w:hideMark/>
                          </w:tcPr>
                          <w:p w14:paraId="4B1E68FC" w14:textId="77777777" w:rsidR="00396BEA" w:rsidRPr="00396BEA" w:rsidRDefault="00396BEA" w:rsidP="00396BEA">
                            <w:pPr>
                              <w:spacing w:after="0" w:line="240" w:lineRule="auto"/>
                              <w:jc w:val="right"/>
                              <w:rPr>
                                <w:rFonts w:ascii="Cambria" w:eastAsia="Times New Roman" w:hAnsi="Cambria" w:cs="Arial"/>
                                <w:color w:val="000000"/>
                                <w:kern w:val="0"/>
                                <w:sz w:val="14"/>
                                <w:szCs w:val="14"/>
                                <w:lang w:eastAsia="en-IN"/>
                                <w14:ligatures w14:val="none"/>
                              </w:rPr>
                            </w:pPr>
                            <w:r w:rsidRPr="00396BEA">
                              <w:rPr>
                                <w:rFonts w:ascii="Cambria" w:eastAsia="Times New Roman" w:hAnsi="Cambria" w:cs="Arial"/>
                                <w:color w:val="000000"/>
                                <w:kern w:val="0"/>
                                <w:sz w:val="14"/>
                                <w:szCs w:val="14"/>
                                <w:lang w:eastAsia="en-IN"/>
                                <w14:ligatures w14:val="none"/>
                              </w:rPr>
                              <w:t xml:space="preserve">              (0.3)  </w:t>
                            </w:r>
                          </w:p>
                        </w:tc>
                      </w:tr>
                      <w:tr w:rsidR="00396BEA" w:rsidRPr="00396BEA" w14:paraId="6711A516" w14:textId="77777777" w:rsidTr="00396BEA">
                        <w:trPr>
                          <w:trHeight w:val="204"/>
                        </w:trPr>
                        <w:tc>
                          <w:tcPr>
                            <w:tcW w:w="1719" w:type="pct"/>
                            <w:tcBorders>
                              <w:top w:val="nil"/>
                              <w:left w:val="nil"/>
                              <w:bottom w:val="nil"/>
                              <w:right w:val="nil"/>
                            </w:tcBorders>
                            <w:noWrap/>
                            <w:hideMark/>
                          </w:tcPr>
                          <w:p w14:paraId="067CCCBE"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Cash from Financing</w:t>
                            </w:r>
                          </w:p>
                        </w:tc>
                        <w:tc>
                          <w:tcPr>
                            <w:tcW w:w="547" w:type="pct"/>
                            <w:tcBorders>
                              <w:top w:val="single" w:sz="4" w:space="0" w:color="000000"/>
                              <w:left w:val="nil"/>
                              <w:bottom w:val="nil"/>
                              <w:right w:val="nil"/>
                            </w:tcBorders>
                            <w:hideMark/>
                          </w:tcPr>
                          <w:p w14:paraId="7CC74C8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1.0 </w:t>
                            </w:r>
                          </w:p>
                        </w:tc>
                        <w:tc>
                          <w:tcPr>
                            <w:tcW w:w="547" w:type="pct"/>
                            <w:tcBorders>
                              <w:top w:val="single" w:sz="4" w:space="0" w:color="000000"/>
                              <w:left w:val="nil"/>
                              <w:bottom w:val="nil"/>
                              <w:right w:val="nil"/>
                            </w:tcBorders>
                            <w:hideMark/>
                          </w:tcPr>
                          <w:p w14:paraId="04D0613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(0.1)  </w:t>
                            </w:r>
                          </w:p>
                        </w:tc>
                        <w:tc>
                          <w:tcPr>
                            <w:tcW w:w="547" w:type="pct"/>
                            <w:tcBorders>
                              <w:top w:val="single" w:sz="4" w:space="0" w:color="000000"/>
                              <w:left w:val="nil"/>
                              <w:bottom w:val="nil"/>
                              <w:right w:val="nil"/>
                            </w:tcBorders>
                            <w:hideMark/>
                          </w:tcPr>
                          <w:p w14:paraId="492D4F7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1.8 </w:t>
                            </w:r>
                          </w:p>
                        </w:tc>
                        <w:tc>
                          <w:tcPr>
                            <w:tcW w:w="547" w:type="pct"/>
                            <w:tcBorders>
                              <w:top w:val="single" w:sz="4" w:space="0" w:color="000000"/>
                              <w:left w:val="nil"/>
                              <w:bottom w:val="nil"/>
                              <w:right w:val="nil"/>
                            </w:tcBorders>
                            <w:hideMark/>
                          </w:tcPr>
                          <w:p w14:paraId="6A4E910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(0.4)  </w:t>
                            </w:r>
                          </w:p>
                        </w:tc>
                        <w:tc>
                          <w:tcPr>
                            <w:tcW w:w="547" w:type="pct"/>
                            <w:tcBorders>
                              <w:top w:val="single" w:sz="4" w:space="0" w:color="000000"/>
                              <w:left w:val="nil"/>
                              <w:bottom w:val="nil"/>
                              <w:right w:val="nil"/>
                            </w:tcBorders>
                            <w:hideMark/>
                          </w:tcPr>
                          <w:p w14:paraId="631F6D1F"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c>
                          <w:tcPr>
                            <w:tcW w:w="547" w:type="pct"/>
                            <w:tcBorders>
                              <w:top w:val="single" w:sz="4" w:space="0" w:color="000000"/>
                              <w:left w:val="nil"/>
                              <w:bottom w:val="nil"/>
                              <w:right w:val="nil"/>
                            </w:tcBorders>
                            <w:hideMark/>
                          </w:tcPr>
                          <w:p w14:paraId="47AA3074"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(0.6)  </w:t>
                            </w:r>
                          </w:p>
                        </w:tc>
                      </w:tr>
                      <w:tr w:rsidR="00396BEA" w:rsidRPr="00396BEA" w14:paraId="1A707016" w14:textId="77777777" w:rsidTr="00396BEA">
                        <w:trPr>
                          <w:trHeight w:val="204"/>
                        </w:trPr>
                        <w:tc>
                          <w:tcPr>
                            <w:tcW w:w="1719" w:type="pct"/>
                            <w:tcBorders>
                              <w:top w:val="nil"/>
                              <w:left w:val="nil"/>
                              <w:bottom w:val="nil"/>
                              <w:right w:val="nil"/>
                            </w:tcBorders>
                            <w:noWrap/>
                            <w:hideMark/>
                          </w:tcPr>
                          <w:p w14:paraId="2AF719C1" w14:textId="77777777" w:rsidR="00396BEA" w:rsidRPr="00396BEA" w:rsidRDefault="00396BEA" w:rsidP="00396BEA">
                            <w:pPr>
                              <w:spacing w:after="0" w:line="240" w:lineRule="auto"/>
                              <w:rPr>
                                <w:rFonts w:ascii="Cambria" w:eastAsia="Times New Roman" w:hAnsi="Cambria" w:cs="Arial"/>
                                <w:b/>
                                <w:bCs/>
                                <w:color w:val="000000"/>
                                <w:kern w:val="0"/>
                                <w:sz w:val="14"/>
                                <w:szCs w:val="14"/>
                                <w:lang w:eastAsia="en-IN"/>
                                <w14:ligatures w14:val="none"/>
                              </w:rPr>
                            </w:pPr>
                            <w:r w:rsidRPr="00396BEA">
                              <w:rPr>
                                <w:rFonts w:ascii="Cambria" w:eastAsia="Times New Roman" w:hAnsi="Cambria" w:cs="Arial"/>
                                <w:b/>
                                <w:bCs/>
                                <w:color w:val="000000"/>
                                <w:kern w:val="0"/>
                                <w:sz w:val="14"/>
                                <w:szCs w:val="14"/>
                                <w:lang w:eastAsia="en-IN"/>
                                <w14:ligatures w14:val="none"/>
                              </w:rPr>
                              <w:t xml:space="preserve">  Net Change in Cash</w:t>
                            </w:r>
                          </w:p>
                        </w:tc>
                        <w:tc>
                          <w:tcPr>
                            <w:tcW w:w="547" w:type="pct"/>
                            <w:tcBorders>
                              <w:top w:val="single" w:sz="4" w:space="0" w:color="000000"/>
                              <w:left w:val="nil"/>
                              <w:bottom w:val="nil"/>
                              <w:right w:val="nil"/>
                            </w:tcBorders>
                            <w:hideMark/>
                          </w:tcPr>
                          <w:p w14:paraId="64A3D601"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(0.1)  </w:t>
                            </w:r>
                          </w:p>
                        </w:tc>
                        <w:tc>
                          <w:tcPr>
                            <w:tcW w:w="547" w:type="pct"/>
                            <w:tcBorders>
                              <w:top w:val="single" w:sz="4" w:space="0" w:color="000000"/>
                              <w:left w:val="nil"/>
                              <w:bottom w:val="nil"/>
                              <w:right w:val="nil"/>
                            </w:tcBorders>
                            <w:hideMark/>
                          </w:tcPr>
                          <w:p w14:paraId="7C55DCD8"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0.3 </w:t>
                            </w:r>
                          </w:p>
                        </w:tc>
                        <w:tc>
                          <w:tcPr>
                            <w:tcW w:w="547" w:type="pct"/>
                            <w:tcBorders>
                              <w:top w:val="single" w:sz="4" w:space="0" w:color="000000"/>
                              <w:left w:val="nil"/>
                              <w:bottom w:val="nil"/>
                              <w:right w:val="nil"/>
                            </w:tcBorders>
                            <w:hideMark/>
                          </w:tcPr>
                          <w:p w14:paraId="05064DAC"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0.2 </w:t>
                            </w:r>
                          </w:p>
                        </w:tc>
                        <w:tc>
                          <w:tcPr>
                            <w:tcW w:w="547" w:type="pct"/>
                            <w:tcBorders>
                              <w:top w:val="single" w:sz="4" w:space="0" w:color="000000"/>
                              <w:left w:val="nil"/>
                              <w:bottom w:val="nil"/>
                              <w:right w:val="nil"/>
                            </w:tcBorders>
                            <w:hideMark/>
                          </w:tcPr>
                          <w:p w14:paraId="5DDE750E"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 </w:t>
                            </w:r>
                          </w:p>
                        </w:tc>
                        <w:tc>
                          <w:tcPr>
                            <w:tcW w:w="547" w:type="pct"/>
                            <w:tcBorders>
                              <w:top w:val="single" w:sz="4" w:space="0" w:color="000000"/>
                              <w:left w:val="nil"/>
                              <w:bottom w:val="nil"/>
                              <w:right w:val="nil"/>
                            </w:tcBorders>
                            <w:hideMark/>
                          </w:tcPr>
                          <w:p w14:paraId="3A3D956B"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0.0 </w:t>
                            </w:r>
                          </w:p>
                        </w:tc>
                        <w:tc>
                          <w:tcPr>
                            <w:tcW w:w="547" w:type="pct"/>
                            <w:tcBorders>
                              <w:top w:val="single" w:sz="4" w:space="0" w:color="000000"/>
                              <w:left w:val="nil"/>
                              <w:bottom w:val="nil"/>
                              <w:right w:val="nil"/>
                            </w:tcBorders>
                            <w:hideMark/>
                          </w:tcPr>
                          <w:p w14:paraId="679A02F5" w14:textId="77777777" w:rsidR="00396BEA" w:rsidRPr="00396BEA" w:rsidRDefault="00396BEA" w:rsidP="00396BEA">
                            <w:pPr>
                              <w:spacing w:after="0" w:line="240" w:lineRule="auto"/>
                              <w:jc w:val="right"/>
                              <w:rPr>
                                <w:rFonts w:ascii="Cambria" w:eastAsia="Times New Roman" w:hAnsi="Cambria" w:cs="Arial"/>
                                <w:b/>
                                <w:bCs/>
                                <w:color w:val="000000"/>
                                <w:kern w:val="0"/>
                                <w:sz w:val="14"/>
                                <w:szCs w:val="14"/>
                                <w:u w:val="double"/>
                                <w:lang w:eastAsia="en-IN"/>
                                <w14:ligatures w14:val="none"/>
                              </w:rPr>
                            </w:pPr>
                            <w:r w:rsidRPr="00396BEA">
                              <w:rPr>
                                <w:rFonts w:ascii="Cambria" w:eastAsia="Times New Roman" w:hAnsi="Cambria" w:cs="Arial"/>
                                <w:b/>
                                <w:bCs/>
                                <w:color w:val="000000"/>
                                <w:kern w:val="0"/>
                                <w:sz w:val="14"/>
                                <w:szCs w:val="14"/>
                                <w:u w:val="double"/>
                                <w:lang w:eastAsia="en-IN"/>
                                <w14:ligatures w14:val="none"/>
                              </w:rPr>
                              <w:t xml:space="preserve">              (0.2)  </w:t>
                            </w:r>
                          </w:p>
                        </w:tc>
                      </w:tr>
                    </w:tbl>
                    <w:p w14:paraId="450CCDAB" w14:textId="58A9FA9E" w:rsidR="00396BEA" w:rsidRDefault="00396BEA"/>
                  </w:txbxContent>
                </v:textbox>
                <w10:anchorlock/>
              </v:shape>
            </w:pict>
          </mc:Fallback>
        </mc:AlternateContent>
      </w:r>
      <w:r w:rsidR="001C5E9F" w:rsidRPr="00456405">
        <w:rPr>
          <w:rFonts w:ascii="Cambria" w:hAnsi="Cambria"/>
          <w:b/>
          <w:bCs/>
          <w:sz w:val="24"/>
          <w:szCs w:val="24"/>
        </w:rPr>
        <w:br/>
      </w:r>
      <w:r w:rsidR="001C5E9F" w:rsidRPr="00456405">
        <w:rPr>
          <w:rFonts w:ascii="Cambria" w:hAnsi="Cambria"/>
          <w:b/>
          <w:bCs/>
          <w:sz w:val="24"/>
          <w:szCs w:val="24"/>
        </w:rPr>
        <w:br/>
      </w:r>
      <w:r w:rsidR="001C5E9F" w:rsidRPr="00456405">
        <w:rPr>
          <w:rFonts w:ascii="Cambria" w:hAnsi="Cambria"/>
          <w:b/>
          <w:bCs/>
          <w:sz w:val="24"/>
          <w:szCs w:val="24"/>
        </w:rPr>
        <w:br/>
      </w:r>
      <w:r w:rsidR="001C5E9F" w:rsidRPr="00456405">
        <w:rPr>
          <w:rFonts w:ascii="Cambria" w:hAnsi="Cambria"/>
          <w:b/>
          <w:bCs/>
          <w:sz w:val="24"/>
          <w:szCs w:val="24"/>
        </w:rPr>
        <w:br/>
      </w:r>
    </w:p>
    <w:p w14:paraId="35FCF19E"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4FFD2718"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30F4A1D3"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3CA80439"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46283E53"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409FE011"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1FFDCA20"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3EB39133"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783387DA"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655502E3" w14:textId="77777777" w:rsidR="001C5E9F" w:rsidRPr="00456405" w:rsidRDefault="001C5E9F" w:rsidP="00730709">
      <w:pPr>
        <w:spacing w:beforeLines="20" w:before="48" w:afterLines="40" w:after="96" w:line="240" w:lineRule="auto"/>
        <w:jc w:val="both"/>
        <w:rPr>
          <w:rFonts w:ascii="Cambria" w:hAnsi="Cambria"/>
          <w:b/>
          <w:bCs/>
          <w:sz w:val="24"/>
          <w:szCs w:val="24"/>
        </w:rPr>
      </w:pPr>
    </w:p>
    <w:p w14:paraId="4376558A" w14:textId="77777777" w:rsidR="001C5E9F" w:rsidRPr="00456405" w:rsidRDefault="001C5E9F" w:rsidP="00730709">
      <w:pPr>
        <w:spacing w:beforeLines="20" w:before="48" w:afterLines="40" w:after="96" w:line="240" w:lineRule="auto"/>
        <w:jc w:val="both"/>
        <w:rPr>
          <w:rFonts w:ascii="Cambria" w:hAnsi="Cambria"/>
          <w:b/>
          <w:bCs/>
          <w:sz w:val="24"/>
          <w:szCs w:val="24"/>
        </w:rPr>
      </w:pPr>
    </w:p>
    <w:sdt>
      <w:sdtPr>
        <w:rPr>
          <w:rFonts w:ascii="Cambria" w:eastAsiaTheme="minorHAnsi" w:hAnsi="Cambria" w:cstheme="minorBidi"/>
          <w:color w:val="auto"/>
          <w:sz w:val="22"/>
          <w:szCs w:val="22"/>
          <w:lang w:val="en-GB"/>
        </w:rPr>
        <w:id w:val="-1208720827"/>
        <w:docPartObj>
          <w:docPartGallery w:val="Bibliographies"/>
          <w:docPartUnique/>
        </w:docPartObj>
      </w:sdtPr>
      <w:sdtEndPr>
        <w:rPr>
          <w:lang w:val="en-IN"/>
        </w:rPr>
      </w:sdtEndPr>
      <w:sdtContent>
        <w:p w14:paraId="41B13770" w14:textId="222DE873" w:rsidR="001C5E9F" w:rsidRPr="00456405" w:rsidRDefault="001C5E9F">
          <w:pPr>
            <w:pStyle w:val="Heading1"/>
            <w:rPr>
              <w:rFonts w:ascii="Cambria" w:hAnsi="Cambria"/>
              <w:color w:val="auto"/>
            </w:rPr>
          </w:pPr>
          <w:r w:rsidRPr="00456405">
            <w:rPr>
              <w:rFonts w:ascii="Cambria" w:hAnsi="Cambria"/>
              <w:color w:val="auto"/>
              <w:lang w:val="en-GB"/>
            </w:rPr>
            <w:t>References</w:t>
          </w:r>
        </w:p>
        <w:sdt>
          <w:sdtPr>
            <w:rPr>
              <w:rFonts w:ascii="Cambria" w:hAnsi="Cambria"/>
            </w:rPr>
            <w:id w:val="-573587230"/>
            <w:bibliography/>
          </w:sdtPr>
          <w:sdtContent>
            <w:p w14:paraId="52E28D1E" w14:textId="77777777" w:rsidR="001C5E9F" w:rsidRPr="00456405" w:rsidRDefault="001C5E9F" w:rsidP="001C5E9F">
              <w:pPr>
                <w:pStyle w:val="Bibliography"/>
                <w:ind w:left="720" w:hanging="720"/>
                <w:rPr>
                  <w:rFonts w:ascii="Cambria" w:hAnsi="Cambria"/>
                  <w:b/>
                  <w:bCs/>
                </w:rPr>
              </w:pPr>
              <w:r w:rsidRPr="00456405">
                <w:rPr>
                  <w:rFonts w:ascii="Cambria" w:hAnsi="Cambria"/>
                  <w:b/>
                  <w:bCs/>
                </w:rPr>
                <w:t>Financial Data &amp; Credit Ratings</w:t>
              </w:r>
            </w:p>
            <w:p w14:paraId="584C93D6" w14:textId="77777777" w:rsidR="001C5E9F" w:rsidRPr="001C5E9F" w:rsidRDefault="001C5E9F" w:rsidP="001C5E9F">
              <w:pPr>
                <w:pStyle w:val="Bibliography"/>
                <w:numPr>
                  <w:ilvl w:val="0"/>
                  <w:numId w:val="9"/>
                </w:numPr>
                <w:rPr>
                  <w:rFonts w:ascii="Cambria" w:hAnsi="Cambria"/>
                </w:rPr>
              </w:pPr>
              <w:r w:rsidRPr="001C5E9F">
                <w:rPr>
                  <w:rFonts w:ascii="Cambria" w:hAnsi="Cambria"/>
                  <w:b/>
                  <w:bCs/>
                </w:rPr>
                <w:t>S&amp;P Capital IQ</w:t>
              </w:r>
              <w:r w:rsidRPr="001C5E9F">
                <w:rPr>
                  <w:rFonts w:ascii="Cambria" w:hAnsi="Cambria"/>
                </w:rPr>
                <w:t xml:space="preserve"> – Financial data, credit risk assessment, and credit health panel scores for Walmart Inc., Costco Wholesale Corporation, Alibaba Group Holding Limited, Carrefour S.A., and Magazine Luiza S.A. Retrieved from </w:t>
              </w:r>
              <w:r w:rsidRPr="001C5E9F">
                <w:rPr>
                  <w:rFonts w:ascii="Cambria" w:hAnsi="Cambria"/>
                  <w:i/>
                  <w:iCs/>
                </w:rPr>
                <w:t>S&amp;P Capital IQ database</w:t>
              </w:r>
              <w:r w:rsidRPr="001C5E9F">
                <w:rPr>
                  <w:rFonts w:ascii="Cambria" w:hAnsi="Cambria"/>
                </w:rPr>
                <w:t>.</w:t>
              </w:r>
            </w:p>
            <w:p w14:paraId="0CD04DB7" w14:textId="77777777" w:rsidR="001C5E9F" w:rsidRPr="001C5E9F" w:rsidRDefault="001C5E9F" w:rsidP="001C5E9F">
              <w:pPr>
                <w:pStyle w:val="Bibliography"/>
                <w:numPr>
                  <w:ilvl w:val="0"/>
                  <w:numId w:val="9"/>
                </w:numPr>
                <w:rPr>
                  <w:rFonts w:ascii="Cambria" w:hAnsi="Cambria"/>
                </w:rPr>
              </w:pPr>
              <w:r w:rsidRPr="001C5E9F">
                <w:rPr>
                  <w:rFonts w:ascii="Cambria" w:hAnsi="Cambria"/>
                  <w:b/>
                  <w:bCs/>
                </w:rPr>
                <w:t>Moody’s Investor Services</w:t>
              </w:r>
              <w:r w:rsidRPr="001C5E9F">
                <w:rPr>
                  <w:rFonts w:ascii="Cambria" w:hAnsi="Cambria"/>
                </w:rPr>
                <w:t xml:space="preserve"> – Corporate credit ratings and credit outlook reports for retail sector companies. Retrieved from </w:t>
              </w:r>
              <w:hyperlink r:id="rId9" w:tgtFrame="_new" w:history="1">
                <w:r w:rsidRPr="001C5E9F">
                  <w:rPr>
                    <w:rStyle w:val="Hyperlink"/>
                    <w:rFonts w:ascii="Cambria" w:hAnsi="Cambria"/>
                    <w:i/>
                    <w:iCs/>
                    <w:color w:val="auto"/>
                  </w:rPr>
                  <w:t>www.moodys.com</w:t>
                </w:r>
              </w:hyperlink>
              <w:r w:rsidRPr="001C5E9F">
                <w:rPr>
                  <w:rFonts w:ascii="Cambria" w:hAnsi="Cambria"/>
                </w:rPr>
                <w:t>.</w:t>
              </w:r>
            </w:p>
            <w:p w14:paraId="2E421835" w14:textId="77777777" w:rsidR="001C5E9F" w:rsidRPr="001C5E9F" w:rsidRDefault="001C5E9F" w:rsidP="001C5E9F">
              <w:pPr>
                <w:pStyle w:val="Bibliography"/>
                <w:numPr>
                  <w:ilvl w:val="0"/>
                  <w:numId w:val="9"/>
                </w:numPr>
                <w:rPr>
                  <w:rFonts w:ascii="Cambria" w:hAnsi="Cambria"/>
                </w:rPr>
              </w:pPr>
              <w:r w:rsidRPr="001C5E9F">
                <w:rPr>
                  <w:rFonts w:ascii="Cambria" w:hAnsi="Cambria"/>
                  <w:b/>
                  <w:bCs/>
                </w:rPr>
                <w:t>Fitch Ratings</w:t>
              </w:r>
              <w:r w:rsidRPr="001C5E9F">
                <w:rPr>
                  <w:rFonts w:ascii="Cambria" w:hAnsi="Cambria"/>
                </w:rPr>
                <w:t xml:space="preserve"> – Credit risk evaluations and rating methodologies applied to global retail firms. Retrieved from </w:t>
              </w:r>
              <w:hyperlink r:id="rId10" w:tgtFrame="_new" w:history="1">
                <w:r w:rsidRPr="001C5E9F">
                  <w:rPr>
                    <w:rStyle w:val="Hyperlink"/>
                    <w:rFonts w:ascii="Cambria" w:hAnsi="Cambria"/>
                    <w:i/>
                    <w:iCs/>
                    <w:color w:val="auto"/>
                  </w:rPr>
                  <w:t>www.fitchratings.com</w:t>
                </w:r>
              </w:hyperlink>
              <w:r w:rsidRPr="001C5E9F">
                <w:rPr>
                  <w:rFonts w:ascii="Cambria" w:hAnsi="Cambria"/>
                </w:rPr>
                <w:t>.</w:t>
              </w:r>
            </w:p>
            <w:p w14:paraId="38A781F8" w14:textId="77777777" w:rsidR="001C5E9F" w:rsidRPr="001C5E9F" w:rsidRDefault="001C5E9F" w:rsidP="001C5E9F">
              <w:pPr>
                <w:pStyle w:val="Bibliography"/>
                <w:numPr>
                  <w:ilvl w:val="0"/>
                  <w:numId w:val="9"/>
                </w:numPr>
                <w:rPr>
                  <w:rFonts w:ascii="Cambria" w:hAnsi="Cambria"/>
                </w:rPr>
              </w:pPr>
              <w:r w:rsidRPr="001C5E9F">
                <w:rPr>
                  <w:rFonts w:ascii="Cambria" w:hAnsi="Cambria"/>
                  <w:b/>
                  <w:bCs/>
                </w:rPr>
                <w:t>World Government Bonds</w:t>
              </w:r>
              <w:r w:rsidRPr="001C5E9F">
                <w:rPr>
                  <w:rFonts w:ascii="Cambria" w:hAnsi="Cambria"/>
                </w:rPr>
                <w:t xml:space="preserve"> – Interest rate and sovereign bond yield data impacting global retail financing conditions. Retrieved from </w:t>
              </w:r>
              <w:hyperlink r:id="rId11" w:tgtFrame="_new" w:history="1">
                <w:r w:rsidRPr="001C5E9F">
                  <w:rPr>
                    <w:rStyle w:val="Hyperlink"/>
                    <w:rFonts w:ascii="Cambria" w:hAnsi="Cambria"/>
                    <w:i/>
                    <w:iCs/>
                    <w:color w:val="auto"/>
                  </w:rPr>
                  <w:t>www.worldgovernmentbonds.com</w:t>
                </w:r>
              </w:hyperlink>
              <w:r w:rsidRPr="001C5E9F">
                <w:rPr>
                  <w:rFonts w:ascii="Cambria" w:hAnsi="Cambria"/>
                </w:rPr>
                <w:t>.</w:t>
              </w:r>
            </w:p>
            <w:p w14:paraId="0D31E355" w14:textId="77777777" w:rsidR="001C5E9F" w:rsidRPr="001C5E9F" w:rsidRDefault="001C5E9F" w:rsidP="001C5E9F">
              <w:pPr>
                <w:pStyle w:val="Bibliography"/>
                <w:ind w:left="720" w:hanging="720"/>
                <w:rPr>
                  <w:rFonts w:ascii="Cambria" w:hAnsi="Cambria"/>
                  <w:b/>
                  <w:bCs/>
                </w:rPr>
              </w:pPr>
              <w:r w:rsidRPr="001C5E9F">
                <w:rPr>
                  <w:rFonts w:ascii="Cambria" w:hAnsi="Cambria"/>
                  <w:b/>
                  <w:bCs/>
                </w:rPr>
                <w:t>Company Reports &amp; Financial Statements</w:t>
              </w:r>
            </w:p>
            <w:p w14:paraId="4DEAFE5B" w14:textId="77777777" w:rsidR="001C5E9F" w:rsidRPr="001C5E9F" w:rsidRDefault="001C5E9F" w:rsidP="001C5E9F">
              <w:pPr>
                <w:pStyle w:val="Bibliography"/>
                <w:numPr>
                  <w:ilvl w:val="0"/>
                  <w:numId w:val="10"/>
                </w:numPr>
                <w:rPr>
                  <w:rFonts w:ascii="Cambria" w:hAnsi="Cambria"/>
                </w:rPr>
              </w:pPr>
              <w:r w:rsidRPr="001C5E9F">
                <w:rPr>
                  <w:rFonts w:ascii="Cambria" w:hAnsi="Cambria"/>
                  <w:b/>
                  <w:bCs/>
                </w:rPr>
                <w:t>Walmart Inc.</w:t>
              </w:r>
              <w:r w:rsidRPr="001C5E9F">
                <w:rPr>
                  <w:rFonts w:ascii="Cambria" w:hAnsi="Cambria"/>
                </w:rPr>
                <w:t xml:space="preserve"> (2024). </w:t>
              </w:r>
              <w:r w:rsidRPr="001C5E9F">
                <w:rPr>
                  <w:rFonts w:ascii="Cambria" w:hAnsi="Cambria"/>
                  <w:i/>
                  <w:iCs/>
                </w:rPr>
                <w:t>Annual Report &amp; 10-K Filing</w:t>
              </w:r>
              <w:r w:rsidRPr="001C5E9F">
                <w:rPr>
                  <w:rFonts w:ascii="Cambria" w:hAnsi="Cambria"/>
                </w:rPr>
                <w:t xml:space="preserve">. Bentonville, AR: Walmart Investor Relations. Retrieved from </w:t>
              </w:r>
              <w:r w:rsidRPr="001C5E9F">
                <w:rPr>
                  <w:rFonts w:ascii="Cambria" w:hAnsi="Cambria"/>
                  <w:i/>
                  <w:iCs/>
                </w:rPr>
                <w:t>https://corporate.walmart.com/investors</w:t>
              </w:r>
              <w:r w:rsidRPr="001C5E9F">
                <w:rPr>
                  <w:rFonts w:ascii="Cambria" w:hAnsi="Cambria"/>
                </w:rPr>
                <w:t>.</w:t>
              </w:r>
            </w:p>
            <w:p w14:paraId="4B2CD807" w14:textId="77777777" w:rsidR="001C5E9F" w:rsidRPr="001C5E9F" w:rsidRDefault="001C5E9F" w:rsidP="001C5E9F">
              <w:pPr>
                <w:pStyle w:val="Bibliography"/>
                <w:numPr>
                  <w:ilvl w:val="0"/>
                  <w:numId w:val="10"/>
                </w:numPr>
                <w:rPr>
                  <w:rFonts w:ascii="Cambria" w:hAnsi="Cambria"/>
                </w:rPr>
              </w:pPr>
              <w:r w:rsidRPr="001C5E9F">
                <w:rPr>
                  <w:rFonts w:ascii="Cambria" w:hAnsi="Cambria"/>
                  <w:b/>
                  <w:bCs/>
                </w:rPr>
                <w:t>Costco Wholesale Corporation</w:t>
              </w:r>
              <w:r w:rsidRPr="001C5E9F">
                <w:rPr>
                  <w:rFonts w:ascii="Cambria" w:hAnsi="Cambria"/>
                </w:rPr>
                <w:t xml:space="preserve"> (2024). </w:t>
              </w:r>
              <w:r w:rsidRPr="001C5E9F">
                <w:rPr>
                  <w:rFonts w:ascii="Cambria" w:hAnsi="Cambria"/>
                  <w:i/>
                  <w:iCs/>
                </w:rPr>
                <w:t>Annual Report &amp; 10-K Filing</w:t>
              </w:r>
              <w:r w:rsidRPr="001C5E9F">
                <w:rPr>
                  <w:rFonts w:ascii="Cambria" w:hAnsi="Cambria"/>
                </w:rPr>
                <w:t xml:space="preserve">. Issaquah, WA: Costco Investor Relations. Retrieved from </w:t>
              </w:r>
              <w:r w:rsidRPr="001C5E9F">
                <w:rPr>
                  <w:rFonts w:ascii="Cambria" w:hAnsi="Cambria"/>
                  <w:i/>
                  <w:iCs/>
                </w:rPr>
                <w:t>https://investor.costco.com</w:t>
              </w:r>
              <w:r w:rsidRPr="001C5E9F">
                <w:rPr>
                  <w:rFonts w:ascii="Cambria" w:hAnsi="Cambria"/>
                </w:rPr>
                <w:t>.</w:t>
              </w:r>
            </w:p>
            <w:p w14:paraId="12685EC2" w14:textId="77777777" w:rsidR="001C5E9F" w:rsidRPr="001C5E9F" w:rsidRDefault="001C5E9F" w:rsidP="001C5E9F">
              <w:pPr>
                <w:pStyle w:val="Bibliography"/>
                <w:numPr>
                  <w:ilvl w:val="0"/>
                  <w:numId w:val="10"/>
                </w:numPr>
                <w:rPr>
                  <w:rFonts w:ascii="Cambria" w:hAnsi="Cambria"/>
                </w:rPr>
              </w:pPr>
              <w:r w:rsidRPr="001C5E9F">
                <w:rPr>
                  <w:rFonts w:ascii="Cambria" w:hAnsi="Cambria"/>
                  <w:b/>
                  <w:bCs/>
                </w:rPr>
                <w:t>Alibaba Group Holding Limited</w:t>
              </w:r>
              <w:r w:rsidRPr="001C5E9F">
                <w:rPr>
                  <w:rFonts w:ascii="Cambria" w:hAnsi="Cambria"/>
                </w:rPr>
                <w:t xml:space="preserve"> (2024). </w:t>
              </w:r>
              <w:r w:rsidRPr="001C5E9F">
                <w:rPr>
                  <w:rFonts w:ascii="Cambria" w:hAnsi="Cambria"/>
                  <w:i/>
                  <w:iCs/>
                </w:rPr>
                <w:t>Annual Report (20-F Filing)</w:t>
              </w:r>
              <w:r w:rsidRPr="001C5E9F">
                <w:rPr>
                  <w:rFonts w:ascii="Cambria" w:hAnsi="Cambria"/>
                </w:rPr>
                <w:t xml:space="preserve">. Hangzhou, China: Alibaba Investor Relations. Retrieved from </w:t>
              </w:r>
              <w:r w:rsidRPr="001C5E9F">
                <w:rPr>
                  <w:rFonts w:ascii="Cambria" w:hAnsi="Cambria"/>
                  <w:i/>
                  <w:iCs/>
                </w:rPr>
                <w:t>https://www.alibabagroup.com/en/ir/reports</w:t>
              </w:r>
              <w:r w:rsidRPr="001C5E9F">
                <w:rPr>
                  <w:rFonts w:ascii="Cambria" w:hAnsi="Cambria"/>
                </w:rPr>
                <w:t>.</w:t>
              </w:r>
            </w:p>
            <w:p w14:paraId="490806A0" w14:textId="77777777" w:rsidR="001C5E9F" w:rsidRPr="001C5E9F" w:rsidRDefault="001C5E9F" w:rsidP="001C5E9F">
              <w:pPr>
                <w:pStyle w:val="Bibliography"/>
                <w:numPr>
                  <w:ilvl w:val="0"/>
                  <w:numId w:val="10"/>
                </w:numPr>
                <w:rPr>
                  <w:rFonts w:ascii="Cambria" w:hAnsi="Cambria"/>
                </w:rPr>
              </w:pPr>
              <w:r w:rsidRPr="001C5E9F">
                <w:rPr>
                  <w:rFonts w:ascii="Cambria" w:hAnsi="Cambria"/>
                  <w:b/>
                  <w:bCs/>
                </w:rPr>
                <w:t>Carrefour S.A.</w:t>
              </w:r>
              <w:r w:rsidRPr="001C5E9F">
                <w:rPr>
                  <w:rFonts w:ascii="Cambria" w:hAnsi="Cambria"/>
                </w:rPr>
                <w:t xml:space="preserve"> (2024). </w:t>
              </w:r>
              <w:r w:rsidRPr="001C5E9F">
                <w:rPr>
                  <w:rFonts w:ascii="Cambria" w:hAnsi="Cambria"/>
                  <w:i/>
                  <w:iCs/>
                </w:rPr>
                <w:t>Annual Report &amp; Financial Statements</w:t>
              </w:r>
              <w:r w:rsidRPr="001C5E9F">
                <w:rPr>
                  <w:rFonts w:ascii="Cambria" w:hAnsi="Cambria"/>
                </w:rPr>
                <w:t xml:space="preserve">. Paris, France: Carrefour Group. Retrieved from </w:t>
              </w:r>
              <w:r w:rsidRPr="001C5E9F">
                <w:rPr>
                  <w:rFonts w:ascii="Cambria" w:hAnsi="Cambria"/>
                  <w:i/>
                  <w:iCs/>
                </w:rPr>
                <w:t>https://www.carrefour.com/en/investors</w:t>
              </w:r>
              <w:r w:rsidRPr="001C5E9F">
                <w:rPr>
                  <w:rFonts w:ascii="Cambria" w:hAnsi="Cambria"/>
                </w:rPr>
                <w:t>.</w:t>
              </w:r>
            </w:p>
            <w:p w14:paraId="53F31346" w14:textId="77777777" w:rsidR="001C5E9F" w:rsidRPr="001C5E9F" w:rsidRDefault="001C5E9F" w:rsidP="001C5E9F">
              <w:pPr>
                <w:pStyle w:val="Bibliography"/>
                <w:numPr>
                  <w:ilvl w:val="0"/>
                  <w:numId w:val="10"/>
                </w:numPr>
                <w:rPr>
                  <w:rFonts w:ascii="Cambria" w:hAnsi="Cambria"/>
                </w:rPr>
              </w:pPr>
              <w:r w:rsidRPr="001C5E9F">
                <w:rPr>
                  <w:rFonts w:ascii="Cambria" w:hAnsi="Cambria"/>
                  <w:b/>
                  <w:bCs/>
                </w:rPr>
                <w:t>Magazine Luiza S.A.</w:t>
              </w:r>
              <w:r w:rsidRPr="001C5E9F">
                <w:rPr>
                  <w:rFonts w:ascii="Cambria" w:hAnsi="Cambria"/>
                </w:rPr>
                <w:t xml:space="preserve"> (2024). </w:t>
              </w:r>
              <w:r w:rsidRPr="001C5E9F">
                <w:rPr>
                  <w:rFonts w:ascii="Cambria" w:hAnsi="Cambria"/>
                  <w:i/>
                  <w:iCs/>
                </w:rPr>
                <w:t>Annual Report &amp; Financial Filings</w:t>
              </w:r>
              <w:r w:rsidRPr="001C5E9F">
                <w:rPr>
                  <w:rFonts w:ascii="Cambria" w:hAnsi="Cambria"/>
                </w:rPr>
                <w:t xml:space="preserve">. São Paulo, Brazil: Magazine Luiza Investor Relations. Retrieved from </w:t>
              </w:r>
              <w:r w:rsidRPr="001C5E9F">
                <w:rPr>
                  <w:rFonts w:ascii="Cambria" w:hAnsi="Cambria"/>
                  <w:i/>
                  <w:iCs/>
                </w:rPr>
                <w:t>https://ri.magazineluiza.com.br</w:t>
              </w:r>
              <w:r w:rsidRPr="001C5E9F">
                <w:rPr>
                  <w:rFonts w:ascii="Cambria" w:hAnsi="Cambria"/>
                </w:rPr>
                <w:t>.</w:t>
              </w:r>
            </w:p>
            <w:p w14:paraId="2F373488" w14:textId="77777777" w:rsidR="001C5E9F" w:rsidRPr="001C5E9F" w:rsidRDefault="001C5E9F" w:rsidP="001C5E9F">
              <w:pPr>
                <w:pStyle w:val="Bibliography"/>
                <w:ind w:left="720" w:hanging="720"/>
                <w:rPr>
                  <w:rFonts w:ascii="Cambria" w:hAnsi="Cambria"/>
                  <w:b/>
                  <w:bCs/>
                </w:rPr>
              </w:pPr>
              <w:r w:rsidRPr="001C5E9F">
                <w:rPr>
                  <w:rFonts w:ascii="Cambria" w:hAnsi="Cambria"/>
                  <w:b/>
                  <w:bCs/>
                </w:rPr>
                <w:t>Macroeconomic &amp; Industry Analysis</w:t>
              </w:r>
            </w:p>
            <w:p w14:paraId="73E6FF8C" w14:textId="77777777" w:rsidR="001C5E9F" w:rsidRPr="001C5E9F" w:rsidRDefault="001C5E9F" w:rsidP="001C5E9F">
              <w:pPr>
                <w:pStyle w:val="Bibliography"/>
                <w:numPr>
                  <w:ilvl w:val="0"/>
                  <w:numId w:val="11"/>
                </w:numPr>
                <w:rPr>
                  <w:rFonts w:ascii="Cambria" w:hAnsi="Cambria"/>
                </w:rPr>
              </w:pPr>
              <w:r w:rsidRPr="001C5E9F">
                <w:rPr>
                  <w:rFonts w:ascii="Cambria" w:hAnsi="Cambria"/>
                  <w:b/>
                  <w:bCs/>
                </w:rPr>
                <w:t>OECD Economic Outlook</w:t>
              </w:r>
              <w:r w:rsidRPr="001C5E9F">
                <w:rPr>
                  <w:rFonts w:ascii="Cambria" w:hAnsi="Cambria"/>
                </w:rPr>
                <w:t xml:space="preserve"> (2024). </w:t>
              </w:r>
              <w:r w:rsidRPr="001C5E9F">
                <w:rPr>
                  <w:rFonts w:ascii="Cambria" w:hAnsi="Cambria"/>
                  <w:i/>
                  <w:iCs/>
                </w:rPr>
                <w:t>Retail Market Trends &amp; Consumer Spending Forecasts</w:t>
              </w:r>
              <w:r w:rsidRPr="001C5E9F">
                <w:rPr>
                  <w:rFonts w:ascii="Cambria" w:hAnsi="Cambria"/>
                </w:rPr>
                <w:t xml:space="preserve">. Organization for Economic Co-operation and Development (OECD). Retrieved from </w:t>
              </w:r>
              <w:r w:rsidRPr="001C5E9F">
                <w:rPr>
                  <w:rFonts w:ascii="Cambria" w:hAnsi="Cambria"/>
                  <w:i/>
                  <w:iCs/>
                </w:rPr>
                <w:t>www.oecd.org/economic-outlook</w:t>
              </w:r>
              <w:r w:rsidRPr="001C5E9F">
                <w:rPr>
                  <w:rFonts w:ascii="Cambria" w:hAnsi="Cambria"/>
                </w:rPr>
                <w:t>.</w:t>
              </w:r>
            </w:p>
            <w:p w14:paraId="7FE69C43" w14:textId="77777777" w:rsidR="001C5E9F" w:rsidRPr="001C5E9F" w:rsidRDefault="001C5E9F" w:rsidP="001C5E9F">
              <w:pPr>
                <w:pStyle w:val="Bibliography"/>
                <w:numPr>
                  <w:ilvl w:val="0"/>
                  <w:numId w:val="11"/>
                </w:numPr>
                <w:rPr>
                  <w:rFonts w:ascii="Cambria" w:hAnsi="Cambria"/>
                </w:rPr>
              </w:pPr>
              <w:r w:rsidRPr="001C5E9F">
                <w:rPr>
                  <w:rFonts w:ascii="Cambria" w:hAnsi="Cambria"/>
                  <w:b/>
                  <w:bCs/>
                </w:rPr>
                <w:t>World Bank</w:t>
              </w:r>
              <w:r w:rsidRPr="001C5E9F">
                <w:rPr>
                  <w:rFonts w:ascii="Cambria" w:hAnsi="Cambria"/>
                </w:rPr>
                <w:t xml:space="preserve"> (2024). </w:t>
              </w:r>
              <w:r w:rsidRPr="001C5E9F">
                <w:rPr>
                  <w:rFonts w:ascii="Cambria" w:hAnsi="Cambria"/>
                  <w:i/>
                  <w:iCs/>
                </w:rPr>
                <w:t>Global Economic Prospects &amp; Interest Rate Projections</w:t>
              </w:r>
              <w:r w:rsidRPr="001C5E9F">
                <w:rPr>
                  <w:rFonts w:ascii="Cambria" w:hAnsi="Cambria"/>
                </w:rPr>
                <w:t xml:space="preserve">. Washington, DC: World Bank Group. Retrieved from </w:t>
              </w:r>
              <w:hyperlink r:id="rId12" w:tgtFrame="_new" w:history="1">
                <w:r w:rsidRPr="001C5E9F">
                  <w:rPr>
                    <w:rStyle w:val="Hyperlink"/>
                    <w:rFonts w:ascii="Cambria" w:hAnsi="Cambria"/>
                    <w:i/>
                    <w:iCs/>
                    <w:color w:val="auto"/>
                  </w:rPr>
                  <w:t>www.worldbank.org</w:t>
                </w:r>
              </w:hyperlink>
              <w:r w:rsidRPr="001C5E9F">
                <w:rPr>
                  <w:rFonts w:ascii="Cambria" w:hAnsi="Cambria"/>
                </w:rPr>
                <w:t>.</w:t>
              </w:r>
            </w:p>
            <w:p w14:paraId="4D05A0AA" w14:textId="77777777" w:rsidR="001C5E9F" w:rsidRPr="001C5E9F" w:rsidRDefault="001C5E9F" w:rsidP="001C5E9F">
              <w:pPr>
                <w:pStyle w:val="Bibliography"/>
                <w:numPr>
                  <w:ilvl w:val="0"/>
                  <w:numId w:val="11"/>
                </w:numPr>
                <w:rPr>
                  <w:rFonts w:ascii="Cambria" w:hAnsi="Cambria"/>
                </w:rPr>
              </w:pPr>
              <w:r w:rsidRPr="001C5E9F">
                <w:rPr>
                  <w:rFonts w:ascii="Cambria" w:hAnsi="Cambria"/>
                  <w:b/>
                  <w:bCs/>
                </w:rPr>
                <w:t>International Monetary Fund (IMF)</w:t>
              </w:r>
              <w:r w:rsidRPr="001C5E9F">
                <w:rPr>
                  <w:rFonts w:ascii="Cambria" w:hAnsi="Cambria"/>
                </w:rPr>
                <w:t xml:space="preserve"> (2024). </w:t>
              </w:r>
              <w:r w:rsidRPr="001C5E9F">
                <w:rPr>
                  <w:rFonts w:ascii="Cambria" w:hAnsi="Cambria"/>
                  <w:i/>
                  <w:iCs/>
                </w:rPr>
                <w:t>Retail Sector Resilience Amid Economic Uncertainty</w:t>
              </w:r>
              <w:r w:rsidRPr="001C5E9F">
                <w:rPr>
                  <w:rFonts w:ascii="Cambria" w:hAnsi="Cambria"/>
                </w:rPr>
                <w:t xml:space="preserve">. Washington, DC: IMF Publications. Retrieved from </w:t>
              </w:r>
              <w:hyperlink r:id="rId13" w:tgtFrame="_new" w:history="1">
                <w:r w:rsidRPr="001C5E9F">
                  <w:rPr>
                    <w:rStyle w:val="Hyperlink"/>
                    <w:rFonts w:ascii="Cambria" w:hAnsi="Cambria"/>
                    <w:i/>
                    <w:iCs/>
                    <w:color w:val="auto"/>
                  </w:rPr>
                  <w:t>www.imf.org</w:t>
                </w:r>
              </w:hyperlink>
              <w:r w:rsidRPr="001C5E9F">
                <w:rPr>
                  <w:rFonts w:ascii="Cambria" w:hAnsi="Cambria"/>
                </w:rPr>
                <w:t>.</w:t>
              </w:r>
            </w:p>
            <w:p w14:paraId="6BF16A01" w14:textId="77777777" w:rsidR="001C5E9F" w:rsidRPr="001C5E9F" w:rsidRDefault="001C5E9F" w:rsidP="001C5E9F">
              <w:pPr>
                <w:pStyle w:val="Bibliography"/>
                <w:numPr>
                  <w:ilvl w:val="0"/>
                  <w:numId w:val="11"/>
                </w:numPr>
                <w:rPr>
                  <w:rFonts w:ascii="Cambria" w:hAnsi="Cambria"/>
                </w:rPr>
              </w:pPr>
              <w:r w:rsidRPr="001C5E9F">
                <w:rPr>
                  <w:rFonts w:ascii="Cambria" w:hAnsi="Cambria"/>
                  <w:b/>
                  <w:bCs/>
                </w:rPr>
                <w:t>U.S. Bureau of Economic Analysis (BEA)</w:t>
              </w:r>
              <w:r w:rsidRPr="001C5E9F">
                <w:rPr>
                  <w:rFonts w:ascii="Cambria" w:hAnsi="Cambria"/>
                </w:rPr>
                <w:t xml:space="preserve"> (2024). </w:t>
              </w:r>
              <w:r w:rsidRPr="001C5E9F">
                <w:rPr>
                  <w:rFonts w:ascii="Cambria" w:hAnsi="Cambria"/>
                  <w:i/>
                  <w:iCs/>
                </w:rPr>
                <w:t>Retail Industry Growth &amp; Consumer Expenditure Analysis</w:t>
              </w:r>
              <w:r w:rsidRPr="001C5E9F">
                <w:rPr>
                  <w:rFonts w:ascii="Cambria" w:hAnsi="Cambria"/>
                </w:rPr>
                <w:t xml:space="preserve">. Retrieved from </w:t>
              </w:r>
              <w:hyperlink r:id="rId14" w:tgtFrame="_new" w:history="1">
                <w:r w:rsidRPr="001C5E9F">
                  <w:rPr>
                    <w:rStyle w:val="Hyperlink"/>
                    <w:rFonts w:ascii="Cambria" w:hAnsi="Cambria"/>
                    <w:i/>
                    <w:iCs/>
                    <w:color w:val="auto"/>
                  </w:rPr>
                  <w:t>www.bea.gov</w:t>
                </w:r>
              </w:hyperlink>
              <w:r w:rsidRPr="001C5E9F">
                <w:rPr>
                  <w:rFonts w:ascii="Cambria" w:hAnsi="Cambria"/>
                </w:rPr>
                <w:t>.</w:t>
              </w:r>
            </w:p>
            <w:p w14:paraId="277C96CF" w14:textId="77777777" w:rsidR="001C5E9F" w:rsidRPr="001C5E9F" w:rsidRDefault="001C5E9F" w:rsidP="001C5E9F">
              <w:pPr>
                <w:pStyle w:val="Bibliography"/>
                <w:numPr>
                  <w:ilvl w:val="0"/>
                  <w:numId w:val="11"/>
                </w:numPr>
                <w:rPr>
                  <w:rFonts w:ascii="Cambria" w:hAnsi="Cambria"/>
                </w:rPr>
              </w:pPr>
              <w:r w:rsidRPr="001C5E9F">
                <w:rPr>
                  <w:rFonts w:ascii="Cambria" w:hAnsi="Cambria"/>
                  <w:b/>
                  <w:bCs/>
                </w:rPr>
                <w:t>China Ministry of Commerce (MOFCOM)</w:t>
              </w:r>
              <w:r w:rsidRPr="001C5E9F">
                <w:rPr>
                  <w:rFonts w:ascii="Cambria" w:hAnsi="Cambria"/>
                </w:rPr>
                <w:t xml:space="preserve"> (2024). </w:t>
              </w:r>
              <w:r w:rsidRPr="001C5E9F">
                <w:rPr>
                  <w:rFonts w:ascii="Cambria" w:hAnsi="Cambria"/>
                  <w:i/>
                  <w:iCs/>
                </w:rPr>
                <w:t>Regulatory Challenges in the E-Commerce Industry: Alibaba Case Study</w:t>
              </w:r>
              <w:r w:rsidRPr="001C5E9F">
                <w:rPr>
                  <w:rFonts w:ascii="Cambria" w:hAnsi="Cambria"/>
                </w:rPr>
                <w:t xml:space="preserve">. Beijing, China. Retrieved from </w:t>
              </w:r>
              <w:hyperlink r:id="rId15" w:tgtFrame="_new" w:history="1">
                <w:r w:rsidRPr="001C5E9F">
                  <w:rPr>
                    <w:rStyle w:val="Hyperlink"/>
                    <w:rFonts w:ascii="Cambria" w:hAnsi="Cambria"/>
                    <w:i/>
                    <w:iCs/>
                    <w:color w:val="auto"/>
                  </w:rPr>
                  <w:t>www.mofcom.gov.cn</w:t>
                </w:r>
              </w:hyperlink>
              <w:r w:rsidRPr="001C5E9F">
                <w:rPr>
                  <w:rFonts w:ascii="Cambria" w:hAnsi="Cambria"/>
                </w:rPr>
                <w:t>.</w:t>
              </w:r>
            </w:p>
            <w:p w14:paraId="71B25325" w14:textId="77777777" w:rsidR="001C5E9F" w:rsidRPr="001C5E9F" w:rsidRDefault="001C5E9F" w:rsidP="001C5E9F">
              <w:pPr>
                <w:pStyle w:val="Bibliography"/>
                <w:ind w:left="720" w:hanging="720"/>
                <w:rPr>
                  <w:rFonts w:ascii="Cambria" w:hAnsi="Cambria"/>
                  <w:b/>
                  <w:bCs/>
                </w:rPr>
              </w:pPr>
              <w:r w:rsidRPr="001C5E9F">
                <w:rPr>
                  <w:rFonts w:ascii="Cambria" w:hAnsi="Cambria"/>
                  <w:b/>
                  <w:bCs/>
                </w:rPr>
                <w:t>Valuation &amp; Risk Assessment Methodologies</w:t>
              </w:r>
            </w:p>
            <w:p w14:paraId="612CAB60" w14:textId="77777777" w:rsidR="001C5E9F" w:rsidRPr="001C5E9F" w:rsidRDefault="001C5E9F" w:rsidP="001C5E9F">
              <w:pPr>
                <w:pStyle w:val="Bibliography"/>
                <w:numPr>
                  <w:ilvl w:val="0"/>
                  <w:numId w:val="12"/>
                </w:numPr>
                <w:rPr>
                  <w:rFonts w:ascii="Cambria" w:hAnsi="Cambria"/>
                </w:rPr>
              </w:pPr>
              <w:r w:rsidRPr="001C5E9F">
                <w:rPr>
                  <w:rFonts w:ascii="Cambria" w:hAnsi="Cambria"/>
                  <w:b/>
                  <w:bCs/>
                </w:rPr>
                <w:t>Altman, E. I.</w:t>
              </w:r>
              <w:r w:rsidRPr="001C5E9F">
                <w:rPr>
                  <w:rFonts w:ascii="Cambria" w:hAnsi="Cambria"/>
                </w:rPr>
                <w:t xml:space="preserve"> (1968). </w:t>
              </w:r>
              <w:r w:rsidRPr="001C5E9F">
                <w:rPr>
                  <w:rFonts w:ascii="Cambria" w:hAnsi="Cambria"/>
                  <w:i/>
                  <w:iCs/>
                </w:rPr>
                <w:t>Financial Ratios, Discriminant Analysis, and the Prediction of Corporate Bankruptcy</w:t>
              </w:r>
              <w:r w:rsidRPr="001C5E9F">
                <w:rPr>
                  <w:rFonts w:ascii="Cambria" w:hAnsi="Cambria"/>
                </w:rPr>
                <w:t>. Journal of Finance, 23(4), 589–609.</w:t>
              </w:r>
            </w:p>
            <w:p w14:paraId="09B76250" w14:textId="77777777" w:rsidR="001C5E9F" w:rsidRPr="001C5E9F" w:rsidRDefault="001C5E9F" w:rsidP="001C5E9F">
              <w:pPr>
                <w:pStyle w:val="Bibliography"/>
                <w:numPr>
                  <w:ilvl w:val="0"/>
                  <w:numId w:val="12"/>
                </w:numPr>
                <w:rPr>
                  <w:rFonts w:ascii="Cambria" w:hAnsi="Cambria"/>
                </w:rPr>
              </w:pPr>
              <w:r w:rsidRPr="001C5E9F">
                <w:rPr>
                  <w:rFonts w:ascii="Cambria" w:hAnsi="Cambria"/>
                  <w:b/>
                  <w:bCs/>
                </w:rPr>
                <w:lastRenderedPageBreak/>
                <w:t>Merton, R. C.</w:t>
              </w:r>
              <w:r w:rsidRPr="001C5E9F">
                <w:rPr>
                  <w:rFonts w:ascii="Cambria" w:hAnsi="Cambria"/>
                </w:rPr>
                <w:t xml:space="preserve"> (1974). </w:t>
              </w:r>
              <w:r w:rsidRPr="001C5E9F">
                <w:rPr>
                  <w:rFonts w:ascii="Cambria" w:hAnsi="Cambria"/>
                  <w:i/>
                  <w:iCs/>
                </w:rPr>
                <w:t>On the Pricing of Corporate Debt: The Risk Structure of Interest Rates</w:t>
              </w:r>
              <w:r w:rsidRPr="001C5E9F">
                <w:rPr>
                  <w:rFonts w:ascii="Cambria" w:hAnsi="Cambria"/>
                </w:rPr>
                <w:t>. Journal of Finance, 29(2), 449–470.</w:t>
              </w:r>
            </w:p>
            <w:p w14:paraId="5B4341C5" w14:textId="77777777" w:rsidR="001C5E9F" w:rsidRPr="001C5E9F" w:rsidRDefault="001C5E9F" w:rsidP="001C5E9F">
              <w:pPr>
                <w:pStyle w:val="Bibliography"/>
                <w:numPr>
                  <w:ilvl w:val="0"/>
                  <w:numId w:val="12"/>
                </w:numPr>
                <w:rPr>
                  <w:rFonts w:ascii="Cambria" w:hAnsi="Cambria"/>
                </w:rPr>
              </w:pPr>
              <w:r w:rsidRPr="001C5E9F">
                <w:rPr>
                  <w:rFonts w:ascii="Cambria" w:hAnsi="Cambria"/>
                  <w:b/>
                  <w:bCs/>
                </w:rPr>
                <w:t>Damodaran, A.</w:t>
              </w:r>
              <w:r w:rsidRPr="001C5E9F">
                <w:rPr>
                  <w:rFonts w:ascii="Cambria" w:hAnsi="Cambria"/>
                </w:rPr>
                <w:t xml:space="preserve"> (2024). </w:t>
              </w:r>
              <w:r w:rsidRPr="001C5E9F">
                <w:rPr>
                  <w:rFonts w:ascii="Cambria" w:hAnsi="Cambria"/>
                  <w:i/>
                  <w:iCs/>
                </w:rPr>
                <w:t>Cost of Capital &amp; Corporate Valuation in the Retail Sector</w:t>
              </w:r>
              <w:r w:rsidRPr="001C5E9F">
                <w:rPr>
                  <w:rFonts w:ascii="Cambria" w:hAnsi="Cambria"/>
                </w:rPr>
                <w:t xml:space="preserve">. NYU Stern School of Business. Retrieved from </w:t>
              </w:r>
              <w:r w:rsidRPr="001C5E9F">
                <w:rPr>
                  <w:rFonts w:ascii="Cambria" w:hAnsi="Cambria"/>
                  <w:i/>
                  <w:iCs/>
                </w:rPr>
                <w:t>www.stern.nyu.edu/~adamodar</w:t>
              </w:r>
              <w:r w:rsidRPr="001C5E9F">
                <w:rPr>
                  <w:rFonts w:ascii="Cambria" w:hAnsi="Cambria"/>
                </w:rPr>
                <w:t>.</w:t>
              </w:r>
            </w:p>
            <w:p w14:paraId="3E3F10F0" w14:textId="77777777" w:rsidR="001C5E9F" w:rsidRPr="001C5E9F" w:rsidRDefault="001C5E9F" w:rsidP="001C5E9F">
              <w:pPr>
                <w:pStyle w:val="Bibliography"/>
                <w:numPr>
                  <w:ilvl w:val="0"/>
                  <w:numId w:val="12"/>
                </w:numPr>
                <w:rPr>
                  <w:rFonts w:ascii="Cambria" w:hAnsi="Cambria"/>
                </w:rPr>
              </w:pPr>
              <w:r w:rsidRPr="001C5E9F">
                <w:rPr>
                  <w:rFonts w:ascii="Cambria" w:hAnsi="Cambria"/>
                  <w:b/>
                  <w:bCs/>
                </w:rPr>
                <w:t>Bloomberg Terminal</w:t>
              </w:r>
              <w:r w:rsidRPr="001C5E9F">
                <w:rPr>
                  <w:rFonts w:ascii="Cambria" w:hAnsi="Cambria"/>
                </w:rPr>
                <w:t xml:space="preserve"> (2024). </w:t>
              </w:r>
              <w:r w:rsidRPr="001C5E9F">
                <w:rPr>
                  <w:rFonts w:ascii="Cambria" w:hAnsi="Cambria"/>
                  <w:i/>
                  <w:iCs/>
                </w:rPr>
                <w:t>Retail Industry Credit Risk Analysis</w:t>
              </w:r>
              <w:r w:rsidRPr="001C5E9F">
                <w:rPr>
                  <w:rFonts w:ascii="Cambria" w:hAnsi="Cambria"/>
                </w:rPr>
                <w:t xml:space="preserve">. Bloomberg LP. Retrieved from </w:t>
              </w:r>
              <w:r w:rsidRPr="001C5E9F">
                <w:rPr>
                  <w:rFonts w:ascii="Cambria" w:hAnsi="Cambria"/>
                  <w:i/>
                  <w:iCs/>
                </w:rPr>
                <w:t>www.bloomberg.com/professional</w:t>
              </w:r>
              <w:r w:rsidRPr="001C5E9F">
                <w:rPr>
                  <w:rFonts w:ascii="Cambria" w:hAnsi="Cambria"/>
                </w:rPr>
                <w:t>.</w:t>
              </w:r>
            </w:p>
            <w:p w14:paraId="14799005" w14:textId="77777777" w:rsidR="001C5E9F" w:rsidRPr="001C5E9F" w:rsidRDefault="001C5E9F" w:rsidP="001C5E9F">
              <w:pPr>
                <w:pStyle w:val="Bibliography"/>
                <w:ind w:left="720" w:hanging="720"/>
                <w:rPr>
                  <w:rFonts w:ascii="Cambria" w:hAnsi="Cambria"/>
                  <w:b/>
                  <w:bCs/>
                </w:rPr>
              </w:pPr>
              <w:r w:rsidRPr="001C5E9F">
                <w:rPr>
                  <w:rFonts w:ascii="Cambria" w:hAnsi="Cambria"/>
                  <w:b/>
                  <w:bCs/>
                </w:rPr>
                <w:t>Bond Market &amp; Capital Structure Analysis</w:t>
              </w:r>
            </w:p>
            <w:p w14:paraId="1696D893" w14:textId="77777777" w:rsidR="001C5E9F" w:rsidRPr="001C5E9F" w:rsidRDefault="001C5E9F" w:rsidP="001C5E9F">
              <w:pPr>
                <w:pStyle w:val="Bibliography"/>
                <w:numPr>
                  <w:ilvl w:val="0"/>
                  <w:numId w:val="13"/>
                </w:numPr>
                <w:rPr>
                  <w:rFonts w:ascii="Cambria" w:hAnsi="Cambria"/>
                </w:rPr>
              </w:pPr>
              <w:r w:rsidRPr="001C5E9F">
                <w:rPr>
                  <w:rFonts w:ascii="Cambria" w:hAnsi="Cambria"/>
                  <w:b/>
                  <w:bCs/>
                </w:rPr>
                <w:t>Federal Reserve Board</w:t>
              </w:r>
              <w:r w:rsidRPr="001C5E9F">
                <w:rPr>
                  <w:rFonts w:ascii="Cambria" w:hAnsi="Cambria"/>
                </w:rPr>
                <w:t xml:space="preserve"> (2024). </w:t>
              </w:r>
              <w:r w:rsidRPr="001C5E9F">
                <w:rPr>
                  <w:rFonts w:ascii="Cambria" w:hAnsi="Cambria"/>
                  <w:i/>
                  <w:iCs/>
                </w:rPr>
                <w:t>U.S. Interest Rate Trends &amp; Retail Corporate Bond Spreads</w:t>
              </w:r>
              <w:r w:rsidRPr="001C5E9F">
                <w:rPr>
                  <w:rFonts w:ascii="Cambria" w:hAnsi="Cambria"/>
                </w:rPr>
                <w:t xml:space="preserve">. Retrieved from </w:t>
              </w:r>
              <w:hyperlink r:id="rId16" w:tgtFrame="_new" w:history="1">
                <w:r w:rsidRPr="001C5E9F">
                  <w:rPr>
                    <w:rStyle w:val="Hyperlink"/>
                    <w:rFonts w:ascii="Cambria" w:hAnsi="Cambria"/>
                    <w:i/>
                    <w:iCs/>
                    <w:color w:val="auto"/>
                  </w:rPr>
                  <w:t>www.federalreserve.gov</w:t>
                </w:r>
              </w:hyperlink>
              <w:r w:rsidRPr="001C5E9F">
                <w:rPr>
                  <w:rFonts w:ascii="Cambria" w:hAnsi="Cambria"/>
                </w:rPr>
                <w:t>.</w:t>
              </w:r>
            </w:p>
            <w:p w14:paraId="33FF4131" w14:textId="77777777" w:rsidR="001C5E9F" w:rsidRPr="001C5E9F" w:rsidRDefault="001C5E9F" w:rsidP="001C5E9F">
              <w:pPr>
                <w:pStyle w:val="Bibliography"/>
                <w:numPr>
                  <w:ilvl w:val="0"/>
                  <w:numId w:val="13"/>
                </w:numPr>
                <w:rPr>
                  <w:rFonts w:ascii="Cambria" w:hAnsi="Cambria"/>
                </w:rPr>
              </w:pPr>
              <w:r w:rsidRPr="001C5E9F">
                <w:rPr>
                  <w:rFonts w:ascii="Cambria" w:hAnsi="Cambria"/>
                  <w:b/>
                  <w:bCs/>
                </w:rPr>
                <w:t>European Central Bank (ECB)</w:t>
              </w:r>
              <w:r w:rsidRPr="001C5E9F">
                <w:rPr>
                  <w:rFonts w:ascii="Cambria" w:hAnsi="Cambria"/>
                </w:rPr>
                <w:t xml:space="preserve"> (2024). </w:t>
              </w:r>
              <w:r w:rsidRPr="001C5E9F">
                <w:rPr>
                  <w:rFonts w:ascii="Cambria" w:hAnsi="Cambria"/>
                  <w:i/>
                  <w:iCs/>
                </w:rPr>
                <w:t>Eurozone Inflation &amp; Retail Sector Debt Sustainability</w:t>
              </w:r>
              <w:r w:rsidRPr="001C5E9F">
                <w:rPr>
                  <w:rFonts w:ascii="Cambria" w:hAnsi="Cambria"/>
                </w:rPr>
                <w:t xml:space="preserve">. Frankfurt, Germany. Retrieved from </w:t>
              </w:r>
              <w:hyperlink r:id="rId17" w:tgtFrame="_new" w:history="1">
                <w:r w:rsidRPr="001C5E9F">
                  <w:rPr>
                    <w:rStyle w:val="Hyperlink"/>
                    <w:rFonts w:ascii="Cambria" w:hAnsi="Cambria"/>
                    <w:i/>
                    <w:iCs/>
                    <w:color w:val="auto"/>
                  </w:rPr>
                  <w:t>www.ecb.europa.eu</w:t>
                </w:r>
              </w:hyperlink>
              <w:r w:rsidRPr="001C5E9F">
                <w:rPr>
                  <w:rFonts w:ascii="Cambria" w:hAnsi="Cambria"/>
                </w:rPr>
                <w:t>.</w:t>
              </w:r>
            </w:p>
            <w:p w14:paraId="6274BAB5" w14:textId="77777777" w:rsidR="001C5E9F" w:rsidRPr="001C5E9F" w:rsidRDefault="001C5E9F" w:rsidP="001C5E9F">
              <w:pPr>
                <w:pStyle w:val="Bibliography"/>
                <w:numPr>
                  <w:ilvl w:val="0"/>
                  <w:numId w:val="13"/>
                </w:numPr>
                <w:rPr>
                  <w:rFonts w:ascii="Cambria" w:hAnsi="Cambria"/>
                </w:rPr>
              </w:pPr>
              <w:r w:rsidRPr="001C5E9F">
                <w:rPr>
                  <w:rFonts w:ascii="Cambria" w:hAnsi="Cambria"/>
                  <w:b/>
                  <w:bCs/>
                </w:rPr>
                <w:t xml:space="preserve">Brazilian Central Bank (Banco Central do </w:t>
              </w:r>
              <w:proofErr w:type="spellStart"/>
              <w:r w:rsidRPr="001C5E9F">
                <w:rPr>
                  <w:rFonts w:ascii="Cambria" w:hAnsi="Cambria"/>
                  <w:b/>
                  <w:bCs/>
                </w:rPr>
                <w:t>Brasil</w:t>
              </w:r>
              <w:proofErr w:type="spellEnd"/>
              <w:r w:rsidRPr="001C5E9F">
                <w:rPr>
                  <w:rFonts w:ascii="Cambria" w:hAnsi="Cambria"/>
                  <w:b/>
                  <w:bCs/>
                </w:rPr>
                <w:t>)</w:t>
              </w:r>
              <w:r w:rsidRPr="001C5E9F">
                <w:rPr>
                  <w:rFonts w:ascii="Cambria" w:hAnsi="Cambria"/>
                </w:rPr>
                <w:t xml:space="preserve"> (2024). </w:t>
              </w:r>
              <w:r w:rsidRPr="001C5E9F">
                <w:rPr>
                  <w:rFonts w:ascii="Cambria" w:hAnsi="Cambria"/>
                  <w:i/>
                  <w:iCs/>
                </w:rPr>
                <w:t>Retail Financing Conditions &amp; Interest Rate Impact on Brazilian Companies</w:t>
              </w:r>
              <w:r w:rsidRPr="001C5E9F">
                <w:rPr>
                  <w:rFonts w:ascii="Cambria" w:hAnsi="Cambria"/>
                </w:rPr>
                <w:t xml:space="preserve">. Retrieved from </w:t>
              </w:r>
              <w:hyperlink r:id="rId18" w:tgtFrame="_new" w:history="1">
                <w:r w:rsidRPr="001C5E9F">
                  <w:rPr>
                    <w:rStyle w:val="Hyperlink"/>
                    <w:rFonts w:ascii="Cambria" w:hAnsi="Cambria"/>
                    <w:i/>
                    <w:iCs/>
                    <w:color w:val="auto"/>
                  </w:rPr>
                  <w:t>www.bcb.gov.br</w:t>
                </w:r>
              </w:hyperlink>
              <w:r w:rsidRPr="001C5E9F">
                <w:rPr>
                  <w:rFonts w:ascii="Cambria" w:hAnsi="Cambria"/>
                </w:rPr>
                <w:t>.</w:t>
              </w:r>
            </w:p>
            <w:p w14:paraId="1C4E1624" w14:textId="332B9DA7" w:rsidR="001C5E9F" w:rsidRPr="00456405" w:rsidRDefault="001C5E9F" w:rsidP="001C5E9F">
              <w:pPr>
                <w:pStyle w:val="Bibliography"/>
                <w:ind w:left="720" w:hanging="720"/>
                <w:rPr>
                  <w:rFonts w:ascii="Cambria" w:hAnsi="Cambria"/>
                </w:rPr>
              </w:pPr>
            </w:p>
            <w:p w14:paraId="46A893A3" w14:textId="7D8E2819" w:rsidR="001C5E9F" w:rsidRPr="00456405" w:rsidRDefault="00000000" w:rsidP="001C5E9F">
              <w:pPr>
                <w:rPr>
                  <w:rFonts w:ascii="Cambria" w:hAnsi="Cambria"/>
                </w:rPr>
              </w:pPr>
            </w:p>
          </w:sdtContent>
        </w:sdt>
      </w:sdtContent>
    </w:sdt>
    <w:p w14:paraId="569F317D" w14:textId="15CF02F5" w:rsidR="001C5E9F" w:rsidRPr="00456405" w:rsidRDefault="001C5E9F">
      <w:pPr>
        <w:rPr>
          <w:rFonts w:ascii="Cambria" w:hAnsi="Cambria"/>
        </w:rPr>
      </w:pPr>
    </w:p>
    <w:p w14:paraId="2E537E4E" w14:textId="77777777" w:rsidR="001C5E9F" w:rsidRPr="00456405" w:rsidRDefault="001C5E9F" w:rsidP="00730709">
      <w:pPr>
        <w:spacing w:beforeLines="20" w:before="48" w:afterLines="40" w:after="96" w:line="240" w:lineRule="auto"/>
        <w:jc w:val="both"/>
        <w:rPr>
          <w:rFonts w:ascii="Cambria" w:hAnsi="Cambria"/>
          <w:b/>
          <w:bCs/>
          <w:sz w:val="24"/>
          <w:szCs w:val="24"/>
        </w:rPr>
      </w:pPr>
    </w:p>
    <w:sectPr w:rsidR="001C5E9F" w:rsidRPr="00456405" w:rsidSect="00661B51">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7D25B" w14:textId="77777777" w:rsidR="00203A02" w:rsidRDefault="00203A02" w:rsidP="00F2583D">
      <w:pPr>
        <w:spacing w:after="0" w:line="240" w:lineRule="auto"/>
      </w:pPr>
      <w:r>
        <w:separator/>
      </w:r>
    </w:p>
  </w:endnote>
  <w:endnote w:type="continuationSeparator" w:id="0">
    <w:p w14:paraId="1E450AA1" w14:textId="77777777" w:rsidR="00203A02" w:rsidRDefault="00203A02" w:rsidP="00F2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AC180" w14:textId="77777777" w:rsidR="004E5A90" w:rsidRDefault="004E5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431599"/>
      <w:docPartObj>
        <w:docPartGallery w:val="Page Numbers (Bottom of Page)"/>
        <w:docPartUnique/>
      </w:docPartObj>
    </w:sdtPr>
    <w:sdtEndPr>
      <w:rPr>
        <w:color w:val="7F7F7F" w:themeColor="background1" w:themeShade="7F"/>
        <w:spacing w:val="60"/>
        <w:lang w:val="en-GB"/>
      </w:rPr>
    </w:sdtEndPr>
    <w:sdtContent>
      <w:p w14:paraId="02031167" w14:textId="0B5EFDA8" w:rsidR="009552AC" w:rsidRDefault="009552AC">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52D6B174" w14:textId="77777777" w:rsidR="00F2583D" w:rsidRDefault="00F25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B5DB" w14:textId="77777777" w:rsidR="004E5A90" w:rsidRDefault="004E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2165E" w14:textId="77777777" w:rsidR="00203A02" w:rsidRDefault="00203A02" w:rsidP="00F2583D">
      <w:pPr>
        <w:spacing w:after="0" w:line="240" w:lineRule="auto"/>
      </w:pPr>
      <w:r>
        <w:separator/>
      </w:r>
    </w:p>
  </w:footnote>
  <w:footnote w:type="continuationSeparator" w:id="0">
    <w:p w14:paraId="0282CC32" w14:textId="77777777" w:rsidR="00203A02" w:rsidRDefault="00203A02" w:rsidP="00F2583D">
      <w:pPr>
        <w:spacing w:after="0" w:line="240" w:lineRule="auto"/>
      </w:pPr>
      <w:r>
        <w:continuationSeparator/>
      </w:r>
    </w:p>
  </w:footnote>
  <w:footnote w:id="1">
    <w:p w14:paraId="1F16953E" w14:textId="7D425D86" w:rsidR="00FB265C" w:rsidRPr="00FB265C" w:rsidRDefault="00FB265C">
      <w:pPr>
        <w:pStyle w:val="FootnoteText"/>
        <w:rPr>
          <w:rFonts w:ascii="Cambria" w:hAnsi="Cambria"/>
          <w:i/>
          <w:iCs/>
          <w:sz w:val="16"/>
          <w:szCs w:val="16"/>
          <w:lang w:val="en-US"/>
        </w:rPr>
      </w:pPr>
      <w:r>
        <w:rPr>
          <w:rStyle w:val="FootnoteReference"/>
        </w:rPr>
        <w:footnoteRef/>
      </w:r>
      <w:r>
        <w:t xml:space="preserve"> </w:t>
      </w:r>
      <w:r w:rsidRPr="00FB265C">
        <w:rPr>
          <w:rFonts w:ascii="Cambria" w:hAnsi="Cambria"/>
          <w:i/>
          <w:iCs/>
          <w:sz w:val="16"/>
          <w:szCs w:val="16"/>
        </w:rPr>
        <w:t>For detailed financial statements, see Appendix</w:t>
      </w:r>
    </w:p>
  </w:footnote>
  <w:footnote w:id="2">
    <w:p w14:paraId="0CA0360A" w14:textId="20ED0D88" w:rsidR="00CA28F4" w:rsidRPr="00336D3A" w:rsidRDefault="00CA28F4">
      <w:pPr>
        <w:pStyle w:val="FootnoteText"/>
        <w:rPr>
          <w:rFonts w:ascii="Cambria" w:hAnsi="Cambria"/>
          <w:sz w:val="16"/>
          <w:szCs w:val="16"/>
          <w:lang w:val="en-US"/>
        </w:rPr>
      </w:pPr>
      <w:r w:rsidRPr="001F64F1">
        <w:rPr>
          <w:rStyle w:val="FootnoteReference"/>
          <w:rFonts w:ascii="Cambria" w:hAnsi="Cambria"/>
        </w:rPr>
        <w:footnoteRef/>
      </w:r>
      <w:r w:rsidRPr="001F64F1">
        <w:rPr>
          <w:rFonts w:ascii="Cambria" w:hAnsi="Cambria"/>
        </w:rPr>
        <w:t xml:space="preserve"> </w:t>
      </w:r>
      <w:r w:rsidRPr="00336D3A">
        <w:rPr>
          <w:rFonts w:ascii="Cambria" w:hAnsi="Cambria"/>
          <w:sz w:val="16"/>
          <w:szCs w:val="16"/>
        </w:rPr>
        <w:t xml:space="preserve">Crucial indicator of financial stability, widely used in credit risk assessments to evaluate the profitability of corporate distress or default. Z-Score provides a quantitative measure of financial health. For reference, </w:t>
      </w:r>
      <w:r w:rsidRPr="00336D3A">
        <w:rPr>
          <w:rFonts w:ascii="Cambria" w:hAnsi="Cambria"/>
          <w:sz w:val="16"/>
          <w:szCs w:val="16"/>
        </w:rPr>
        <w:br/>
        <w:t>Z</w:t>
      </w:r>
      <w:r w:rsidR="001F64F1" w:rsidRPr="00336D3A">
        <w:rPr>
          <w:rFonts w:ascii="Cambria" w:hAnsi="Cambria"/>
          <w:sz w:val="16"/>
          <w:szCs w:val="16"/>
        </w:rPr>
        <w:t xml:space="preserve"> </w:t>
      </w:r>
      <w:r w:rsidRPr="00336D3A">
        <w:rPr>
          <w:rFonts w:ascii="Cambria" w:hAnsi="Cambria"/>
          <w:sz w:val="16"/>
          <w:szCs w:val="16"/>
        </w:rPr>
        <w:t>&gt;</w:t>
      </w:r>
      <w:r w:rsidR="001F64F1" w:rsidRPr="00336D3A">
        <w:rPr>
          <w:rFonts w:ascii="Cambria" w:hAnsi="Cambria"/>
          <w:sz w:val="16"/>
          <w:szCs w:val="16"/>
        </w:rPr>
        <w:t xml:space="preserve"> </w:t>
      </w:r>
      <w:r w:rsidRPr="00336D3A">
        <w:rPr>
          <w:rFonts w:ascii="Cambria" w:hAnsi="Cambria"/>
          <w:sz w:val="16"/>
          <w:szCs w:val="16"/>
        </w:rPr>
        <w:t>3.0: low probability of financial distress.</w:t>
      </w:r>
      <w:r w:rsidRPr="00336D3A">
        <w:rPr>
          <w:rFonts w:ascii="Cambria" w:hAnsi="Cambria"/>
          <w:sz w:val="16"/>
          <w:szCs w:val="16"/>
        </w:rPr>
        <w:br/>
        <w:t>2.7</w:t>
      </w:r>
      <w:r w:rsidR="001F64F1" w:rsidRPr="00336D3A">
        <w:rPr>
          <w:rFonts w:ascii="Cambria" w:hAnsi="Cambria"/>
          <w:sz w:val="16"/>
          <w:szCs w:val="16"/>
        </w:rPr>
        <w:t xml:space="preserve"> </w:t>
      </w:r>
      <w:r w:rsidRPr="00336D3A">
        <w:rPr>
          <w:rFonts w:ascii="Cambria" w:hAnsi="Cambria"/>
          <w:sz w:val="16"/>
          <w:szCs w:val="16"/>
        </w:rPr>
        <w:t>&lt;</w:t>
      </w:r>
      <w:r w:rsidR="001F64F1" w:rsidRPr="00336D3A">
        <w:rPr>
          <w:rFonts w:ascii="Cambria" w:hAnsi="Cambria"/>
          <w:sz w:val="16"/>
          <w:szCs w:val="16"/>
        </w:rPr>
        <w:t xml:space="preserve"> </w:t>
      </w:r>
      <w:r w:rsidRPr="00336D3A">
        <w:rPr>
          <w:rFonts w:ascii="Cambria" w:hAnsi="Cambria"/>
          <w:sz w:val="16"/>
          <w:szCs w:val="16"/>
        </w:rPr>
        <w:t>Z</w:t>
      </w:r>
      <w:r w:rsidR="001F64F1" w:rsidRPr="00336D3A">
        <w:rPr>
          <w:rFonts w:ascii="Cambria" w:hAnsi="Cambria"/>
          <w:sz w:val="16"/>
          <w:szCs w:val="16"/>
        </w:rPr>
        <w:t xml:space="preserve"> </w:t>
      </w:r>
      <w:r w:rsidRPr="00336D3A">
        <w:rPr>
          <w:rFonts w:ascii="Cambria" w:hAnsi="Cambria"/>
          <w:sz w:val="16"/>
          <w:szCs w:val="16"/>
        </w:rPr>
        <w:t>&lt;</w:t>
      </w:r>
      <w:r w:rsidR="001F64F1" w:rsidRPr="00336D3A">
        <w:rPr>
          <w:rFonts w:ascii="Cambria" w:hAnsi="Cambria"/>
          <w:sz w:val="16"/>
          <w:szCs w:val="16"/>
        </w:rPr>
        <w:t xml:space="preserve"> </w:t>
      </w:r>
      <w:r w:rsidRPr="00336D3A">
        <w:rPr>
          <w:rFonts w:ascii="Cambria" w:hAnsi="Cambria"/>
          <w:sz w:val="16"/>
          <w:szCs w:val="16"/>
        </w:rPr>
        <w:t xml:space="preserve">3.0: Early warning signs, financial stability weakening. </w:t>
      </w:r>
      <w:r w:rsidRPr="00336D3A">
        <w:rPr>
          <w:rFonts w:ascii="Cambria" w:hAnsi="Cambria"/>
          <w:sz w:val="16"/>
          <w:szCs w:val="16"/>
        </w:rPr>
        <w:br/>
        <w:t>1.8 &lt; Z &lt; 2.7: Moderate risk of default.</w:t>
      </w:r>
      <w:r w:rsidRPr="00336D3A">
        <w:rPr>
          <w:rFonts w:ascii="Cambria" w:hAnsi="Cambria"/>
          <w:sz w:val="16"/>
          <w:szCs w:val="16"/>
        </w:rPr>
        <w:br/>
        <w:t xml:space="preserve">Z &lt; 1.8: High probability of financial distress. </w:t>
      </w:r>
    </w:p>
  </w:footnote>
  <w:footnote w:id="3">
    <w:p w14:paraId="3AF6057B" w14:textId="4E1777D7" w:rsidR="00E66CCC" w:rsidRPr="00E66CCC" w:rsidRDefault="00E66CCC">
      <w:pPr>
        <w:pStyle w:val="FootnoteText"/>
        <w:rPr>
          <w:rFonts w:ascii="Cambria" w:hAnsi="Cambria"/>
          <w:sz w:val="16"/>
          <w:szCs w:val="16"/>
          <w:lang w:val="en-US"/>
        </w:rPr>
      </w:pPr>
      <w:r w:rsidRPr="00E66CCC">
        <w:rPr>
          <w:rStyle w:val="FootnoteReference"/>
          <w:rFonts w:ascii="Cambria" w:hAnsi="Cambria"/>
          <w:sz w:val="16"/>
          <w:szCs w:val="16"/>
        </w:rPr>
        <w:footnoteRef/>
      </w:r>
      <w:r w:rsidRPr="00E66CCC">
        <w:rPr>
          <w:rFonts w:ascii="Cambria" w:hAnsi="Cambria"/>
          <w:sz w:val="16"/>
          <w:szCs w:val="16"/>
        </w:rPr>
        <w:t xml:space="preserve"> The Merton Model is a structural credit risk model that estimates a firm's probability of default by treating its equity as a call option on its assets. It uses market value of equity, asset volatility, and total liabilities to calculate the firm's Distance to Default (DD)—a key measure of financial stability. A higher DD suggests lower credit risk, while a lower DD indicates a firm is approaching distress.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D04F7" w14:textId="77777777" w:rsidR="004E5A90" w:rsidRDefault="004E5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9B823" w14:textId="77777777" w:rsidR="004E5A90" w:rsidRDefault="004E5A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AA8A" w14:textId="77777777" w:rsidR="004E5A90" w:rsidRDefault="004E5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21D5"/>
    <w:multiLevelType w:val="hybridMultilevel"/>
    <w:tmpl w:val="1AB88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84209"/>
    <w:multiLevelType w:val="hybridMultilevel"/>
    <w:tmpl w:val="39968B9A"/>
    <w:lvl w:ilvl="0" w:tplc="CC3A6B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75F24"/>
    <w:multiLevelType w:val="hybridMultilevel"/>
    <w:tmpl w:val="1BD627D0"/>
    <w:lvl w:ilvl="0" w:tplc="CC3A6B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8E14B0"/>
    <w:multiLevelType w:val="multilevel"/>
    <w:tmpl w:val="B3D6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94E98"/>
    <w:multiLevelType w:val="hybridMultilevel"/>
    <w:tmpl w:val="C01C6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6C2E6C"/>
    <w:multiLevelType w:val="multilevel"/>
    <w:tmpl w:val="3C2264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D3C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F40611"/>
    <w:multiLevelType w:val="hybridMultilevel"/>
    <w:tmpl w:val="52641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1B2044"/>
    <w:multiLevelType w:val="multilevel"/>
    <w:tmpl w:val="11EA87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55067"/>
    <w:multiLevelType w:val="hybridMultilevel"/>
    <w:tmpl w:val="8E864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0C18EB"/>
    <w:multiLevelType w:val="multilevel"/>
    <w:tmpl w:val="55A28C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47FB2"/>
    <w:multiLevelType w:val="multilevel"/>
    <w:tmpl w:val="645C9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0618E"/>
    <w:multiLevelType w:val="hybridMultilevel"/>
    <w:tmpl w:val="C70EE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777909">
    <w:abstractNumId w:val="9"/>
  </w:num>
  <w:num w:numId="2" w16cid:durableId="393814937">
    <w:abstractNumId w:val="4"/>
  </w:num>
  <w:num w:numId="3" w16cid:durableId="372996754">
    <w:abstractNumId w:val="2"/>
  </w:num>
  <w:num w:numId="4" w16cid:durableId="1081222760">
    <w:abstractNumId w:val="1"/>
  </w:num>
  <w:num w:numId="5" w16cid:durableId="1175614297">
    <w:abstractNumId w:val="6"/>
  </w:num>
  <w:num w:numId="6" w16cid:durableId="1386291944">
    <w:abstractNumId w:val="12"/>
  </w:num>
  <w:num w:numId="7" w16cid:durableId="1244490890">
    <w:abstractNumId w:val="7"/>
  </w:num>
  <w:num w:numId="8" w16cid:durableId="508982356">
    <w:abstractNumId w:val="0"/>
  </w:num>
  <w:num w:numId="9" w16cid:durableId="1055004902">
    <w:abstractNumId w:val="3"/>
  </w:num>
  <w:num w:numId="10" w16cid:durableId="1404254754">
    <w:abstractNumId w:val="11"/>
  </w:num>
  <w:num w:numId="11" w16cid:durableId="480003612">
    <w:abstractNumId w:val="8"/>
  </w:num>
  <w:num w:numId="12" w16cid:durableId="1131822202">
    <w:abstractNumId w:val="10"/>
  </w:num>
  <w:num w:numId="13" w16cid:durableId="140510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8D"/>
    <w:rsid w:val="000023BE"/>
    <w:rsid w:val="000067DB"/>
    <w:rsid w:val="00016572"/>
    <w:rsid w:val="000247F2"/>
    <w:rsid w:val="00025710"/>
    <w:rsid w:val="00027F3A"/>
    <w:rsid w:val="000413B0"/>
    <w:rsid w:val="00041F48"/>
    <w:rsid w:val="0004566C"/>
    <w:rsid w:val="00046B0C"/>
    <w:rsid w:val="00050A25"/>
    <w:rsid w:val="00051393"/>
    <w:rsid w:val="00057F31"/>
    <w:rsid w:val="00063F80"/>
    <w:rsid w:val="00067DB9"/>
    <w:rsid w:val="0007425D"/>
    <w:rsid w:val="0007430D"/>
    <w:rsid w:val="00076BAF"/>
    <w:rsid w:val="00096ED5"/>
    <w:rsid w:val="000A34F4"/>
    <w:rsid w:val="000A3C5B"/>
    <w:rsid w:val="000A68D7"/>
    <w:rsid w:val="000A7591"/>
    <w:rsid w:val="000C656F"/>
    <w:rsid w:val="000C7B96"/>
    <w:rsid w:val="000D0D36"/>
    <w:rsid w:val="000D4DA6"/>
    <w:rsid w:val="000E2C26"/>
    <w:rsid w:val="000E7471"/>
    <w:rsid w:val="000F1926"/>
    <w:rsid w:val="00101DB8"/>
    <w:rsid w:val="00103100"/>
    <w:rsid w:val="00106F7E"/>
    <w:rsid w:val="0011012B"/>
    <w:rsid w:val="001105BD"/>
    <w:rsid w:val="00110EF7"/>
    <w:rsid w:val="00116BE6"/>
    <w:rsid w:val="00125D30"/>
    <w:rsid w:val="00133C0A"/>
    <w:rsid w:val="00134880"/>
    <w:rsid w:val="0014207C"/>
    <w:rsid w:val="00145CF4"/>
    <w:rsid w:val="0015618D"/>
    <w:rsid w:val="00156809"/>
    <w:rsid w:val="0016202D"/>
    <w:rsid w:val="00163FBC"/>
    <w:rsid w:val="00165320"/>
    <w:rsid w:val="00166A40"/>
    <w:rsid w:val="0016791E"/>
    <w:rsid w:val="0017069A"/>
    <w:rsid w:val="0017108A"/>
    <w:rsid w:val="00172F7D"/>
    <w:rsid w:val="00173382"/>
    <w:rsid w:val="001765A7"/>
    <w:rsid w:val="00180BCF"/>
    <w:rsid w:val="001915A2"/>
    <w:rsid w:val="0019176A"/>
    <w:rsid w:val="001A0308"/>
    <w:rsid w:val="001A5EFE"/>
    <w:rsid w:val="001B19CF"/>
    <w:rsid w:val="001B1B0D"/>
    <w:rsid w:val="001B2405"/>
    <w:rsid w:val="001B3068"/>
    <w:rsid w:val="001B33C9"/>
    <w:rsid w:val="001B7F7F"/>
    <w:rsid w:val="001C5D44"/>
    <w:rsid w:val="001C5E9F"/>
    <w:rsid w:val="001C658F"/>
    <w:rsid w:val="001D4E9D"/>
    <w:rsid w:val="001E0FF0"/>
    <w:rsid w:val="001E1176"/>
    <w:rsid w:val="001E2F0F"/>
    <w:rsid w:val="001F209D"/>
    <w:rsid w:val="001F5C02"/>
    <w:rsid w:val="001F64F1"/>
    <w:rsid w:val="00203A02"/>
    <w:rsid w:val="00205AE8"/>
    <w:rsid w:val="00222AC6"/>
    <w:rsid w:val="002239EA"/>
    <w:rsid w:val="0023474C"/>
    <w:rsid w:val="00241CBE"/>
    <w:rsid w:val="002514FE"/>
    <w:rsid w:val="00272285"/>
    <w:rsid w:val="00273E49"/>
    <w:rsid w:val="00281006"/>
    <w:rsid w:val="00282875"/>
    <w:rsid w:val="00290863"/>
    <w:rsid w:val="002A140D"/>
    <w:rsid w:val="002A3247"/>
    <w:rsid w:val="002B269A"/>
    <w:rsid w:val="002C05C6"/>
    <w:rsid w:val="002D4422"/>
    <w:rsid w:val="002E4E9B"/>
    <w:rsid w:val="002E6C10"/>
    <w:rsid w:val="002F2D9B"/>
    <w:rsid w:val="002F655B"/>
    <w:rsid w:val="003008A1"/>
    <w:rsid w:val="00306994"/>
    <w:rsid w:val="0032402B"/>
    <w:rsid w:val="00333488"/>
    <w:rsid w:val="00336D3A"/>
    <w:rsid w:val="00337C1F"/>
    <w:rsid w:val="00356FFC"/>
    <w:rsid w:val="00370C60"/>
    <w:rsid w:val="00373303"/>
    <w:rsid w:val="003831A2"/>
    <w:rsid w:val="00383851"/>
    <w:rsid w:val="00392045"/>
    <w:rsid w:val="00392E1C"/>
    <w:rsid w:val="00396BEA"/>
    <w:rsid w:val="003A110F"/>
    <w:rsid w:val="003A5D15"/>
    <w:rsid w:val="003B2EA6"/>
    <w:rsid w:val="003B71FB"/>
    <w:rsid w:val="003C19AA"/>
    <w:rsid w:val="003C1E27"/>
    <w:rsid w:val="003C2F53"/>
    <w:rsid w:val="003F3961"/>
    <w:rsid w:val="00407032"/>
    <w:rsid w:val="004071C4"/>
    <w:rsid w:val="0041342F"/>
    <w:rsid w:val="00414B30"/>
    <w:rsid w:val="00421715"/>
    <w:rsid w:val="00430732"/>
    <w:rsid w:val="004367CD"/>
    <w:rsid w:val="00443523"/>
    <w:rsid w:val="00445FB2"/>
    <w:rsid w:val="00452F1D"/>
    <w:rsid w:val="00456405"/>
    <w:rsid w:val="00466D79"/>
    <w:rsid w:val="00473366"/>
    <w:rsid w:val="00473B4B"/>
    <w:rsid w:val="00475BB7"/>
    <w:rsid w:val="004842B4"/>
    <w:rsid w:val="00487093"/>
    <w:rsid w:val="00495352"/>
    <w:rsid w:val="004A2B13"/>
    <w:rsid w:val="004B28F9"/>
    <w:rsid w:val="004C36ED"/>
    <w:rsid w:val="004C5884"/>
    <w:rsid w:val="004C67FD"/>
    <w:rsid w:val="004D3575"/>
    <w:rsid w:val="004D6C14"/>
    <w:rsid w:val="004E0AF6"/>
    <w:rsid w:val="004E5A90"/>
    <w:rsid w:val="004E69C5"/>
    <w:rsid w:val="004F012F"/>
    <w:rsid w:val="004F4848"/>
    <w:rsid w:val="0051197E"/>
    <w:rsid w:val="00525927"/>
    <w:rsid w:val="00527BB1"/>
    <w:rsid w:val="0053118B"/>
    <w:rsid w:val="005369EC"/>
    <w:rsid w:val="005414B0"/>
    <w:rsid w:val="00547701"/>
    <w:rsid w:val="00550662"/>
    <w:rsid w:val="0055289D"/>
    <w:rsid w:val="00554F57"/>
    <w:rsid w:val="005553E0"/>
    <w:rsid w:val="00560BDD"/>
    <w:rsid w:val="0057408C"/>
    <w:rsid w:val="0057449A"/>
    <w:rsid w:val="00574775"/>
    <w:rsid w:val="0057677F"/>
    <w:rsid w:val="00581EF8"/>
    <w:rsid w:val="00584E0F"/>
    <w:rsid w:val="005960D3"/>
    <w:rsid w:val="00597F20"/>
    <w:rsid w:val="005A3ABF"/>
    <w:rsid w:val="005A511C"/>
    <w:rsid w:val="005B7636"/>
    <w:rsid w:val="005C6DF9"/>
    <w:rsid w:val="005D23F6"/>
    <w:rsid w:val="005D5BC9"/>
    <w:rsid w:val="005D6375"/>
    <w:rsid w:val="005E00FC"/>
    <w:rsid w:val="005E792A"/>
    <w:rsid w:val="005F1381"/>
    <w:rsid w:val="00604B66"/>
    <w:rsid w:val="00607537"/>
    <w:rsid w:val="006148B3"/>
    <w:rsid w:val="0062242B"/>
    <w:rsid w:val="0062472C"/>
    <w:rsid w:val="00625BED"/>
    <w:rsid w:val="00630286"/>
    <w:rsid w:val="00634A85"/>
    <w:rsid w:val="006547B9"/>
    <w:rsid w:val="00661AC5"/>
    <w:rsid w:val="00661B51"/>
    <w:rsid w:val="00663F90"/>
    <w:rsid w:val="00680408"/>
    <w:rsid w:val="00681016"/>
    <w:rsid w:val="006860E5"/>
    <w:rsid w:val="00691822"/>
    <w:rsid w:val="00691FCC"/>
    <w:rsid w:val="006A4201"/>
    <w:rsid w:val="006A42E7"/>
    <w:rsid w:val="006B32E9"/>
    <w:rsid w:val="006B53E7"/>
    <w:rsid w:val="006C5A86"/>
    <w:rsid w:val="006C7148"/>
    <w:rsid w:val="006D6946"/>
    <w:rsid w:val="006F5DE4"/>
    <w:rsid w:val="00701DBE"/>
    <w:rsid w:val="00704293"/>
    <w:rsid w:val="0071266B"/>
    <w:rsid w:val="007151B4"/>
    <w:rsid w:val="00721F88"/>
    <w:rsid w:val="00724188"/>
    <w:rsid w:val="00730709"/>
    <w:rsid w:val="0074429A"/>
    <w:rsid w:val="00745D40"/>
    <w:rsid w:val="00761636"/>
    <w:rsid w:val="00766D00"/>
    <w:rsid w:val="00772FE5"/>
    <w:rsid w:val="00781EC6"/>
    <w:rsid w:val="007967B8"/>
    <w:rsid w:val="00796F93"/>
    <w:rsid w:val="007A7C29"/>
    <w:rsid w:val="007B2DA7"/>
    <w:rsid w:val="007B52B7"/>
    <w:rsid w:val="007B5766"/>
    <w:rsid w:val="007B6FA5"/>
    <w:rsid w:val="007B7010"/>
    <w:rsid w:val="007C6E87"/>
    <w:rsid w:val="007D1A59"/>
    <w:rsid w:val="007D5332"/>
    <w:rsid w:val="007D7B34"/>
    <w:rsid w:val="007F0A3C"/>
    <w:rsid w:val="007F189A"/>
    <w:rsid w:val="007F5502"/>
    <w:rsid w:val="00802C15"/>
    <w:rsid w:val="00804403"/>
    <w:rsid w:val="00814466"/>
    <w:rsid w:val="00822A47"/>
    <w:rsid w:val="00823FD2"/>
    <w:rsid w:val="00825903"/>
    <w:rsid w:val="008271F8"/>
    <w:rsid w:val="008274FC"/>
    <w:rsid w:val="00831C29"/>
    <w:rsid w:val="00835736"/>
    <w:rsid w:val="0084143D"/>
    <w:rsid w:val="00850959"/>
    <w:rsid w:val="008712D1"/>
    <w:rsid w:val="008744F4"/>
    <w:rsid w:val="0087683B"/>
    <w:rsid w:val="00881B13"/>
    <w:rsid w:val="0088237A"/>
    <w:rsid w:val="008854A3"/>
    <w:rsid w:val="008923CB"/>
    <w:rsid w:val="008934FF"/>
    <w:rsid w:val="00896B9A"/>
    <w:rsid w:val="008970CB"/>
    <w:rsid w:val="00897222"/>
    <w:rsid w:val="008A0A14"/>
    <w:rsid w:val="008A4150"/>
    <w:rsid w:val="008B34B3"/>
    <w:rsid w:val="008C1A62"/>
    <w:rsid w:val="008C37E5"/>
    <w:rsid w:val="008D54BD"/>
    <w:rsid w:val="008E1181"/>
    <w:rsid w:val="008F2124"/>
    <w:rsid w:val="008F716D"/>
    <w:rsid w:val="00901AAF"/>
    <w:rsid w:val="0090379A"/>
    <w:rsid w:val="0091674B"/>
    <w:rsid w:val="00916852"/>
    <w:rsid w:val="00936F69"/>
    <w:rsid w:val="009413F1"/>
    <w:rsid w:val="00942942"/>
    <w:rsid w:val="00943B61"/>
    <w:rsid w:val="00952767"/>
    <w:rsid w:val="00954421"/>
    <w:rsid w:val="009552AC"/>
    <w:rsid w:val="00965436"/>
    <w:rsid w:val="00967B35"/>
    <w:rsid w:val="009A3681"/>
    <w:rsid w:val="009B3690"/>
    <w:rsid w:val="009D0316"/>
    <w:rsid w:val="009D0B27"/>
    <w:rsid w:val="009D39DC"/>
    <w:rsid w:val="009F7643"/>
    <w:rsid w:val="00A14CDC"/>
    <w:rsid w:val="00A2106A"/>
    <w:rsid w:val="00A216EB"/>
    <w:rsid w:val="00A23266"/>
    <w:rsid w:val="00A30D12"/>
    <w:rsid w:val="00A37096"/>
    <w:rsid w:val="00A41556"/>
    <w:rsid w:val="00A41FFB"/>
    <w:rsid w:val="00A463D3"/>
    <w:rsid w:val="00A52549"/>
    <w:rsid w:val="00A52D08"/>
    <w:rsid w:val="00A64110"/>
    <w:rsid w:val="00A64A1B"/>
    <w:rsid w:val="00A65CF8"/>
    <w:rsid w:val="00A73471"/>
    <w:rsid w:val="00A74979"/>
    <w:rsid w:val="00A756DC"/>
    <w:rsid w:val="00A76464"/>
    <w:rsid w:val="00A76CC1"/>
    <w:rsid w:val="00A77520"/>
    <w:rsid w:val="00A82B53"/>
    <w:rsid w:val="00A904F5"/>
    <w:rsid w:val="00A949B6"/>
    <w:rsid w:val="00AA2F97"/>
    <w:rsid w:val="00AA55F5"/>
    <w:rsid w:val="00AA5ABA"/>
    <w:rsid w:val="00AB1010"/>
    <w:rsid w:val="00AB17AB"/>
    <w:rsid w:val="00AD4EEE"/>
    <w:rsid w:val="00AD5ACD"/>
    <w:rsid w:val="00AF2335"/>
    <w:rsid w:val="00AF4C86"/>
    <w:rsid w:val="00AF5B82"/>
    <w:rsid w:val="00B003BD"/>
    <w:rsid w:val="00B00FC4"/>
    <w:rsid w:val="00B05E64"/>
    <w:rsid w:val="00B409BE"/>
    <w:rsid w:val="00B40EF9"/>
    <w:rsid w:val="00B43A9E"/>
    <w:rsid w:val="00B5569C"/>
    <w:rsid w:val="00B57774"/>
    <w:rsid w:val="00B61614"/>
    <w:rsid w:val="00B6364D"/>
    <w:rsid w:val="00B80C91"/>
    <w:rsid w:val="00B821CF"/>
    <w:rsid w:val="00B92345"/>
    <w:rsid w:val="00B96D1E"/>
    <w:rsid w:val="00BA0542"/>
    <w:rsid w:val="00BB15CC"/>
    <w:rsid w:val="00BC1F5B"/>
    <w:rsid w:val="00BC5235"/>
    <w:rsid w:val="00BD09EE"/>
    <w:rsid w:val="00BD6CBC"/>
    <w:rsid w:val="00BF1B92"/>
    <w:rsid w:val="00BF5FB6"/>
    <w:rsid w:val="00C04345"/>
    <w:rsid w:val="00C0700B"/>
    <w:rsid w:val="00C1630F"/>
    <w:rsid w:val="00C27353"/>
    <w:rsid w:val="00C527E8"/>
    <w:rsid w:val="00C54036"/>
    <w:rsid w:val="00C5658D"/>
    <w:rsid w:val="00C627D0"/>
    <w:rsid w:val="00C645A8"/>
    <w:rsid w:val="00C647B0"/>
    <w:rsid w:val="00C656AB"/>
    <w:rsid w:val="00C66FFE"/>
    <w:rsid w:val="00C72014"/>
    <w:rsid w:val="00C7323D"/>
    <w:rsid w:val="00C84F3B"/>
    <w:rsid w:val="00C9031C"/>
    <w:rsid w:val="00C93493"/>
    <w:rsid w:val="00C94DDC"/>
    <w:rsid w:val="00C94E0E"/>
    <w:rsid w:val="00C974E3"/>
    <w:rsid w:val="00CA28F4"/>
    <w:rsid w:val="00CB4426"/>
    <w:rsid w:val="00CB4F44"/>
    <w:rsid w:val="00CC2938"/>
    <w:rsid w:val="00CD2273"/>
    <w:rsid w:val="00CD4810"/>
    <w:rsid w:val="00CE00E7"/>
    <w:rsid w:val="00CF0470"/>
    <w:rsid w:val="00CF08D7"/>
    <w:rsid w:val="00CF1F78"/>
    <w:rsid w:val="00D22341"/>
    <w:rsid w:val="00D253D1"/>
    <w:rsid w:val="00D25B0F"/>
    <w:rsid w:val="00D327E2"/>
    <w:rsid w:val="00D32B6B"/>
    <w:rsid w:val="00D4712F"/>
    <w:rsid w:val="00D60512"/>
    <w:rsid w:val="00D62C19"/>
    <w:rsid w:val="00D76A2E"/>
    <w:rsid w:val="00D90BDF"/>
    <w:rsid w:val="00D93308"/>
    <w:rsid w:val="00D952E2"/>
    <w:rsid w:val="00D9758B"/>
    <w:rsid w:val="00DA5ED4"/>
    <w:rsid w:val="00DB597B"/>
    <w:rsid w:val="00DB7BC9"/>
    <w:rsid w:val="00DC11B5"/>
    <w:rsid w:val="00DC1DD6"/>
    <w:rsid w:val="00DC301B"/>
    <w:rsid w:val="00DD256B"/>
    <w:rsid w:val="00DD4CED"/>
    <w:rsid w:val="00DD5267"/>
    <w:rsid w:val="00DE4E3E"/>
    <w:rsid w:val="00DE6BE9"/>
    <w:rsid w:val="00E0641C"/>
    <w:rsid w:val="00E07269"/>
    <w:rsid w:val="00E11444"/>
    <w:rsid w:val="00E11EEC"/>
    <w:rsid w:val="00E13812"/>
    <w:rsid w:val="00E21D6D"/>
    <w:rsid w:val="00E2311E"/>
    <w:rsid w:val="00E32109"/>
    <w:rsid w:val="00E40053"/>
    <w:rsid w:val="00E444BE"/>
    <w:rsid w:val="00E45EFA"/>
    <w:rsid w:val="00E50656"/>
    <w:rsid w:val="00E55CBB"/>
    <w:rsid w:val="00E56F05"/>
    <w:rsid w:val="00E6018F"/>
    <w:rsid w:val="00E62A6A"/>
    <w:rsid w:val="00E66CCC"/>
    <w:rsid w:val="00E67059"/>
    <w:rsid w:val="00E72C0F"/>
    <w:rsid w:val="00E83C52"/>
    <w:rsid w:val="00E84C30"/>
    <w:rsid w:val="00EA4F90"/>
    <w:rsid w:val="00EB2AB1"/>
    <w:rsid w:val="00EB45A2"/>
    <w:rsid w:val="00EB5865"/>
    <w:rsid w:val="00EB5C6E"/>
    <w:rsid w:val="00EB73DD"/>
    <w:rsid w:val="00EC2084"/>
    <w:rsid w:val="00ED175C"/>
    <w:rsid w:val="00EE4537"/>
    <w:rsid w:val="00EF0038"/>
    <w:rsid w:val="00EF3E9A"/>
    <w:rsid w:val="00F00A1A"/>
    <w:rsid w:val="00F017F4"/>
    <w:rsid w:val="00F04992"/>
    <w:rsid w:val="00F076B4"/>
    <w:rsid w:val="00F1301C"/>
    <w:rsid w:val="00F20586"/>
    <w:rsid w:val="00F2583D"/>
    <w:rsid w:val="00F40B15"/>
    <w:rsid w:val="00F511EB"/>
    <w:rsid w:val="00F51996"/>
    <w:rsid w:val="00F62BD2"/>
    <w:rsid w:val="00F72C27"/>
    <w:rsid w:val="00F73E05"/>
    <w:rsid w:val="00F945BC"/>
    <w:rsid w:val="00FA023E"/>
    <w:rsid w:val="00FA2D67"/>
    <w:rsid w:val="00FB265C"/>
    <w:rsid w:val="00FB2C6B"/>
    <w:rsid w:val="00FB728D"/>
    <w:rsid w:val="00FC7A14"/>
    <w:rsid w:val="00FD3D72"/>
    <w:rsid w:val="00FE48C5"/>
    <w:rsid w:val="00FF566C"/>
    <w:rsid w:val="00FF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FBB46"/>
  <w15:chartTrackingRefBased/>
  <w15:docId w15:val="{B3288806-1F08-480F-AC31-4732213D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18D"/>
    <w:rPr>
      <w:rFonts w:eastAsiaTheme="majorEastAsia" w:cstheme="majorBidi"/>
      <w:color w:val="272727" w:themeColor="text1" w:themeTint="D8"/>
    </w:rPr>
  </w:style>
  <w:style w:type="paragraph" w:styleId="Title">
    <w:name w:val="Title"/>
    <w:basedOn w:val="Normal"/>
    <w:next w:val="Normal"/>
    <w:link w:val="TitleChar"/>
    <w:uiPriority w:val="10"/>
    <w:qFormat/>
    <w:rsid w:val="00156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18D"/>
    <w:pPr>
      <w:spacing w:before="160"/>
      <w:jc w:val="center"/>
    </w:pPr>
    <w:rPr>
      <w:i/>
      <w:iCs/>
      <w:color w:val="404040" w:themeColor="text1" w:themeTint="BF"/>
    </w:rPr>
  </w:style>
  <w:style w:type="character" w:customStyle="1" w:styleId="QuoteChar">
    <w:name w:val="Quote Char"/>
    <w:basedOn w:val="DefaultParagraphFont"/>
    <w:link w:val="Quote"/>
    <w:uiPriority w:val="29"/>
    <w:rsid w:val="0015618D"/>
    <w:rPr>
      <w:i/>
      <w:iCs/>
      <w:color w:val="404040" w:themeColor="text1" w:themeTint="BF"/>
    </w:rPr>
  </w:style>
  <w:style w:type="paragraph" w:styleId="ListParagraph">
    <w:name w:val="List Paragraph"/>
    <w:basedOn w:val="Normal"/>
    <w:uiPriority w:val="34"/>
    <w:qFormat/>
    <w:rsid w:val="0015618D"/>
    <w:pPr>
      <w:ind w:left="720"/>
      <w:contextualSpacing/>
    </w:pPr>
  </w:style>
  <w:style w:type="character" w:styleId="IntenseEmphasis">
    <w:name w:val="Intense Emphasis"/>
    <w:basedOn w:val="DefaultParagraphFont"/>
    <w:uiPriority w:val="21"/>
    <w:qFormat/>
    <w:rsid w:val="0015618D"/>
    <w:rPr>
      <w:i/>
      <w:iCs/>
      <w:color w:val="0F4761" w:themeColor="accent1" w:themeShade="BF"/>
    </w:rPr>
  </w:style>
  <w:style w:type="paragraph" w:styleId="IntenseQuote">
    <w:name w:val="Intense Quote"/>
    <w:basedOn w:val="Normal"/>
    <w:next w:val="Normal"/>
    <w:link w:val="IntenseQuoteChar"/>
    <w:uiPriority w:val="30"/>
    <w:qFormat/>
    <w:rsid w:val="00156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18D"/>
    <w:rPr>
      <w:i/>
      <w:iCs/>
      <w:color w:val="0F4761" w:themeColor="accent1" w:themeShade="BF"/>
    </w:rPr>
  </w:style>
  <w:style w:type="character" w:styleId="IntenseReference">
    <w:name w:val="Intense Reference"/>
    <w:basedOn w:val="DefaultParagraphFont"/>
    <w:uiPriority w:val="32"/>
    <w:qFormat/>
    <w:rsid w:val="0015618D"/>
    <w:rPr>
      <w:b/>
      <w:bCs/>
      <w:smallCaps/>
      <w:color w:val="0F4761" w:themeColor="accent1" w:themeShade="BF"/>
      <w:spacing w:val="5"/>
    </w:rPr>
  </w:style>
  <w:style w:type="paragraph" w:styleId="Header">
    <w:name w:val="header"/>
    <w:basedOn w:val="Normal"/>
    <w:link w:val="HeaderChar"/>
    <w:uiPriority w:val="99"/>
    <w:unhideWhenUsed/>
    <w:rsid w:val="00F25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83D"/>
  </w:style>
  <w:style w:type="paragraph" w:styleId="Footer">
    <w:name w:val="footer"/>
    <w:basedOn w:val="Normal"/>
    <w:link w:val="FooterChar"/>
    <w:uiPriority w:val="99"/>
    <w:unhideWhenUsed/>
    <w:rsid w:val="00F25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83D"/>
  </w:style>
  <w:style w:type="character" w:styleId="CommentReference">
    <w:name w:val="annotation reference"/>
    <w:basedOn w:val="DefaultParagraphFont"/>
    <w:uiPriority w:val="99"/>
    <w:semiHidden/>
    <w:unhideWhenUsed/>
    <w:rsid w:val="00B00FC4"/>
    <w:rPr>
      <w:sz w:val="16"/>
      <w:szCs w:val="16"/>
    </w:rPr>
  </w:style>
  <w:style w:type="paragraph" w:styleId="CommentText">
    <w:name w:val="annotation text"/>
    <w:basedOn w:val="Normal"/>
    <w:link w:val="CommentTextChar"/>
    <w:uiPriority w:val="99"/>
    <w:unhideWhenUsed/>
    <w:rsid w:val="00B00FC4"/>
    <w:pPr>
      <w:spacing w:line="240" w:lineRule="auto"/>
    </w:pPr>
    <w:rPr>
      <w:sz w:val="20"/>
      <w:szCs w:val="20"/>
    </w:rPr>
  </w:style>
  <w:style w:type="character" w:customStyle="1" w:styleId="CommentTextChar">
    <w:name w:val="Comment Text Char"/>
    <w:basedOn w:val="DefaultParagraphFont"/>
    <w:link w:val="CommentText"/>
    <w:uiPriority w:val="99"/>
    <w:rsid w:val="00B00FC4"/>
    <w:rPr>
      <w:sz w:val="20"/>
      <w:szCs w:val="20"/>
    </w:rPr>
  </w:style>
  <w:style w:type="paragraph" w:styleId="CommentSubject">
    <w:name w:val="annotation subject"/>
    <w:basedOn w:val="CommentText"/>
    <w:next w:val="CommentText"/>
    <w:link w:val="CommentSubjectChar"/>
    <w:uiPriority w:val="99"/>
    <w:semiHidden/>
    <w:unhideWhenUsed/>
    <w:rsid w:val="00B00FC4"/>
    <w:rPr>
      <w:b/>
      <w:bCs/>
    </w:rPr>
  </w:style>
  <w:style w:type="character" w:customStyle="1" w:styleId="CommentSubjectChar">
    <w:name w:val="Comment Subject Char"/>
    <w:basedOn w:val="CommentTextChar"/>
    <w:link w:val="CommentSubject"/>
    <w:uiPriority w:val="99"/>
    <w:semiHidden/>
    <w:rsid w:val="00B00FC4"/>
    <w:rPr>
      <w:b/>
      <w:bCs/>
      <w:sz w:val="20"/>
      <w:szCs w:val="20"/>
    </w:rPr>
  </w:style>
  <w:style w:type="table" w:styleId="TableGrid">
    <w:name w:val="Table Grid"/>
    <w:basedOn w:val="TableNormal"/>
    <w:uiPriority w:val="39"/>
    <w:rsid w:val="00C6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28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28F4"/>
    <w:rPr>
      <w:sz w:val="20"/>
      <w:szCs w:val="20"/>
    </w:rPr>
  </w:style>
  <w:style w:type="character" w:styleId="FootnoteReference">
    <w:name w:val="footnote reference"/>
    <w:basedOn w:val="DefaultParagraphFont"/>
    <w:uiPriority w:val="99"/>
    <w:semiHidden/>
    <w:unhideWhenUsed/>
    <w:rsid w:val="00CA28F4"/>
    <w:rPr>
      <w:vertAlign w:val="superscript"/>
    </w:rPr>
  </w:style>
  <w:style w:type="character" w:styleId="Strong">
    <w:name w:val="Strong"/>
    <w:basedOn w:val="DefaultParagraphFont"/>
    <w:uiPriority w:val="22"/>
    <w:qFormat/>
    <w:rsid w:val="007B7010"/>
    <w:rPr>
      <w:b/>
      <w:bCs/>
    </w:rPr>
  </w:style>
  <w:style w:type="paragraph" w:styleId="Bibliography">
    <w:name w:val="Bibliography"/>
    <w:basedOn w:val="Normal"/>
    <w:next w:val="Normal"/>
    <w:uiPriority w:val="37"/>
    <w:unhideWhenUsed/>
    <w:rsid w:val="001C5E9F"/>
  </w:style>
  <w:style w:type="character" w:styleId="Hyperlink">
    <w:name w:val="Hyperlink"/>
    <w:basedOn w:val="DefaultParagraphFont"/>
    <w:uiPriority w:val="99"/>
    <w:unhideWhenUsed/>
    <w:rsid w:val="001C5E9F"/>
    <w:rPr>
      <w:color w:val="467886" w:themeColor="hyperlink"/>
      <w:u w:val="single"/>
    </w:rPr>
  </w:style>
  <w:style w:type="character" w:styleId="UnresolvedMention">
    <w:name w:val="Unresolved Mention"/>
    <w:basedOn w:val="DefaultParagraphFont"/>
    <w:uiPriority w:val="99"/>
    <w:semiHidden/>
    <w:unhideWhenUsed/>
    <w:rsid w:val="001C5E9F"/>
    <w:rPr>
      <w:color w:val="605E5C"/>
      <w:shd w:val="clear" w:color="auto" w:fill="E1DFDD"/>
    </w:rPr>
  </w:style>
  <w:style w:type="paragraph" w:styleId="NoSpacing">
    <w:name w:val="No Spacing"/>
    <w:link w:val="NoSpacingChar"/>
    <w:uiPriority w:val="1"/>
    <w:qFormat/>
    <w:rsid w:val="00661B51"/>
    <w:pPr>
      <w:spacing w:after="0" w:line="240" w:lineRule="auto"/>
    </w:pPr>
    <w:rPr>
      <w:rFonts w:eastAsiaTheme="minorEastAsia"/>
      <w:kern w:val="0"/>
      <w:lang w:eastAsia="en-IN"/>
      <w14:ligatures w14:val="none"/>
    </w:rPr>
  </w:style>
  <w:style w:type="character" w:customStyle="1" w:styleId="NoSpacingChar">
    <w:name w:val="No Spacing Char"/>
    <w:basedOn w:val="DefaultParagraphFont"/>
    <w:link w:val="NoSpacing"/>
    <w:uiPriority w:val="1"/>
    <w:rsid w:val="00661B51"/>
    <w:rPr>
      <w:rFonts w:eastAsiaTheme="minorEastAsia"/>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176">
      <w:bodyDiv w:val="1"/>
      <w:marLeft w:val="0"/>
      <w:marRight w:val="0"/>
      <w:marTop w:val="0"/>
      <w:marBottom w:val="0"/>
      <w:divBdr>
        <w:top w:val="none" w:sz="0" w:space="0" w:color="auto"/>
        <w:left w:val="none" w:sz="0" w:space="0" w:color="auto"/>
        <w:bottom w:val="none" w:sz="0" w:space="0" w:color="auto"/>
        <w:right w:val="none" w:sz="0" w:space="0" w:color="auto"/>
      </w:divBdr>
    </w:div>
    <w:div w:id="12534474">
      <w:bodyDiv w:val="1"/>
      <w:marLeft w:val="0"/>
      <w:marRight w:val="0"/>
      <w:marTop w:val="0"/>
      <w:marBottom w:val="0"/>
      <w:divBdr>
        <w:top w:val="none" w:sz="0" w:space="0" w:color="auto"/>
        <w:left w:val="none" w:sz="0" w:space="0" w:color="auto"/>
        <w:bottom w:val="none" w:sz="0" w:space="0" w:color="auto"/>
        <w:right w:val="none" w:sz="0" w:space="0" w:color="auto"/>
      </w:divBdr>
    </w:div>
    <w:div w:id="112479650">
      <w:bodyDiv w:val="1"/>
      <w:marLeft w:val="0"/>
      <w:marRight w:val="0"/>
      <w:marTop w:val="0"/>
      <w:marBottom w:val="0"/>
      <w:divBdr>
        <w:top w:val="none" w:sz="0" w:space="0" w:color="auto"/>
        <w:left w:val="none" w:sz="0" w:space="0" w:color="auto"/>
        <w:bottom w:val="none" w:sz="0" w:space="0" w:color="auto"/>
        <w:right w:val="none" w:sz="0" w:space="0" w:color="auto"/>
      </w:divBdr>
    </w:div>
    <w:div w:id="126970828">
      <w:bodyDiv w:val="1"/>
      <w:marLeft w:val="0"/>
      <w:marRight w:val="0"/>
      <w:marTop w:val="0"/>
      <w:marBottom w:val="0"/>
      <w:divBdr>
        <w:top w:val="none" w:sz="0" w:space="0" w:color="auto"/>
        <w:left w:val="none" w:sz="0" w:space="0" w:color="auto"/>
        <w:bottom w:val="none" w:sz="0" w:space="0" w:color="auto"/>
        <w:right w:val="none" w:sz="0" w:space="0" w:color="auto"/>
      </w:divBdr>
    </w:div>
    <w:div w:id="154224264">
      <w:bodyDiv w:val="1"/>
      <w:marLeft w:val="0"/>
      <w:marRight w:val="0"/>
      <w:marTop w:val="0"/>
      <w:marBottom w:val="0"/>
      <w:divBdr>
        <w:top w:val="none" w:sz="0" w:space="0" w:color="auto"/>
        <w:left w:val="none" w:sz="0" w:space="0" w:color="auto"/>
        <w:bottom w:val="none" w:sz="0" w:space="0" w:color="auto"/>
        <w:right w:val="none" w:sz="0" w:space="0" w:color="auto"/>
      </w:divBdr>
    </w:div>
    <w:div w:id="198982315">
      <w:bodyDiv w:val="1"/>
      <w:marLeft w:val="0"/>
      <w:marRight w:val="0"/>
      <w:marTop w:val="0"/>
      <w:marBottom w:val="0"/>
      <w:divBdr>
        <w:top w:val="none" w:sz="0" w:space="0" w:color="auto"/>
        <w:left w:val="none" w:sz="0" w:space="0" w:color="auto"/>
        <w:bottom w:val="none" w:sz="0" w:space="0" w:color="auto"/>
        <w:right w:val="none" w:sz="0" w:space="0" w:color="auto"/>
      </w:divBdr>
    </w:div>
    <w:div w:id="304971519">
      <w:bodyDiv w:val="1"/>
      <w:marLeft w:val="0"/>
      <w:marRight w:val="0"/>
      <w:marTop w:val="0"/>
      <w:marBottom w:val="0"/>
      <w:divBdr>
        <w:top w:val="none" w:sz="0" w:space="0" w:color="auto"/>
        <w:left w:val="none" w:sz="0" w:space="0" w:color="auto"/>
        <w:bottom w:val="none" w:sz="0" w:space="0" w:color="auto"/>
        <w:right w:val="none" w:sz="0" w:space="0" w:color="auto"/>
      </w:divBdr>
    </w:div>
    <w:div w:id="355160691">
      <w:bodyDiv w:val="1"/>
      <w:marLeft w:val="0"/>
      <w:marRight w:val="0"/>
      <w:marTop w:val="0"/>
      <w:marBottom w:val="0"/>
      <w:divBdr>
        <w:top w:val="none" w:sz="0" w:space="0" w:color="auto"/>
        <w:left w:val="none" w:sz="0" w:space="0" w:color="auto"/>
        <w:bottom w:val="none" w:sz="0" w:space="0" w:color="auto"/>
        <w:right w:val="none" w:sz="0" w:space="0" w:color="auto"/>
      </w:divBdr>
    </w:div>
    <w:div w:id="408581440">
      <w:bodyDiv w:val="1"/>
      <w:marLeft w:val="0"/>
      <w:marRight w:val="0"/>
      <w:marTop w:val="0"/>
      <w:marBottom w:val="0"/>
      <w:divBdr>
        <w:top w:val="none" w:sz="0" w:space="0" w:color="auto"/>
        <w:left w:val="none" w:sz="0" w:space="0" w:color="auto"/>
        <w:bottom w:val="none" w:sz="0" w:space="0" w:color="auto"/>
        <w:right w:val="none" w:sz="0" w:space="0" w:color="auto"/>
      </w:divBdr>
    </w:div>
    <w:div w:id="425537637">
      <w:bodyDiv w:val="1"/>
      <w:marLeft w:val="0"/>
      <w:marRight w:val="0"/>
      <w:marTop w:val="0"/>
      <w:marBottom w:val="0"/>
      <w:divBdr>
        <w:top w:val="none" w:sz="0" w:space="0" w:color="auto"/>
        <w:left w:val="none" w:sz="0" w:space="0" w:color="auto"/>
        <w:bottom w:val="none" w:sz="0" w:space="0" w:color="auto"/>
        <w:right w:val="none" w:sz="0" w:space="0" w:color="auto"/>
      </w:divBdr>
    </w:div>
    <w:div w:id="457067775">
      <w:bodyDiv w:val="1"/>
      <w:marLeft w:val="0"/>
      <w:marRight w:val="0"/>
      <w:marTop w:val="0"/>
      <w:marBottom w:val="0"/>
      <w:divBdr>
        <w:top w:val="none" w:sz="0" w:space="0" w:color="auto"/>
        <w:left w:val="none" w:sz="0" w:space="0" w:color="auto"/>
        <w:bottom w:val="none" w:sz="0" w:space="0" w:color="auto"/>
        <w:right w:val="none" w:sz="0" w:space="0" w:color="auto"/>
      </w:divBdr>
    </w:div>
    <w:div w:id="542451585">
      <w:bodyDiv w:val="1"/>
      <w:marLeft w:val="0"/>
      <w:marRight w:val="0"/>
      <w:marTop w:val="0"/>
      <w:marBottom w:val="0"/>
      <w:divBdr>
        <w:top w:val="none" w:sz="0" w:space="0" w:color="auto"/>
        <w:left w:val="none" w:sz="0" w:space="0" w:color="auto"/>
        <w:bottom w:val="none" w:sz="0" w:space="0" w:color="auto"/>
        <w:right w:val="none" w:sz="0" w:space="0" w:color="auto"/>
      </w:divBdr>
    </w:div>
    <w:div w:id="572786239">
      <w:bodyDiv w:val="1"/>
      <w:marLeft w:val="0"/>
      <w:marRight w:val="0"/>
      <w:marTop w:val="0"/>
      <w:marBottom w:val="0"/>
      <w:divBdr>
        <w:top w:val="none" w:sz="0" w:space="0" w:color="auto"/>
        <w:left w:val="none" w:sz="0" w:space="0" w:color="auto"/>
        <w:bottom w:val="none" w:sz="0" w:space="0" w:color="auto"/>
        <w:right w:val="none" w:sz="0" w:space="0" w:color="auto"/>
      </w:divBdr>
    </w:div>
    <w:div w:id="584148313">
      <w:bodyDiv w:val="1"/>
      <w:marLeft w:val="0"/>
      <w:marRight w:val="0"/>
      <w:marTop w:val="0"/>
      <w:marBottom w:val="0"/>
      <w:divBdr>
        <w:top w:val="none" w:sz="0" w:space="0" w:color="auto"/>
        <w:left w:val="none" w:sz="0" w:space="0" w:color="auto"/>
        <w:bottom w:val="none" w:sz="0" w:space="0" w:color="auto"/>
        <w:right w:val="none" w:sz="0" w:space="0" w:color="auto"/>
      </w:divBdr>
    </w:div>
    <w:div w:id="697387447">
      <w:bodyDiv w:val="1"/>
      <w:marLeft w:val="0"/>
      <w:marRight w:val="0"/>
      <w:marTop w:val="0"/>
      <w:marBottom w:val="0"/>
      <w:divBdr>
        <w:top w:val="none" w:sz="0" w:space="0" w:color="auto"/>
        <w:left w:val="none" w:sz="0" w:space="0" w:color="auto"/>
        <w:bottom w:val="none" w:sz="0" w:space="0" w:color="auto"/>
        <w:right w:val="none" w:sz="0" w:space="0" w:color="auto"/>
      </w:divBdr>
    </w:div>
    <w:div w:id="799419026">
      <w:bodyDiv w:val="1"/>
      <w:marLeft w:val="0"/>
      <w:marRight w:val="0"/>
      <w:marTop w:val="0"/>
      <w:marBottom w:val="0"/>
      <w:divBdr>
        <w:top w:val="none" w:sz="0" w:space="0" w:color="auto"/>
        <w:left w:val="none" w:sz="0" w:space="0" w:color="auto"/>
        <w:bottom w:val="none" w:sz="0" w:space="0" w:color="auto"/>
        <w:right w:val="none" w:sz="0" w:space="0" w:color="auto"/>
      </w:divBdr>
    </w:div>
    <w:div w:id="856769894">
      <w:bodyDiv w:val="1"/>
      <w:marLeft w:val="0"/>
      <w:marRight w:val="0"/>
      <w:marTop w:val="0"/>
      <w:marBottom w:val="0"/>
      <w:divBdr>
        <w:top w:val="none" w:sz="0" w:space="0" w:color="auto"/>
        <w:left w:val="none" w:sz="0" w:space="0" w:color="auto"/>
        <w:bottom w:val="none" w:sz="0" w:space="0" w:color="auto"/>
        <w:right w:val="none" w:sz="0" w:space="0" w:color="auto"/>
      </w:divBdr>
    </w:div>
    <w:div w:id="923689473">
      <w:bodyDiv w:val="1"/>
      <w:marLeft w:val="0"/>
      <w:marRight w:val="0"/>
      <w:marTop w:val="0"/>
      <w:marBottom w:val="0"/>
      <w:divBdr>
        <w:top w:val="none" w:sz="0" w:space="0" w:color="auto"/>
        <w:left w:val="none" w:sz="0" w:space="0" w:color="auto"/>
        <w:bottom w:val="none" w:sz="0" w:space="0" w:color="auto"/>
        <w:right w:val="none" w:sz="0" w:space="0" w:color="auto"/>
      </w:divBdr>
    </w:div>
    <w:div w:id="1023900256">
      <w:bodyDiv w:val="1"/>
      <w:marLeft w:val="0"/>
      <w:marRight w:val="0"/>
      <w:marTop w:val="0"/>
      <w:marBottom w:val="0"/>
      <w:divBdr>
        <w:top w:val="none" w:sz="0" w:space="0" w:color="auto"/>
        <w:left w:val="none" w:sz="0" w:space="0" w:color="auto"/>
        <w:bottom w:val="none" w:sz="0" w:space="0" w:color="auto"/>
        <w:right w:val="none" w:sz="0" w:space="0" w:color="auto"/>
      </w:divBdr>
    </w:div>
    <w:div w:id="1097482183">
      <w:bodyDiv w:val="1"/>
      <w:marLeft w:val="0"/>
      <w:marRight w:val="0"/>
      <w:marTop w:val="0"/>
      <w:marBottom w:val="0"/>
      <w:divBdr>
        <w:top w:val="none" w:sz="0" w:space="0" w:color="auto"/>
        <w:left w:val="none" w:sz="0" w:space="0" w:color="auto"/>
        <w:bottom w:val="none" w:sz="0" w:space="0" w:color="auto"/>
        <w:right w:val="none" w:sz="0" w:space="0" w:color="auto"/>
      </w:divBdr>
    </w:div>
    <w:div w:id="1187599574">
      <w:bodyDiv w:val="1"/>
      <w:marLeft w:val="0"/>
      <w:marRight w:val="0"/>
      <w:marTop w:val="0"/>
      <w:marBottom w:val="0"/>
      <w:divBdr>
        <w:top w:val="none" w:sz="0" w:space="0" w:color="auto"/>
        <w:left w:val="none" w:sz="0" w:space="0" w:color="auto"/>
        <w:bottom w:val="none" w:sz="0" w:space="0" w:color="auto"/>
        <w:right w:val="none" w:sz="0" w:space="0" w:color="auto"/>
      </w:divBdr>
    </w:div>
    <w:div w:id="1213082740">
      <w:bodyDiv w:val="1"/>
      <w:marLeft w:val="0"/>
      <w:marRight w:val="0"/>
      <w:marTop w:val="0"/>
      <w:marBottom w:val="0"/>
      <w:divBdr>
        <w:top w:val="none" w:sz="0" w:space="0" w:color="auto"/>
        <w:left w:val="none" w:sz="0" w:space="0" w:color="auto"/>
        <w:bottom w:val="none" w:sz="0" w:space="0" w:color="auto"/>
        <w:right w:val="none" w:sz="0" w:space="0" w:color="auto"/>
      </w:divBdr>
    </w:div>
    <w:div w:id="1229538747">
      <w:bodyDiv w:val="1"/>
      <w:marLeft w:val="0"/>
      <w:marRight w:val="0"/>
      <w:marTop w:val="0"/>
      <w:marBottom w:val="0"/>
      <w:divBdr>
        <w:top w:val="none" w:sz="0" w:space="0" w:color="auto"/>
        <w:left w:val="none" w:sz="0" w:space="0" w:color="auto"/>
        <w:bottom w:val="none" w:sz="0" w:space="0" w:color="auto"/>
        <w:right w:val="none" w:sz="0" w:space="0" w:color="auto"/>
      </w:divBdr>
    </w:div>
    <w:div w:id="1252742474">
      <w:bodyDiv w:val="1"/>
      <w:marLeft w:val="0"/>
      <w:marRight w:val="0"/>
      <w:marTop w:val="0"/>
      <w:marBottom w:val="0"/>
      <w:divBdr>
        <w:top w:val="none" w:sz="0" w:space="0" w:color="auto"/>
        <w:left w:val="none" w:sz="0" w:space="0" w:color="auto"/>
        <w:bottom w:val="none" w:sz="0" w:space="0" w:color="auto"/>
        <w:right w:val="none" w:sz="0" w:space="0" w:color="auto"/>
      </w:divBdr>
    </w:div>
    <w:div w:id="1275096011">
      <w:bodyDiv w:val="1"/>
      <w:marLeft w:val="0"/>
      <w:marRight w:val="0"/>
      <w:marTop w:val="0"/>
      <w:marBottom w:val="0"/>
      <w:divBdr>
        <w:top w:val="none" w:sz="0" w:space="0" w:color="auto"/>
        <w:left w:val="none" w:sz="0" w:space="0" w:color="auto"/>
        <w:bottom w:val="none" w:sz="0" w:space="0" w:color="auto"/>
        <w:right w:val="none" w:sz="0" w:space="0" w:color="auto"/>
      </w:divBdr>
    </w:div>
    <w:div w:id="1373118162">
      <w:bodyDiv w:val="1"/>
      <w:marLeft w:val="0"/>
      <w:marRight w:val="0"/>
      <w:marTop w:val="0"/>
      <w:marBottom w:val="0"/>
      <w:divBdr>
        <w:top w:val="none" w:sz="0" w:space="0" w:color="auto"/>
        <w:left w:val="none" w:sz="0" w:space="0" w:color="auto"/>
        <w:bottom w:val="none" w:sz="0" w:space="0" w:color="auto"/>
        <w:right w:val="none" w:sz="0" w:space="0" w:color="auto"/>
      </w:divBdr>
    </w:div>
    <w:div w:id="1395079973">
      <w:bodyDiv w:val="1"/>
      <w:marLeft w:val="0"/>
      <w:marRight w:val="0"/>
      <w:marTop w:val="0"/>
      <w:marBottom w:val="0"/>
      <w:divBdr>
        <w:top w:val="none" w:sz="0" w:space="0" w:color="auto"/>
        <w:left w:val="none" w:sz="0" w:space="0" w:color="auto"/>
        <w:bottom w:val="none" w:sz="0" w:space="0" w:color="auto"/>
        <w:right w:val="none" w:sz="0" w:space="0" w:color="auto"/>
      </w:divBdr>
    </w:div>
    <w:div w:id="1425955577">
      <w:bodyDiv w:val="1"/>
      <w:marLeft w:val="0"/>
      <w:marRight w:val="0"/>
      <w:marTop w:val="0"/>
      <w:marBottom w:val="0"/>
      <w:divBdr>
        <w:top w:val="none" w:sz="0" w:space="0" w:color="auto"/>
        <w:left w:val="none" w:sz="0" w:space="0" w:color="auto"/>
        <w:bottom w:val="none" w:sz="0" w:space="0" w:color="auto"/>
        <w:right w:val="none" w:sz="0" w:space="0" w:color="auto"/>
      </w:divBdr>
    </w:div>
    <w:div w:id="1446731079">
      <w:bodyDiv w:val="1"/>
      <w:marLeft w:val="0"/>
      <w:marRight w:val="0"/>
      <w:marTop w:val="0"/>
      <w:marBottom w:val="0"/>
      <w:divBdr>
        <w:top w:val="none" w:sz="0" w:space="0" w:color="auto"/>
        <w:left w:val="none" w:sz="0" w:space="0" w:color="auto"/>
        <w:bottom w:val="none" w:sz="0" w:space="0" w:color="auto"/>
        <w:right w:val="none" w:sz="0" w:space="0" w:color="auto"/>
      </w:divBdr>
    </w:div>
    <w:div w:id="1481536579">
      <w:bodyDiv w:val="1"/>
      <w:marLeft w:val="0"/>
      <w:marRight w:val="0"/>
      <w:marTop w:val="0"/>
      <w:marBottom w:val="0"/>
      <w:divBdr>
        <w:top w:val="none" w:sz="0" w:space="0" w:color="auto"/>
        <w:left w:val="none" w:sz="0" w:space="0" w:color="auto"/>
        <w:bottom w:val="none" w:sz="0" w:space="0" w:color="auto"/>
        <w:right w:val="none" w:sz="0" w:space="0" w:color="auto"/>
      </w:divBdr>
    </w:div>
    <w:div w:id="1578857567">
      <w:bodyDiv w:val="1"/>
      <w:marLeft w:val="0"/>
      <w:marRight w:val="0"/>
      <w:marTop w:val="0"/>
      <w:marBottom w:val="0"/>
      <w:divBdr>
        <w:top w:val="none" w:sz="0" w:space="0" w:color="auto"/>
        <w:left w:val="none" w:sz="0" w:space="0" w:color="auto"/>
        <w:bottom w:val="none" w:sz="0" w:space="0" w:color="auto"/>
        <w:right w:val="none" w:sz="0" w:space="0" w:color="auto"/>
      </w:divBdr>
    </w:div>
    <w:div w:id="1599218789">
      <w:bodyDiv w:val="1"/>
      <w:marLeft w:val="0"/>
      <w:marRight w:val="0"/>
      <w:marTop w:val="0"/>
      <w:marBottom w:val="0"/>
      <w:divBdr>
        <w:top w:val="none" w:sz="0" w:space="0" w:color="auto"/>
        <w:left w:val="none" w:sz="0" w:space="0" w:color="auto"/>
        <w:bottom w:val="none" w:sz="0" w:space="0" w:color="auto"/>
        <w:right w:val="none" w:sz="0" w:space="0" w:color="auto"/>
      </w:divBdr>
    </w:div>
    <w:div w:id="1608662583">
      <w:bodyDiv w:val="1"/>
      <w:marLeft w:val="0"/>
      <w:marRight w:val="0"/>
      <w:marTop w:val="0"/>
      <w:marBottom w:val="0"/>
      <w:divBdr>
        <w:top w:val="none" w:sz="0" w:space="0" w:color="auto"/>
        <w:left w:val="none" w:sz="0" w:space="0" w:color="auto"/>
        <w:bottom w:val="none" w:sz="0" w:space="0" w:color="auto"/>
        <w:right w:val="none" w:sz="0" w:space="0" w:color="auto"/>
      </w:divBdr>
    </w:div>
    <w:div w:id="1652978142">
      <w:bodyDiv w:val="1"/>
      <w:marLeft w:val="0"/>
      <w:marRight w:val="0"/>
      <w:marTop w:val="0"/>
      <w:marBottom w:val="0"/>
      <w:divBdr>
        <w:top w:val="none" w:sz="0" w:space="0" w:color="auto"/>
        <w:left w:val="none" w:sz="0" w:space="0" w:color="auto"/>
        <w:bottom w:val="none" w:sz="0" w:space="0" w:color="auto"/>
        <w:right w:val="none" w:sz="0" w:space="0" w:color="auto"/>
      </w:divBdr>
    </w:div>
    <w:div w:id="1758087744">
      <w:bodyDiv w:val="1"/>
      <w:marLeft w:val="0"/>
      <w:marRight w:val="0"/>
      <w:marTop w:val="0"/>
      <w:marBottom w:val="0"/>
      <w:divBdr>
        <w:top w:val="none" w:sz="0" w:space="0" w:color="auto"/>
        <w:left w:val="none" w:sz="0" w:space="0" w:color="auto"/>
        <w:bottom w:val="none" w:sz="0" w:space="0" w:color="auto"/>
        <w:right w:val="none" w:sz="0" w:space="0" w:color="auto"/>
      </w:divBdr>
    </w:div>
    <w:div w:id="1856575894">
      <w:bodyDiv w:val="1"/>
      <w:marLeft w:val="0"/>
      <w:marRight w:val="0"/>
      <w:marTop w:val="0"/>
      <w:marBottom w:val="0"/>
      <w:divBdr>
        <w:top w:val="none" w:sz="0" w:space="0" w:color="auto"/>
        <w:left w:val="none" w:sz="0" w:space="0" w:color="auto"/>
        <w:bottom w:val="none" w:sz="0" w:space="0" w:color="auto"/>
        <w:right w:val="none" w:sz="0" w:space="0" w:color="auto"/>
      </w:divBdr>
    </w:div>
    <w:div w:id="1972051731">
      <w:bodyDiv w:val="1"/>
      <w:marLeft w:val="0"/>
      <w:marRight w:val="0"/>
      <w:marTop w:val="0"/>
      <w:marBottom w:val="0"/>
      <w:divBdr>
        <w:top w:val="none" w:sz="0" w:space="0" w:color="auto"/>
        <w:left w:val="none" w:sz="0" w:space="0" w:color="auto"/>
        <w:bottom w:val="none" w:sz="0" w:space="0" w:color="auto"/>
        <w:right w:val="none" w:sz="0" w:space="0" w:color="auto"/>
      </w:divBdr>
    </w:div>
    <w:div w:id="1972707322">
      <w:bodyDiv w:val="1"/>
      <w:marLeft w:val="0"/>
      <w:marRight w:val="0"/>
      <w:marTop w:val="0"/>
      <w:marBottom w:val="0"/>
      <w:divBdr>
        <w:top w:val="none" w:sz="0" w:space="0" w:color="auto"/>
        <w:left w:val="none" w:sz="0" w:space="0" w:color="auto"/>
        <w:bottom w:val="none" w:sz="0" w:space="0" w:color="auto"/>
        <w:right w:val="none" w:sz="0" w:space="0" w:color="auto"/>
      </w:divBdr>
    </w:div>
    <w:div w:id="1996104965">
      <w:bodyDiv w:val="1"/>
      <w:marLeft w:val="0"/>
      <w:marRight w:val="0"/>
      <w:marTop w:val="0"/>
      <w:marBottom w:val="0"/>
      <w:divBdr>
        <w:top w:val="none" w:sz="0" w:space="0" w:color="auto"/>
        <w:left w:val="none" w:sz="0" w:space="0" w:color="auto"/>
        <w:bottom w:val="none" w:sz="0" w:space="0" w:color="auto"/>
        <w:right w:val="none" w:sz="0" w:space="0" w:color="auto"/>
      </w:divBdr>
    </w:div>
    <w:div w:id="2096435133">
      <w:bodyDiv w:val="1"/>
      <w:marLeft w:val="0"/>
      <w:marRight w:val="0"/>
      <w:marTop w:val="0"/>
      <w:marBottom w:val="0"/>
      <w:divBdr>
        <w:top w:val="none" w:sz="0" w:space="0" w:color="auto"/>
        <w:left w:val="none" w:sz="0" w:space="0" w:color="auto"/>
        <w:bottom w:val="none" w:sz="0" w:space="0" w:color="auto"/>
        <w:right w:val="none" w:sz="0" w:space="0" w:color="auto"/>
      </w:divBdr>
    </w:div>
    <w:div w:id="2120637686">
      <w:bodyDiv w:val="1"/>
      <w:marLeft w:val="0"/>
      <w:marRight w:val="0"/>
      <w:marTop w:val="0"/>
      <w:marBottom w:val="0"/>
      <w:divBdr>
        <w:top w:val="none" w:sz="0" w:space="0" w:color="auto"/>
        <w:left w:val="none" w:sz="0" w:space="0" w:color="auto"/>
        <w:bottom w:val="none" w:sz="0" w:space="0" w:color="auto"/>
        <w:right w:val="none" w:sz="0" w:space="0" w:color="auto"/>
      </w:divBdr>
    </w:div>
    <w:div w:id="2134666939">
      <w:bodyDiv w:val="1"/>
      <w:marLeft w:val="0"/>
      <w:marRight w:val="0"/>
      <w:marTop w:val="0"/>
      <w:marBottom w:val="0"/>
      <w:divBdr>
        <w:top w:val="none" w:sz="0" w:space="0" w:color="auto"/>
        <w:left w:val="none" w:sz="0" w:space="0" w:color="auto"/>
        <w:bottom w:val="none" w:sz="0" w:space="0" w:color="auto"/>
        <w:right w:val="none" w:sz="0" w:space="0" w:color="auto"/>
      </w:divBdr>
    </w:div>
    <w:div w:id="21385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f.org" TargetMode="External"/><Relationship Id="rId18" Type="http://schemas.openxmlformats.org/officeDocument/2006/relationships/hyperlink" Target="http://www.bcb.gov.br"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worldbank.org" TargetMode="External"/><Relationship Id="rId17" Type="http://schemas.openxmlformats.org/officeDocument/2006/relationships/hyperlink" Target="http://www.ecb.europa.e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ederalreserve.g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governmentbonds.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mofcom.gov.cn" TargetMode="External"/><Relationship Id="rId23" Type="http://schemas.openxmlformats.org/officeDocument/2006/relationships/header" Target="header3.xml"/><Relationship Id="rId10" Type="http://schemas.openxmlformats.org/officeDocument/2006/relationships/hyperlink" Target="http://www.fitchratings.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oodys.com" TargetMode="External"/><Relationship Id="rId14" Type="http://schemas.openxmlformats.org/officeDocument/2006/relationships/hyperlink" Target="http://www.bea.gov"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A2E80F4B0F44238FB9626365AF974A"/>
        <w:category>
          <w:name w:val="General"/>
          <w:gallery w:val="placeholder"/>
        </w:category>
        <w:types>
          <w:type w:val="bbPlcHdr"/>
        </w:types>
        <w:behaviors>
          <w:behavior w:val="content"/>
        </w:behaviors>
        <w:guid w:val="{8E8566B0-494A-44E5-B390-2E1E3341CEE5}"/>
      </w:docPartPr>
      <w:docPartBody>
        <w:p w:rsidR="004C3CBA" w:rsidRDefault="00656E20" w:rsidP="00656E20">
          <w:pPr>
            <w:pStyle w:val="3AA2E80F4B0F44238FB9626365AF974A"/>
          </w:pPr>
          <w:r>
            <w:rPr>
              <w:color w:val="0F4761" w:themeColor="accent1" w:themeShade="BF"/>
              <w:lang w:val="en-GB"/>
            </w:rPr>
            <w:t>[Company name]</w:t>
          </w:r>
        </w:p>
      </w:docPartBody>
    </w:docPart>
    <w:docPart>
      <w:docPartPr>
        <w:name w:val="095D997A72E84AB6BEE5A576A0626FED"/>
        <w:category>
          <w:name w:val="General"/>
          <w:gallery w:val="placeholder"/>
        </w:category>
        <w:types>
          <w:type w:val="bbPlcHdr"/>
        </w:types>
        <w:behaviors>
          <w:behavior w:val="content"/>
        </w:behaviors>
        <w:guid w:val="{E458072B-B408-4FCA-8147-FDED8DC4ED6C}"/>
      </w:docPartPr>
      <w:docPartBody>
        <w:p w:rsidR="004C3CBA" w:rsidRDefault="00656E20" w:rsidP="00656E20">
          <w:pPr>
            <w:pStyle w:val="095D997A72E84AB6BEE5A576A0626FED"/>
          </w:pPr>
          <w:r>
            <w:rPr>
              <w:rFonts w:asciiTheme="majorHAnsi" w:eastAsiaTheme="majorEastAsia" w:hAnsiTheme="majorHAnsi" w:cstheme="majorBidi"/>
              <w:color w:val="156082" w:themeColor="accent1"/>
              <w:sz w:val="88"/>
              <w:szCs w:val="88"/>
              <w:lang w:val="en-GB"/>
            </w:rPr>
            <w:t>[Document title]</w:t>
          </w:r>
        </w:p>
      </w:docPartBody>
    </w:docPart>
    <w:docPart>
      <w:docPartPr>
        <w:name w:val="A8008A1DEAFA4C6684C5A7BC65658EDF"/>
        <w:category>
          <w:name w:val="General"/>
          <w:gallery w:val="placeholder"/>
        </w:category>
        <w:types>
          <w:type w:val="bbPlcHdr"/>
        </w:types>
        <w:behaviors>
          <w:behavior w:val="content"/>
        </w:behaviors>
        <w:guid w:val="{0AA41B5F-FF95-450F-B094-1F8BAFE31138}"/>
      </w:docPartPr>
      <w:docPartBody>
        <w:p w:rsidR="004C3CBA" w:rsidRDefault="00656E20" w:rsidP="00656E20">
          <w:pPr>
            <w:pStyle w:val="A8008A1DEAFA4C6684C5A7BC65658EDF"/>
          </w:pPr>
          <w:r>
            <w:rPr>
              <w:color w:val="0F4761" w:themeColor="accent1" w:themeShade="BF"/>
              <w:lang w:val="en-GB"/>
            </w:rPr>
            <w:t>[Document subtitle]</w:t>
          </w:r>
        </w:p>
      </w:docPartBody>
    </w:docPart>
    <w:docPart>
      <w:docPartPr>
        <w:name w:val="8322FEB739EA4CD18A75C6829822A93A"/>
        <w:category>
          <w:name w:val="General"/>
          <w:gallery w:val="placeholder"/>
        </w:category>
        <w:types>
          <w:type w:val="bbPlcHdr"/>
        </w:types>
        <w:behaviors>
          <w:behavior w:val="content"/>
        </w:behaviors>
        <w:guid w:val="{92F5D272-2C48-4480-920B-2EB354A1E999}"/>
      </w:docPartPr>
      <w:docPartBody>
        <w:p w:rsidR="004C3CBA" w:rsidRDefault="00656E20" w:rsidP="00656E20">
          <w:pPr>
            <w:pStyle w:val="8322FEB739EA4CD18A75C6829822A93A"/>
          </w:pPr>
          <w:r>
            <w:rPr>
              <w:color w:val="156082" w:themeColor="accent1"/>
              <w:sz w:val="28"/>
              <w:szCs w:val="28"/>
              <w:lang w:val="en-GB"/>
            </w:rPr>
            <w:t>[Author name]</w:t>
          </w:r>
        </w:p>
      </w:docPartBody>
    </w:docPart>
    <w:docPart>
      <w:docPartPr>
        <w:name w:val="C8753C20223049328D9EE790CEA4DF65"/>
        <w:category>
          <w:name w:val="General"/>
          <w:gallery w:val="placeholder"/>
        </w:category>
        <w:types>
          <w:type w:val="bbPlcHdr"/>
        </w:types>
        <w:behaviors>
          <w:behavior w:val="content"/>
        </w:behaviors>
        <w:guid w:val="{0CCF93AD-2233-4CA3-A324-B11D6E473F78}"/>
      </w:docPartPr>
      <w:docPartBody>
        <w:p w:rsidR="004C3CBA" w:rsidRDefault="00656E20" w:rsidP="00656E20">
          <w:pPr>
            <w:pStyle w:val="C8753C20223049328D9EE790CEA4DF65"/>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20"/>
    <w:rsid w:val="0016791E"/>
    <w:rsid w:val="00392045"/>
    <w:rsid w:val="003A7CFD"/>
    <w:rsid w:val="00415B78"/>
    <w:rsid w:val="004C3CBA"/>
    <w:rsid w:val="005D6375"/>
    <w:rsid w:val="00656E20"/>
    <w:rsid w:val="007A1E26"/>
    <w:rsid w:val="00A27BED"/>
    <w:rsid w:val="00BF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2E80F4B0F44238FB9626365AF974A">
    <w:name w:val="3AA2E80F4B0F44238FB9626365AF974A"/>
    <w:rsid w:val="00656E20"/>
  </w:style>
  <w:style w:type="paragraph" w:customStyle="1" w:styleId="095D997A72E84AB6BEE5A576A0626FED">
    <w:name w:val="095D997A72E84AB6BEE5A576A0626FED"/>
    <w:rsid w:val="00656E20"/>
  </w:style>
  <w:style w:type="paragraph" w:customStyle="1" w:styleId="A8008A1DEAFA4C6684C5A7BC65658EDF">
    <w:name w:val="A8008A1DEAFA4C6684C5A7BC65658EDF"/>
    <w:rsid w:val="00656E20"/>
  </w:style>
  <w:style w:type="paragraph" w:customStyle="1" w:styleId="8322FEB739EA4CD18A75C6829822A93A">
    <w:name w:val="8322FEB739EA4CD18A75C6829822A93A"/>
    <w:rsid w:val="00656E20"/>
  </w:style>
  <w:style w:type="paragraph" w:customStyle="1" w:styleId="C8753C20223049328D9EE790CEA4DF65">
    <w:name w:val="C8753C20223049328D9EE790CEA4DF65"/>
    <w:rsid w:val="00656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SPC</b:Tag>
    <b:SourceType>Report</b:SourceType>
    <b:Guid>{B1C66071-2808-4C80-AAAC-ED62A6F0C973}</b:Guid>
    <b:Author>
      <b:Author>
        <b:NameList>
          <b:Person>
            <b:Last>IQ</b:Last>
            <b:First>S&amp;P</b:First>
            <b:Middle>Capital</b:Middle>
          </b:Person>
        </b:NameList>
      </b:Author>
    </b:Author>
    <b:Title>Financial data, credit risk assessment, and credit health panel scores for Walmart Inc., Costco Wholesale Corporation, Alibaba Group Holding Limited, Carrefour S.A., and Magazine Luiza S.A. Retrieved from S&amp;P Capital IQ database.</b:Title>
    <b:RefOrder>1</b:RefOrder>
  </b:Source>
  <b:Source>
    <b:Tag>Moo</b:Tag>
    <b:SourceType>Report</b:SourceType>
    <b:Guid>{72468FCF-7B66-4A9D-AEF6-9C1BEED963B1}</b:Guid>
    <b:Author>
      <b:Author>
        <b:NameList>
          <b:Person>
            <b:Last>Services</b:Last>
            <b:First>Moody’s</b:First>
            <b:Middle>Investor</b:Middle>
          </b:Person>
        </b:NameList>
      </b:Author>
    </b:Author>
    <b:Title>Corporate credit ratings and credit outlook reports for retail sector companies</b:Title>
    <b:RefOrder>2</b:RefOrder>
  </b:Source>
  <b:Source>
    <b:Tag>Fit</b:Tag>
    <b:SourceType>Report</b:SourceType>
    <b:Guid>{269EA3E0-EC67-41E8-9894-55D305F8F03E}</b:Guid>
    <b:Author>
      <b:Author>
        <b:NameList>
          <b:Person>
            <b:Last>Ratings</b:Last>
            <b:First>Fitch</b:First>
          </b:Person>
        </b:NameList>
      </b:Author>
    </b:Author>
    <b:Title>Credit risk evaluations and rating methodologies applied to global retail firms.</b:Title>
    <b:RefOrder>3</b:RefOrder>
  </b:Source>
  <b:Source>
    <b:Tag>Wor</b:Tag>
    <b:SourceType>Report</b:SourceType>
    <b:Guid>{EE5599FB-59DB-43BD-8B62-7CAB4CC618BA}</b:Guid>
    <b:Author>
      <b:Author>
        <b:NameList>
          <b:Person>
            <b:Last>Bonds</b:Last>
            <b:First>World</b:First>
            <b:Middle>Government</b:Middle>
          </b:Person>
        </b:NameList>
      </b:Author>
    </b:Author>
    <b:Title>Interest rate and sovereign bond yield data impacting global retail financing conditions</b:Titl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7E249-28FB-4352-8E3F-73ED4BB1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41</Pages>
  <Words>6061</Words>
  <Characters>34551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40531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FIN7022: Credit Risk Management</dc:title>
  <dc:subject>Word Count (excluding footnotes, textboxes, appendix, references and endnotes): 4982</dc:subject>
  <dc:creator>Syed Yaseer Rahman - 40455377</dc:creator>
  <cp:keywords/>
  <dc:description/>
  <cp:lastModifiedBy>Syed Yaseer Rahman</cp:lastModifiedBy>
  <cp:revision>296</cp:revision>
  <dcterms:created xsi:type="dcterms:W3CDTF">2025-03-13T12:39:00Z</dcterms:created>
  <dcterms:modified xsi:type="dcterms:W3CDTF">2025-07-15T12:30:00Z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b30192f43ffa393dd6ef89bc9b29ddd5b0a9d909c082289c7ea5f3d17edcfecb</vt:lpwstr>
  </property>
</Properties>
</file>