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rPr>
        <w:t xml:space="preserve">Fictional RFP: Riyadh Smart Parking Operations Platform</w:t>
      </w:r>
    </w:p>
    <w:p>
      <w:pPr>
        <w:spacing w:after="180"/>
      </w:pPr>
      <w:r>
        <w:rPr>
          <w:b w:val="false"/>
          <w:bCs w:val="false"/>
        </w:rPr>
        <w:t xml:space="preserve">Issuer: Riyadh Municipal Mobility Office   Reference: RMMO-SP-2026-014   Submission deadline: 15 August 2026</w:t>
      </w:r>
    </w:p>
    <w:p>
      <w:pPr>
        <w:spacing w:after="180"/>
      </w:pPr>
      <w:r>
        <w:rPr>
          <w:b w:val="false"/>
          <w:bCs w:val="false"/>
        </w:rPr>
        <w:t xml:space="preserve">Project Objective</w:t>
      </w:r>
    </w:p>
    <w:p>
      <w:pPr>
        <w:spacing w:after="180"/>
      </w:pPr>
      <w:r>
        <w:rPr>
          <w:b w:val="false"/>
          <w:bCs w:val="false"/>
        </w:rPr>
        <w:t xml:space="preserve">The municipality is procuring a hosted smart parking operations platform for curbside enforcement, resident permits, payment reconciliation, and live occupancy reporting across five pilot districts.</w:t>
      </w:r>
    </w:p>
    <w:p>
      <w:pPr>
        <w:spacing w:after="180"/>
      </w:pPr>
      <w:r>
        <w:rPr>
          <w:b w:val="false"/>
          <w:bCs w:val="false"/>
        </w:rPr>
        <w:t xml:space="preserve">Mandatory Requirements</w:t>
      </w:r>
    </w:p>
    <w:p>
      <w:pPr>
        <w:spacing w:after="180"/>
      </w:pPr>
      <w:r>
        <w:rPr>
          <w:b w:val="false"/>
          <w:bCs w:val="false"/>
        </w:rPr>
        <w:t xml:space="preserve">1. Bid security must equal 2% of the contract value and remain valid for at least 120 days from submission. 2. The operator portal, resident notification templates, and enforcement officer interface must support Arabic and English. 3. The hosted production service must achieve at least 99.5% monthly uptime, excluding scheduled maintenance approved 72 hours in advance. 4. The supplier must provide evidence of ISO 27001 certification, SOC 2 Type II, or an equivalent independent security audit completed within the last 18 months. 5. Production go-live for the five pilot districts must be completed no later than 30 September 2026. 6. All resident personal data and plate metadata must be stored in data centers physically located in the Kingdom of Saudi Arabia. 7. Critical production incidents must receive human response within 30 minutes, and standard support tickets must receive response within 4 business hours. 8. The platform must integrate with the municipal payment gateway and expose REST APIs for occupancy, permits, and violation status. 9. The supplier must deliver role-based training for at least 50 municipal staff before go-live. 10. The supplier must provide a quarterly sustainability report covering hosting energy profile and field device maintenance trips.</w:t>
      </w:r>
    </w:p>
    <w:p>
      <w:pPr>
        <w:spacing w:after="180"/>
      </w:pPr>
      <w:r>
        <w:rPr>
          <w:b w:val="false"/>
          <w:bCs w:val="false"/>
        </w:rPr>
        <w:t xml:space="preserve">Evaluation</w:t>
      </w:r>
    </w:p>
    <w:p>
      <w:pPr>
        <w:spacing w:after="180"/>
      </w:pPr>
      <w:r>
        <w:rPr>
          <w:b w:val="false"/>
          <w:bCs w:val="false"/>
        </w:rPr>
        <w:t xml:space="preserve">Technical compliance is weighted at 45%, delivery plan at 20%, commercial submission at 20%, and vendor risk at 15%. Proposals with unresolved mandatory requirement gaps may be rejected during compliance screening.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2026-06-27T22:44:30.107Z</dcterms:created>
  <dcterms:modified xsi:type="dcterms:W3CDTF">2026-06-27T22:44:30.108Z</dcterms:modified>
</cp:coreProperties>
</file>

<file path=docProps/custom.xml><?xml version="1.0" encoding="utf-8"?>
<Properties xmlns="http://schemas.openxmlformats.org/officeDocument/2006/custom-properties" xmlns:vt="http://schemas.openxmlformats.org/officeDocument/2006/docPropsVTypes"/>
</file>