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</w:pPr>
      <w:r>
        <w:rPr>
          <w:b/>
          <w:bCs/>
        </w:rPr>
        <w:t xml:space="preserve">Fictional Addendum: Technical Compliance Clarifications</w:t>
      </w:r>
    </w:p>
    <w:p>
      <w:pPr>
        <w:spacing w:after="180"/>
      </w:pPr>
      <w:r>
        <w:rPr>
          <w:b w:val="false"/>
          <w:bCs w:val="false"/>
        </w:rPr>
        <w:t xml:space="preserve">Respondent: Najm Urban Mobility Systems   Tender reference: RMMO-SP-2026-014</w:t>
      </w:r>
    </w:p>
    <w:p>
      <w:pPr>
        <w:spacing w:after="180"/>
      </w:pPr>
      <w:r>
        <w:rPr>
          <w:b w:val="false"/>
          <w:bCs w:val="false"/>
        </w:rPr>
        <w:t xml:space="preserve">Availability Commitment</w:t>
      </w:r>
    </w:p>
    <w:p>
      <w:pPr>
        <w:spacing w:after="180"/>
      </w:pPr>
      <w:r>
        <w:rPr>
          <w:b w:val="false"/>
          <w:bCs w:val="false"/>
        </w:rPr>
        <w:t xml:space="preserve">Najm commits to 99.5% monthly uptime for the hosted production service. Scheduled maintenance will be requested at least 72 hours in advance and targeted outside peak enforcement windows.</w:t>
      </w:r>
    </w:p>
    <w:p>
      <w:pPr>
        <w:spacing w:after="180"/>
      </w:pPr>
      <w:r>
        <w:rPr>
          <w:b w:val="false"/>
          <w:bCs w:val="false"/>
        </w:rPr>
        <w:t xml:space="preserve">Data Hosting</w:t>
      </w:r>
    </w:p>
    <w:p>
      <w:pPr>
        <w:spacing w:after="180"/>
      </w:pPr>
      <w:r>
        <w:rPr>
          <w:b w:val="false"/>
          <w:bCs w:val="false"/>
        </w:rPr>
        <w:t xml:space="preserve">Production resident permit records, vehicle plate metadata, payment references, and enforcement notes will be stored in a Riyadh cloud region. Backups will remain within the Kingdom of Saudi Arabia.</w:t>
      </w:r>
    </w:p>
    <w:p>
      <w:pPr>
        <w:spacing w:after="180"/>
      </w:pPr>
      <w:r>
        <w:rPr>
          <w:b w:val="false"/>
          <w:bCs w:val="false"/>
        </w:rPr>
        <w:t xml:space="preserve">Security Evidence</w:t>
      </w:r>
    </w:p>
    <w:p>
      <w:pPr>
        <w:spacing w:after="180"/>
      </w:pPr>
      <w:r>
        <w:rPr>
          <w:b w:val="false"/>
          <w:bCs w:val="false"/>
        </w:rPr>
        <w:t xml:space="preserve">Najm can provide the March 2026 independent penetration test executive summary under NDA. ISO 27001 certification is scheduled for final audit in Q4 2026 and is not yet issued.</w:t>
      </w:r>
    </w:p>
    <w:p>
      <w:pPr>
        <w:spacing w:after="180"/>
      </w:pPr>
      <w:r>
        <w:rPr>
          <w:b w:val="false"/>
          <w:bCs w:val="false"/>
        </w:rPr>
        <w:t xml:space="preserve">Incident Response</w:t>
      </w:r>
    </w:p>
    <w:p>
      <w:pPr>
        <w:spacing w:after="180"/>
      </w:pPr>
      <w:r>
        <w:rPr>
          <w:b w:val="false"/>
          <w:bCs w:val="false"/>
        </w:rPr>
        <w:t xml:space="preserve">Critical production incidents receive a named support engineer within 30 minutes. Standard support tickets receive first response within 4 business hours.</w:t>
      </w:r>
    </w:p>
    <w:p>
      <w:pPr>
        <w:spacing w:after="180"/>
      </w:pPr>
      <w:r>
        <w:rPr>
          <w:b w:val="false"/>
          <w:bCs w:val="false"/>
        </w:rPr>
        <w:t xml:space="preserve">Sustainability Reporting</w:t>
      </w:r>
    </w:p>
    <w:p>
      <w:pPr>
        <w:spacing w:after="180"/>
      </w:pPr>
      <w:r>
        <w:rPr>
          <w:b w:val="false"/>
          <w:bCs w:val="false"/>
        </w:rPr>
        <w:t xml:space="preserve">Najm will submit a quarterly sustainability report covering cloud hosting region energy profile, sensor maintenance trips, and avoided manual patrol estimates.</w:t>
      </w:r>
    </w:p>
    <w:p>
      <w:pPr>
        <w:spacing w:after="180"/>
      </w:pPr>
      <w:r>
        <w:rPr>
          <w:b w:val="false"/>
          <w:bCs w:val="false"/>
        </w:rPr>
        <w:t xml:space="preserve">Training Clarification</w:t>
      </w:r>
    </w:p>
    <w:p>
      <w:pPr>
        <w:spacing w:after="180"/>
      </w:pPr>
      <w:r>
        <w:rPr>
          <w:b w:val="false"/>
          <w:bCs w:val="false"/>
        </w:rPr>
        <w:t xml:space="preserve">The base proposal includes 40 named municipal trainees. Najm can add 10 additional trainees at no license cost if training is delivered remotely.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2026-06-27T22:44:30.120Z</dcterms:created>
  <dcterms:modified xsi:type="dcterms:W3CDTF">2026-06-27T22:44:30.120Z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