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3E5C" w:rsidP="0F19A6F4" w:rsidRDefault="00003E5C" w14:paraId="4FB4BEAA" w14:textId="631A0F59">
      <w:pPr>
        <w:spacing w:after="140" w:afterAutospacing="off" w:line="279" w:lineRule="auto"/>
        <w:ind w:left="0"/>
        <w:rPr>
          <w:rFonts w:ascii="Aptos" w:hAnsi="Aptos" w:eastAsia="Aptos" w:cs="Aptos"/>
          <w:b w:val="0"/>
          <w:bCs w:val="0"/>
          <w:i w:val="0"/>
          <w:iCs w:val="0"/>
          <w:caps w:val="0"/>
          <w:smallCaps w:val="0"/>
          <w:noProof w:val="0"/>
          <w:color w:val="000000" w:themeColor="text1" w:themeTint="FF" w:themeShade="FF"/>
          <w:sz w:val="16"/>
          <w:szCs w:val="16"/>
          <w:lang w:val="en-US"/>
        </w:rPr>
      </w:pPr>
      <w:r w:rsidRPr="541A7F44" w:rsidR="4E4C1AFF">
        <w:rPr>
          <w:rFonts w:ascii="Aptos" w:hAnsi="Aptos" w:eastAsia="Aptos" w:cs="Aptos"/>
          <w:b w:val="0"/>
          <w:bCs w:val="0"/>
          <w:i w:val="0"/>
          <w:iCs w:val="0"/>
          <w:caps w:val="0"/>
          <w:smallCaps w:val="0"/>
          <w:noProof w:val="0"/>
          <w:color w:val="000000" w:themeColor="text1" w:themeTint="FF" w:themeShade="FF"/>
          <w:sz w:val="16"/>
          <w:szCs w:val="16"/>
          <w:lang w:val="en-US"/>
        </w:rPr>
        <w:t>IND 972109</w:t>
      </w:r>
    </w:p>
    <w:p w:rsidR="19AC04C1" w:rsidP="541A7F44" w:rsidRDefault="19AC04C1" w14:paraId="5815D207" w14:textId="599A2267">
      <w:pPr>
        <w:pStyle w:val="Normal"/>
        <w:suppressLineNumbers w:val="0"/>
        <w:bidi w:val="0"/>
        <w:spacing w:before="0" w:beforeAutospacing="off" w:after="140" w:afterAutospacing="off" w:line="279" w:lineRule="auto"/>
        <w:ind w:left="0" w:right="0"/>
        <w:jc w:val="right"/>
      </w:pPr>
      <w:r w:rsidRPr="541A7F44" w:rsidR="19AC04C1">
        <w:rPr>
          <w:rFonts w:ascii="Aptos" w:hAnsi="Aptos" w:eastAsia="Aptos" w:cs="Aptos"/>
          <w:b w:val="0"/>
          <w:bCs w:val="0"/>
          <w:i w:val="0"/>
          <w:iCs w:val="0"/>
          <w:caps w:val="0"/>
          <w:smallCaps w:val="0"/>
          <w:noProof w:val="0"/>
          <w:color w:val="000000" w:themeColor="text1" w:themeTint="FF" w:themeShade="FF"/>
          <w:sz w:val="16"/>
          <w:szCs w:val="16"/>
          <w:lang w:val="en-US"/>
        </w:rPr>
        <w:t>Request for Information</w:t>
      </w:r>
    </w:p>
    <w:p w:rsidR="00003E5C" w:rsidP="0F19A6F4" w:rsidRDefault="00003E5C" w14:paraId="4033541C" w14:textId="0B30ACBA">
      <w:pPr>
        <w:spacing w:after="140" w:afterAutospacing="off" w:line="279" w:lineRule="auto"/>
        <w:ind w:left="0"/>
        <w:rPr>
          <w:rFonts w:ascii="Aptos" w:hAnsi="Aptos" w:eastAsia="Aptos" w:cs="Aptos"/>
          <w:b w:val="0"/>
          <w:bCs w:val="0"/>
          <w:i w:val="0"/>
          <w:iCs w:val="0"/>
          <w:caps w:val="0"/>
          <w:smallCaps w:val="0"/>
          <w:noProof w:val="0"/>
          <w:color w:val="000000" w:themeColor="text1" w:themeTint="FF" w:themeShade="FF"/>
          <w:sz w:val="16"/>
          <w:szCs w:val="16"/>
          <w:lang w:val="en-US"/>
        </w:rPr>
      </w:pPr>
      <w:r w:rsidRPr="0F19A6F4" w:rsidR="4E4C1AFF">
        <w:rPr>
          <w:rFonts w:ascii="Aptos" w:hAnsi="Aptos" w:eastAsia="Aptos" w:cs="Aptos"/>
          <w:b w:val="0"/>
          <w:bCs w:val="0"/>
          <w:i w:val="0"/>
          <w:iCs w:val="0"/>
          <w:caps w:val="0"/>
          <w:smallCaps w:val="0"/>
          <w:noProof w:val="0"/>
          <w:color w:val="000000" w:themeColor="text1" w:themeTint="FF" w:themeShade="FF"/>
          <w:sz w:val="16"/>
          <w:szCs w:val="16"/>
          <w:lang w:val="en-US"/>
        </w:rPr>
        <w:t>Atos-Syntel</w:t>
      </w:r>
    </w:p>
    <w:p w:rsidR="00003E5C" w:rsidP="0F19A6F4" w:rsidRDefault="00003E5C" w14:paraId="6896BCDD" w14:textId="563A839B">
      <w:pPr>
        <w:spacing w:after="140" w:afterAutospacing="off" w:line="279" w:lineRule="auto"/>
        <w:ind w:left="0"/>
        <w:rPr>
          <w:rFonts w:ascii="Aptos" w:hAnsi="Aptos" w:eastAsia="Aptos" w:cs="Aptos"/>
          <w:b w:val="0"/>
          <w:bCs w:val="0"/>
          <w:i w:val="0"/>
          <w:iCs w:val="0"/>
          <w:caps w:val="0"/>
          <w:smallCaps w:val="0"/>
          <w:noProof w:val="0"/>
          <w:color w:val="000000" w:themeColor="text1" w:themeTint="FF" w:themeShade="FF"/>
          <w:sz w:val="16"/>
          <w:szCs w:val="16"/>
          <w:lang w:val="en-US"/>
        </w:rPr>
      </w:pPr>
      <w:r w:rsidRPr="0F19A6F4" w:rsidR="4E4C1AFF">
        <w:rPr>
          <w:rFonts w:ascii="Aptos" w:hAnsi="Aptos" w:eastAsia="Aptos" w:cs="Aptos"/>
          <w:b w:val="0"/>
          <w:bCs w:val="0"/>
          <w:i w:val="0"/>
          <w:iCs w:val="0"/>
          <w:caps w:val="0"/>
          <w:smallCaps w:val="0"/>
          <w:noProof w:val="0"/>
          <w:color w:val="000000" w:themeColor="text1" w:themeTint="FF" w:themeShade="FF"/>
          <w:sz w:val="16"/>
          <w:szCs w:val="16"/>
          <w:lang w:val="en-US"/>
        </w:rPr>
        <w:t>Attention: Jonathon Arbuckle</w:t>
      </w:r>
    </w:p>
    <w:p w:rsidR="00003E5C" w:rsidP="0F19A6F4" w:rsidRDefault="00003E5C" w14:paraId="17ABFD7D" w14:textId="6208E403">
      <w:pPr>
        <w:spacing w:after="140" w:afterAutospacing="off" w:line="279" w:lineRule="auto"/>
        <w:ind w:left="0"/>
        <w:rPr>
          <w:rFonts w:ascii="Aptos" w:hAnsi="Aptos" w:eastAsia="Aptos" w:cs="Aptos"/>
          <w:b w:val="0"/>
          <w:bCs w:val="0"/>
          <w:i w:val="0"/>
          <w:iCs w:val="0"/>
          <w:caps w:val="0"/>
          <w:smallCaps w:val="0"/>
          <w:noProof w:val="0"/>
          <w:color w:val="000000" w:themeColor="text1" w:themeTint="FF" w:themeShade="FF"/>
          <w:sz w:val="16"/>
          <w:szCs w:val="16"/>
          <w:lang w:val="en-US"/>
        </w:rPr>
      </w:pPr>
      <w:r w:rsidRPr="0F19A6F4" w:rsidR="4E4C1AFF">
        <w:rPr>
          <w:rFonts w:ascii="Aptos" w:hAnsi="Aptos" w:eastAsia="Aptos" w:cs="Aptos"/>
          <w:b w:val="0"/>
          <w:bCs w:val="0"/>
          <w:i w:val="0"/>
          <w:iCs w:val="0"/>
          <w:caps w:val="0"/>
          <w:smallCaps w:val="0"/>
          <w:noProof w:val="0"/>
          <w:color w:val="000000" w:themeColor="text1" w:themeTint="FF" w:themeShade="FF"/>
          <w:sz w:val="16"/>
          <w:szCs w:val="16"/>
          <w:lang w:val="en-US"/>
        </w:rPr>
        <w:t>Senior Associate Director, Division of Imaging and Radiation (DIRM)</w:t>
      </w:r>
    </w:p>
    <w:p w:rsidR="00003E5C" w:rsidP="0F19A6F4" w:rsidRDefault="00003E5C" w14:paraId="7362032F" w14:textId="271216F3">
      <w:pPr>
        <w:spacing w:after="140" w:afterAutospacing="off" w:line="279" w:lineRule="auto"/>
        <w:ind w:left="0"/>
        <w:rPr>
          <w:rFonts w:ascii="Aptos" w:hAnsi="Aptos" w:eastAsia="Aptos" w:cs="Aptos"/>
          <w:b w:val="0"/>
          <w:bCs w:val="0"/>
          <w:i w:val="0"/>
          <w:iCs w:val="0"/>
          <w:caps w:val="0"/>
          <w:smallCaps w:val="0"/>
          <w:noProof w:val="0"/>
          <w:color w:val="000000" w:themeColor="text1" w:themeTint="FF" w:themeShade="FF"/>
          <w:sz w:val="16"/>
          <w:szCs w:val="16"/>
          <w:lang w:val="en-US"/>
        </w:rPr>
      </w:pPr>
      <w:r w:rsidRPr="0F19A6F4" w:rsidR="4E4C1AFF">
        <w:rPr>
          <w:rFonts w:ascii="Aptos" w:hAnsi="Aptos" w:eastAsia="Aptos" w:cs="Aptos"/>
          <w:b w:val="0"/>
          <w:bCs w:val="0"/>
          <w:i w:val="0"/>
          <w:iCs w:val="0"/>
          <w:caps w:val="0"/>
          <w:smallCaps w:val="0"/>
          <w:noProof w:val="0"/>
          <w:color w:val="000000" w:themeColor="text1" w:themeTint="FF" w:themeShade="FF"/>
          <w:sz w:val="16"/>
          <w:szCs w:val="16"/>
          <w:lang w:val="en-US"/>
        </w:rPr>
        <w:t>FDA/CDER</w:t>
      </w:r>
    </w:p>
    <w:p w:rsidR="00003E5C" w:rsidP="0F19A6F4" w:rsidRDefault="00003E5C" w14:paraId="0B97A3FE" w14:textId="16015E73">
      <w:pPr>
        <w:spacing w:after="140" w:afterAutospacing="off" w:line="279" w:lineRule="auto"/>
        <w:ind w:left="0"/>
        <w:rPr>
          <w:rFonts w:ascii="Aptos" w:hAnsi="Aptos" w:eastAsia="Aptos" w:cs="Aptos"/>
          <w:b w:val="0"/>
          <w:bCs w:val="0"/>
          <w:i w:val="0"/>
          <w:iCs w:val="0"/>
          <w:caps w:val="0"/>
          <w:smallCaps w:val="0"/>
          <w:noProof w:val="0"/>
          <w:color w:val="000000" w:themeColor="text1" w:themeTint="FF" w:themeShade="FF"/>
          <w:sz w:val="16"/>
          <w:szCs w:val="16"/>
          <w:lang w:val="en-US"/>
        </w:rPr>
      </w:pPr>
      <w:r w:rsidRPr="0F19A6F4" w:rsidR="4E4C1AFF">
        <w:rPr>
          <w:rFonts w:ascii="Aptos" w:hAnsi="Aptos" w:eastAsia="Aptos" w:cs="Aptos"/>
          <w:b w:val="0"/>
          <w:bCs w:val="0"/>
          <w:i w:val="0"/>
          <w:iCs w:val="0"/>
          <w:caps w:val="0"/>
          <w:smallCaps w:val="0"/>
          <w:noProof w:val="0"/>
          <w:color w:val="000000" w:themeColor="text1" w:themeTint="FF" w:themeShade="FF"/>
          <w:sz w:val="16"/>
          <w:szCs w:val="16"/>
          <w:lang w:val="en-US"/>
        </w:rPr>
        <w:t>Building No.4, Mindspace, Thane-Belapur Road, MIDC INDL Area</w:t>
      </w:r>
    </w:p>
    <w:p w:rsidR="00003E5C" w:rsidP="0F19A6F4" w:rsidRDefault="00003E5C" w14:paraId="79D58E09" w14:textId="4A78B90A">
      <w:pPr>
        <w:spacing w:after="140" w:afterAutospacing="off" w:line="279" w:lineRule="auto"/>
        <w:ind w:left="0"/>
        <w:rPr>
          <w:rFonts w:ascii="Aptos" w:hAnsi="Aptos" w:eastAsia="Aptos" w:cs="Aptos"/>
          <w:b w:val="0"/>
          <w:bCs w:val="0"/>
          <w:i w:val="0"/>
          <w:iCs w:val="0"/>
          <w:caps w:val="0"/>
          <w:smallCaps w:val="0"/>
          <w:noProof w:val="0"/>
          <w:color w:val="000000" w:themeColor="text1" w:themeTint="FF" w:themeShade="FF"/>
          <w:sz w:val="16"/>
          <w:szCs w:val="16"/>
          <w:lang w:val="en-US"/>
        </w:rPr>
      </w:pPr>
      <w:r w:rsidRPr="0F19A6F4" w:rsidR="4E4C1AFF">
        <w:rPr>
          <w:rFonts w:ascii="Aptos" w:hAnsi="Aptos" w:eastAsia="Aptos" w:cs="Aptos"/>
          <w:b w:val="0"/>
          <w:bCs w:val="0"/>
          <w:i w:val="0"/>
          <w:iCs w:val="0"/>
          <w:caps w:val="0"/>
          <w:smallCaps w:val="0"/>
          <w:noProof w:val="0"/>
          <w:color w:val="000000" w:themeColor="text1" w:themeTint="FF" w:themeShade="FF"/>
          <w:sz w:val="16"/>
          <w:szCs w:val="16"/>
          <w:lang w:val="en-US"/>
        </w:rPr>
        <w:t>Airoli</w:t>
      </w:r>
      <w:r w:rsidRPr="0F19A6F4" w:rsidR="4E4C1AFF">
        <w:rPr>
          <w:rFonts w:ascii="Aptos" w:hAnsi="Aptos" w:eastAsia="Aptos" w:cs="Aptos"/>
          <w:b w:val="0"/>
          <w:bCs w:val="0"/>
          <w:i w:val="0"/>
          <w:iCs w:val="0"/>
          <w:caps w:val="0"/>
          <w:smallCaps w:val="0"/>
          <w:noProof w:val="0"/>
          <w:color w:val="000000" w:themeColor="text1" w:themeTint="FF" w:themeShade="FF"/>
          <w:sz w:val="16"/>
          <w:szCs w:val="16"/>
          <w:lang w:val="en-US"/>
        </w:rPr>
        <w:t>, Navi Mumbai, Maharashtra 400708</w:t>
      </w:r>
    </w:p>
    <w:p w:rsidR="00003E5C" w:rsidP="0F19A6F4" w:rsidRDefault="00003E5C" w14:paraId="1977A3C0" w14:textId="7638495E">
      <w:pPr>
        <w:spacing w:after="140" w:afterAutospacing="off" w:line="279" w:lineRule="auto"/>
        <w:ind w:left="0"/>
        <w:rPr>
          <w:rFonts w:ascii="Aptos" w:hAnsi="Aptos" w:eastAsia="Aptos" w:cs="Aptos"/>
          <w:b w:val="0"/>
          <w:bCs w:val="0"/>
          <w:i w:val="0"/>
          <w:iCs w:val="0"/>
          <w:caps w:val="0"/>
          <w:smallCaps w:val="0"/>
          <w:noProof w:val="0"/>
          <w:color w:val="000000" w:themeColor="text1" w:themeTint="FF" w:themeShade="FF"/>
          <w:sz w:val="16"/>
          <w:szCs w:val="16"/>
          <w:lang w:val="en-US"/>
        </w:rPr>
      </w:pPr>
    </w:p>
    <w:p w:rsidR="00003E5C" w:rsidP="0F19A6F4" w:rsidRDefault="00003E5C" w14:paraId="3CF5E1A9" w14:textId="48C68E7D">
      <w:pPr>
        <w:spacing w:after="140" w:afterAutospacing="off" w:line="279" w:lineRule="auto"/>
        <w:ind w:left="0"/>
        <w:rPr>
          <w:rFonts w:ascii="Aptos" w:hAnsi="Aptos" w:eastAsia="Aptos" w:cs="Aptos"/>
          <w:b w:val="0"/>
          <w:bCs w:val="0"/>
          <w:i w:val="0"/>
          <w:iCs w:val="0"/>
          <w:caps w:val="0"/>
          <w:smallCaps w:val="0"/>
          <w:noProof w:val="0"/>
          <w:color w:val="000000" w:themeColor="text1" w:themeTint="FF" w:themeShade="FF"/>
          <w:sz w:val="16"/>
          <w:szCs w:val="16"/>
          <w:lang w:val="en-US"/>
        </w:rPr>
      </w:pPr>
      <w:r w:rsidRPr="0F19A6F4" w:rsidR="4E4C1AFF">
        <w:rPr>
          <w:rFonts w:ascii="Aptos" w:hAnsi="Aptos" w:eastAsia="Aptos" w:cs="Aptos"/>
          <w:b w:val="0"/>
          <w:bCs w:val="0"/>
          <w:i w:val="0"/>
          <w:iCs w:val="0"/>
          <w:caps w:val="0"/>
          <w:smallCaps w:val="0"/>
          <w:noProof w:val="0"/>
          <w:color w:val="000000" w:themeColor="text1" w:themeTint="FF" w:themeShade="FF"/>
          <w:sz w:val="16"/>
          <w:szCs w:val="16"/>
          <w:lang w:val="en-US"/>
        </w:rPr>
        <w:t xml:space="preserve">Dear </w:t>
      </w:r>
      <w:r w:rsidRPr="0F19A6F4" w:rsidR="4E4C1AFF">
        <w:rPr>
          <w:rFonts w:ascii="Aptos" w:hAnsi="Aptos" w:eastAsia="Aptos" w:cs="Aptos"/>
          <w:b w:val="0"/>
          <w:bCs w:val="0"/>
          <w:i w:val="0"/>
          <w:iCs w:val="0"/>
          <w:caps w:val="0"/>
          <w:smallCaps w:val="0"/>
          <w:noProof w:val="0"/>
          <w:color w:val="000000" w:themeColor="text1" w:themeTint="FF" w:themeShade="FF"/>
          <w:sz w:val="16"/>
          <w:szCs w:val="16"/>
          <w:lang w:val="en-US"/>
        </w:rPr>
        <w:t>Dr.Arbuckle</w:t>
      </w:r>
      <w:r w:rsidRPr="0F19A6F4" w:rsidR="4E4C1AFF">
        <w:rPr>
          <w:rFonts w:ascii="Aptos" w:hAnsi="Aptos" w:eastAsia="Aptos" w:cs="Aptos"/>
          <w:b w:val="0"/>
          <w:bCs w:val="0"/>
          <w:i w:val="0"/>
          <w:iCs w:val="0"/>
          <w:caps w:val="0"/>
          <w:smallCaps w:val="0"/>
          <w:noProof w:val="0"/>
          <w:color w:val="000000" w:themeColor="text1" w:themeTint="FF" w:themeShade="FF"/>
          <w:sz w:val="16"/>
          <w:szCs w:val="16"/>
          <w:lang w:val="en-US"/>
        </w:rPr>
        <w:t>:</w:t>
      </w:r>
    </w:p>
    <w:p w:rsidR="00003E5C" w:rsidP="0F19A6F4" w:rsidRDefault="00003E5C" w14:paraId="157CFE28" w14:textId="4B5ABCAD">
      <w:pPr>
        <w:spacing w:after="140" w:afterAutospacing="off" w:line="279" w:lineRule="auto"/>
        <w:ind w:left="0"/>
        <w:rPr>
          <w:rFonts w:ascii="Aptos" w:hAnsi="Aptos" w:eastAsia="Aptos" w:cs="Aptos"/>
          <w:b w:val="0"/>
          <w:bCs w:val="0"/>
          <w:i w:val="0"/>
          <w:iCs w:val="0"/>
          <w:caps w:val="0"/>
          <w:smallCaps w:val="0"/>
          <w:noProof w:val="0"/>
          <w:color w:val="000000" w:themeColor="text1" w:themeTint="FF" w:themeShade="FF"/>
          <w:sz w:val="16"/>
          <w:szCs w:val="16"/>
          <w:lang w:val="en-US"/>
        </w:rPr>
      </w:pPr>
    </w:p>
    <w:p w:rsidR="00003E5C" w:rsidP="0F19A6F4" w:rsidRDefault="00003E5C" w14:paraId="0F941A85" w14:textId="49A980DB">
      <w:pPr>
        <w:spacing w:after="140" w:afterAutospacing="off" w:line="279" w:lineRule="auto"/>
        <w:ind w:left="0"/>
        <w:rPr>
          <w:rFonts w:ascii="Aptos" w:hAnsi="Aptos" w:eastAsia="Aptos" w:cs="Aptos"/>
          <w:b w:val="0"/>
          <w:bCs w:val="0"/>
          <w:i w:val="0"/>
          <w:iCs w:val="0"/>
          <w:caps w:val="0"/>
          <w:smallCaps w:val="0"/>
          <w:noProof w:val="0"/>
          <w:color w:val="000000" w:themeColor="text1" w:themeTint="FF" w:themeShade="FF"/>
          <w:sz w:val="16"/>
          <w:szCs w:val="16"/>
          <w:lang w:val="en-US"/>
        </w:rPr>
      </w:pPr>
      <w:r w:rsidRPr="0F19A6F4" w:rsidR="4E4C1AFF">
        <w:rPr>
          <w:rFonts w:ascii="Aptos" w:hAnsi="Aptos" w:eastAsia="Aptos" w:cs="Aptos"/>
          <w:b w:val="0"/>
          <w:bCs w:val="0"/>
          <w:i w:val="0"/>
          <w:iCs w:val="0"/>
          <w:caps w:val="0"/>
          <w:smallCaps w:val="0"/>
          <w:noProof w:val="0"/>
          <w:color w:val="000000" w:themeColor="text1" w:themeTint="FF" w:themeShade="FF"/>
          <w:sz w:val="16"/>
          <w:szCs w:val="16"/>
          <w:lang w:val="en-US"/>
        </w:rPr>
        <w:t xml:space="preserve">Please refer to your investigational new drug application (IND) </w:t>
      </w:r>
      <w:r w:rsidRPr="0F19A6F4" w:rsidR="4E4C1AFF">
        <w:rPr>
          <w:rFonts w:ascii="Aptos" w:hAnsi="Aptos" w:eastAsia="Aptos" w:cs="Aptos"/>
          <w:b w:val="0"/>
          <w:bCs w:val="0"/>
          <w:i w:val="0"/>
          <w:iCs w:val="0"/>
          <w:caps w:val="0"/>
          <w:smallCaps w:val="0"/>
          <w:noProof w:val="0"/>
          <w:color w:val="000000" w:themeColor="text1" w:themeTint="FF" w:themeShade="FF"/>
          <w:sz w:val="16"/>
          <w:szCs w:val="16"/>
          <w:lang w:val="en-US"/>
        </w:rPr>
        <w:t>submitted</w:t>
      </w:r>
      <w:r w:rsidRPr="0F19A6F4" w:rsidR="4E4C1AFF">
        <w:rPr>
          <w:rFonts w:ascii="Aptos" w:hAnsi="Aptos" w:eastAsia="Aptos" w:cs="Aptos"/>
          <w:b w:val="0"/>
          <w:bCs w:val="0"/>
          <w:i w:val="0"/>
          <w:iCs w:val="0"/>
          <w:caps w:val="0"/>
          <w:smallCaps w:val="0"/>
          <w:noProof w:val="0"/>
          <w:color w:val="000000" w:themeColor="text1" w:themeTint="FF" w:themeShade="FF"/>
          <w:sz w:val="16"/>
          <w:szCs w:val="16"/>
          <w:lang w:val="en-US"/>
        </w:rPr>
        <w:t xml:space="preserve"> under section 505 of the Federal Food, Drug and Cosmetic Act for </w:t>
      </w:r>
      <w:r w:rsidRPr="0F19A6F4" w:rsidR="4E4C1AFF">
        <w:rPr>
          <w:rFonts w:ascii="Aptos" w:hAnsi="Aptos" w:eastAsia="Aptos" w:cs="Aptos"/>
          <w:b w:val="0"/>
          <w:bCs w:val="0"/>
          <w:i w:val="0"/>
          <w:iCs w:val="0"/>
          <w:caps w:val="0"/>
          <w:smallCaps w:val="0"/>
          <w:noProof w:val="0"/>
          <w:color w:val="000000" w:themeColor="text1" w:themeTint="FF" w:themeShade="FF"/>
          <w:sz w:val="16"/>
          <w:szCs w:val="16"/>
          <w:lang w:val="en-US"/>
        </w:rPr>
        <w:t>xxxxxx</w:t>
      </w:r>
    </w:p>
    <w:p w:rsidR="00003E5C" w:rsidP="0F19A6F4" w:rsidRDefault="00003E5C" w14:paraId="3DE80C9D" w14:textId="3BA2A9BA">
      <w:pPr>
        <w:spacing w:after="140" w:afterAutospacing="off" w:line="279" w:lineRule="auto"/>
        <w:ind w:left="0"/>
        <w:rPr>
          <w:rFonts w:ascii="Aptos" w:hAnsi="Aptos" w:eastAsia="Aptos" w:cs="Aptos"/>
          <w:b w:val="0"/>
          <w:bCs w:val="0"/>
          <w:i w:val="0"/>
          <w:iCs w:val="0"/>
          <w:caps w:val="0"/>
          <w:smallCaps w:val="0"/>
          <w:noProof w:val="0"/>
          <w:color w:val="000000" w:themeColor="text1" w:themeTint="FF" w:themeShade="FF"/>
          <w:sz w:val="16"/>
          <w:szCs w:val="16"/>
          <w:lang w:val="en-US"/>
        </w:rPr>
      </w:pPr>
    </w:p>
    <w:p w:rsidR="00003E5C" w:rsidP="0F19A6F4" w:rsidRDefault="00003E5C" w14:paraId="212ECEFB" w14:textId="278BB0C7">
      <w:pPr>
        <w:spacing w:after="140" w:afterAutospacing="off" w:line="279" w:lineRule="auto"/>
        <w:ind w:left="0"/>
        <w:rPr>
          <w:rFonts w:ascii="Aptos" w:hAnsi="Aptos" w:eastAsia="Aptos" w:cs="Aptos"/>
          <w:b w:val="0"/>
          <w:bCs w:val="0"/>
          <w:i w:val="0"/>
          <w:iCs w:val="0"/>
          <w:caps w:val="0"/>
          <w:smallCaps w:val="0"/>
          <w:noProof w:val="0"/>
          <w:color w:val="000000" w:themeColor="text1" w:themeTint="FF" w:themeShade="FF"/>
          <w:sz w:val="16"/>
          <w:szCs w:val="16"/>
          <w:lang w:val="en-US"/>
        </w:rPr>
      </w:pPr>
      <w:r w:rsidRPr="0F19A6F4" w:rsidR="4E4C1AFF">
        <w:rPr>
          <w:rFonts w:ascii="Aptos" w:hAnsi="Aptos" w:eastAsia="Aptos" w:cs="Aptos"/>
          <w:b w:val="0"/>
          <w:bCs w:val="0"/>
          <w:i w:val="0"/>
          <w:iCs w:val="0"/>
          <w:caps w:val="0"/>
          <w:smallCaps w:val="0"/>
          <w:noProof w:val="0"/>
          <w:color w:val="000000" w:themeColor="text1" w:themeTint="FF" w:themeShade="FF"/>
          <w:sz w:val="16"/>
          <w:szCs w:val="16"/>
          <w:lang w:val="en-US"/>
        </w:rPr>
        <w:t>We also refer to your amendment(s) dated October 26, 2022; November 13, 2022;</w:t>
      </w:r>
    </w:p>
    <w:p w:rsidR="00003E5C" w:rsidP="0F19A6F4" w:rsidRDefault="00003E5C" w14:paraId="76C5193E" w14:textId="253BB5FB">
      <w:pPr>
        <w:spacing w:after="140" w:afterAutospacing="off" w:line="279" w:lineRule="auto"/>
        <w:ind w:left="0"/>
        <w:rPr>
          <w:rFonts w:ascii="Aptos" w:hAnsi="Aptos" w:eastAsia="Aptos" w:cs="Aptos"/>
          <w:b w:val="0"/>
          <w:bCs w:val="0"/>
          <w:i w:val="0"/>
          <w:iCs w:val="0"/>
          <w:caps w:val="0"/>
          <w:smallCaps w:val="0"/>
          <w:noProof w:val="0"/>
          <w:color w:val="000000" w:themeColor="text1" w:themeTint="FF" w:themeShade="FF"/>
          <w:sz w:val="16"/>
          <w:szCs w:val="16"/>
          <w:lang w:val="en-US"/>
        </w:rPr>
      </w:pPr>
      <w:r w:rsidRPr="0F19A6F4" w:rsidR="4E4C1AFF">
        <w:rPr>
          <w:rFonts w:ascii="Aptos" w:hAnsi="Aptos" w:eastAsia="Aptos" w:cs="Aptos"/>
          <w:b w:val="0"/>
          <w:bCs w:val="0"/>
          <w:i w:val="0"/>
          <w:iCs w:val="0"/>
          <w:caps w:val="0"/>
          <w:smallCaps w:val="0"/>
          <w:noProof w:val="0"/>
          <w:color w:val="000000" w:themeColor="text1" w:themeTint="FF" w:themeShade="FF"/>
          <w:sz w:val="16"/>
          <w:szCs w:val="16"/>
          <w:lang w:val="en-US"/>
        </w:rPr>
        <w:t xml:space="preserve">December 9, 2022; December 16, </w:t>
      </w:r>
      <w:r w:rsidRPr="0F19A6F4" w:rsidR="4E4C1AFF">
        <w:rPr>
          <w:rFonts w:ascii="Aptos" w:hAnsi="Aptos" w:eastAsia="Aptos" w:cs="Aptos"/>
          <w:b w:val="0"/>
          <w:bCs w:val="0"/>
          <w:i w:val="0"/>
          <w:iCs w:val="0"/>
          <w:caps w:val="0"/>
          <w:smallCaps w:val="0"/>
          <w:noProof w:val="0"/>
          <w:color w:val="000000" w:themeColor="text1" w:themeTint="FF" w:themeShade="FF"/>
          <w:sz w:val="16"/>
          <w:szCs w:val="16"/>
          <w:lang w:val="en-US"/>
        </w:rPr>
        <w:t>2022</w:t>
      </w:r>
      <w:r w:rsidRPr="0F19A6F4" w:rsidR="4E4C1AFF">
        <w:rPr>
          <w:rFonts w:ascii="Aptos" w:hAnsi="Aptos" w:eastAsia="Aptos" w:cs="Aptos"/>
          <w:b w:val="0"/>
          <w:bCs w:val="0"/>
          <w:i w:val="0"/>
          <w:iCs w:val="0"/>
          <w:caps w:val="0"/>
          <w:smallCaps w:val="0"/>
          <w:noProof w:val="0"/>
          <w:color w:val="000000" w:themeColor="text1" w:themeTint="FF" w:themeShade="FF"/>
          <w:sz w:val="16"/>
          <w:szCs w:val="16"/>
          <w:lang w:val="en-US"/>
        </w:rPr>
        <w:t xml:space="preserve"> and January 12, 2023.</w:t>
      </w:r>
    </w:p>
    <w:p w:rsidR="00003E5C" w:rsidP="0F19A6F4" w:rsidRDefault="00003E5C" w14:paraId="0FD50ECE" w14:textId="2EE6C1E3">
      <w:pPr>
        <w:spacing w:after="140" w:afterAutospacing="off" w:line="279" w:lineRule="auto"/>
        <w:ind w:left="0"/>
        <w:rPr>
          <w:rFonts w:ascii="Aptos" w:hAnsi="Aptos" w:eastAsia="Aptos" w:cs="Aptos"/>
          <w:b w:val="0"/>
          <w:bCs w:val="0"/>
          <w:i w:val="0"/>
          <w:iCs w:val="0"/>
          <w:caps w:val="0"/>
          <w:smallCaps w:val="0"/>
          <w:noProof w:val="0"/>
          <w:color w:val="000000" w:themeColor="text1" w:themeTint="FF" w:themeShade="FF"/>
          <w:sz w:val="16"/>
          <w:szCs w:val="16"/>
          <w:lang w:val="en-US"/>
        </w:rPr>
      </w:pPr>
    </w:p>
    <w:p w:rsidR="00003E5C" w:rsidP="0F19A6F4" w:rsidRDefault="00003E5C" w14:paraId="2D30F549" w14:textId="1E2647AC">
      <w:pPr>
        <w:spacing w:after="140" w:afterAutospacing="off" w:line="279" w:lineRule="auto"/>
        <w:ind w:left="0"/>
        <w:rPr>
          <w:rFonts w:ascii="Aptos" w:hAnsi="Aptos" w:eastAsia="Aptos" w:cs="Aptos"/>
          <w:b w:val="0"/>
          <w:bCs w:val="0"/>
          <w:i w:val="0"/>
          <w:iCs w:val="0"/>
          <w:caps w:val="0"/>
          <w:smallCaps w:val="0"/>
          <w:noProof w:val="0"/>
          <w:color w:val="000000" w:themeColor="text1" w:themeTint="FF" w:themeShade="FF"/>
          <w:sz w:val="16"/>
          <w:szCs w:val="16"/>
          <w:lang w:val="en-US"/>
        </w:rPr>
      </w:pPr>
      <w:r w:rsidRPr="0F19A6F4" w:rsidR="4E4C1AFF">
        <w:rPr>
          <w:rFonts w:ascii="Aptos" w:hAnsi="Aptos" w:eastAsia="Aptos" w:cs="Aptos"/>
          <w:b w:val="0"/>
          <w:bCs w:val="0"/>
          <w:i w:val="0"/>
          <w:iCs w:val="0"/>
          <w:caps w:val="0"/>
          <w:smallCaps w:val="0"/>
          <w:noProof w:val="0"/>
          <w:color w:val="000000" w:themeColor="text1" w:themeTint="FF" w:themeShade="FF"/>
          <w:sz w:val="16"/>
          <w:szCs w:val="16"/>
          <w:lang w:val="en-US"/>
        </w:rPr>
        <w:t xml:space="preserve">We have the following comments and requests for </w:t>
      </w:r>
      <w:r w:rsidRPr="0F19A6F4" w:rsidR="4E4C1AFF">
        <w:rPr>
          <w:rFonts w:ascii="Aptos" w:hAnsi="Aptos" w:eastAsia="Aptos" w:cs="Aptos"/>
          <w:b w:val="0"/>
          <w:bCs w:val="0"/>
          <w:i w:val="0"/>
          <w:iCs w:val="0"/>
          <w:caps w:val="0"/>
          <w:smallCaps w:val="0"/>
          <w:noProof w:val="0"/>
          <w:color w:val="000000" w:themeColor="text1" w:themeTint="FF" w:themeShade="FF"/>
          <w:sz w:val="16"/>
          <w:szCs w:val="16"/>
          <w:lang w:val="en-US"/>
        </w:rPr>
        <w:t>additional</w:t>
      </w:r>
      <w:r w:rsidRPr="0F19A6F4" w:rsidR="4E4C1AFF">
        <w:rPr>
          <w:rFonts w:ascii="Aptos" w:hAnsi="Aptos" w:eastAsia="Aptos" w:cs="Aptos"/>
          <w:b w:val="0"/>
          <w:bCs w:val="0"/>
          <w:i w:val="0"/>
          <w:iCs w:val="0"/>
          <w:caps w:val="0"/>
          <w:smallCaps w:val="0"/>
          <w:noProof w:val="0"/>
          <w:color w:val="000000" w:themeColor="text1" w:themeTint="FF" w:themeShade="FF"/>
          <w:sz w:val="16"/>
          <w:szCs w:val="16"/>
          <w:lang w:val="en-US"/>
        </w:rPr>
        <w:t xml:space="preserve"> information. Please note that these requests are not clinical hold issues. However, response to them is </w:t>
      </w:r>
      <w:r w:rsidRPr="0F19A6F4" w:rsidR="4E4C1AFF">
        <w:rPr>
          <w:rFonts w:ascii="Aptos" w:hAnsi="Aptos" w:eastAsia="Aptos" w:cs="Aptos"/>
          <w:b w:val="0"/>
          <w:bCs w:val="0"/>
          <w:i w:val="0"/>
          <w:iCs w:val="0"/>
          <w:caps w:val="0"/>
          <w:smallCaps w:val="0"/>
          <w:noProof w:val="0"/>
          <w:color w:val="000000" w:themeColor="text1" w:themeTint="FF" w:themeShade="FF"/>
          <w:sz w:val="16"/>
          <w:szCs w:val="16"/>
          <w:lang w:val="en-US"/>
        </w:rPr>
        <w:t>requested</w:t>
      </w:r>
      <w:r w:rsidRPr="0F19A6F4" w:rsidR="4E4C1AFF">
        <w:rPr>
          <w:rFonts w:ascii="Aptos" w:hAnsi="Aptos" w:eastAsia="Aptos" w:cs="Aptos"/>
          <w:b w:val="0"/>
          <w:bCs w:val="0"/>
          <w:i w:val="0"/>
          <w:iCs w:val="0"/>
          <w:caps w:val="0"/>
          <w:smallCaps w:val="0"/>
          <w:noProof w:val="0"/>
          <w:color w:val="000000" w:themeColor="text1" w:themeTint="FF" w:themeShade="FF"/>
          <w:sz w:val="16"/>
          <w:szCs w:val="16"/>
          <w:lang w:val="en-US"/>
        </w:rPr>
        <w:t>:</w:t>
      </w:r>
    </w:p>
    <w:p w:rsidR="00003E5C" w:rsidP="0F19A6F4" w:rsidRDefault="00003E5C" w14:paraId="36D87360" w14:textId="3807EE50">
      <w:pPr>
        <w:spacing w:after="140" w:afterAutospacing="off" w:line="279" w:lineRule="auto"/>
        <w:ind w:left="0"/>
        <w:rPr>
          <w:rFonts w:ascii="Aptos" w:hAnsi="Aptos" w:eastAsia="Aptos" w:cs="Aptos"/>
          <w:b w:val="0"/>
          <w:bCs w:val="0"/>
          <w:i w:val="0"/>
          <w:iCs w:val="0"/>
          <w:caps w:val="0"/>
          <w:smallCaps w:val="0"/>
          <w:noProof w:val="0"/>
          <w:color w:val="000000" w:themeColor="text1" w:themeTint="FF" w:themeShade="FF"/>
          <w:sz w:val="16"/>
          <w:szCs w:val="16"/>
          <w:lang w:val="en-US"/>
        </w:rPr>
      </w:pPr>
    </w:p>
    <w:p w:rsidR="00003E5C" w:rsidP="0F19A6F4" w:rsidRDefault="00003E5C" w14:paraId="769090C1" w14:textId="3F9BFB52">
      <w:pPr>
        <w:spacing w:after="140" w:afterAutospacing="off" w:line="279" w:lineRule="auto"/>
        <w:ind w:left="0"/>
        <w:rPr>
          <w:rFonts w:ascii="Aptos" w:hAnsi="Aptos" w:eastAsia="Aptos" w:cs="Aptos"/>
          <w:b w:val="0"/>
          <w:bCs w:val="0"/>
          <w:i w:val="0"/>
          <w:iCs w:val="0"/>
          <w:caps w:val="0"/>
          <w:smallCaps w:val="0"/>
          <w:noProof w:val="0"/>
          <w:color w:val="000000" w:themeColor="text1" w:themeTint="FF" w:themeShade="FF"/>
          <w:sz w:val="16"/>
          <w:szCs w:val="16"/>
          <w:lang w:val="en-US"/>
        </w:rPr>
      </w:pPr>
      <w:r w:rsidRPr="0F19A6F4" w:rsidR="4E4C1AFF">
        <w:rPr>
          <w:rFonts w:ascii="Aptos" w:hAnsi="Aptos" w:eastAsia="Aptos" w:cs="Aptos"/>
          <w:b w:val="0"/>
          <w:bCs w:val="0"/>
          <w:i w:val="0"/>
          <w:iCs w:val="0"/>
          <w:caps w:val="0"/>
          <w:smallCaps w:val="0"/>
          <w:noProof w:val="0"/>
          <w:color w:val="000000" w:themeColor="text1" w:themeTint="FF" w:themeShade="FF"/>
          <w:sz w:val="16"/>
          <w:szCs w:val="16"/>
          <w:lang w:val="en-US"/>
        </w:rPr>
        <w:t>Item#1:</w:t>
      </w:r>
    </w:p>
    <w:p w:rsidR="00003E5C" w:rsidP="0F19A6F4" w:rsidRDefault="00003E5C" w14:paraId="7575DC83" w14:textId="1B7A05A2">
      <w:pPr>
        <w:spacing w:after="140" w:afterAutospacing="off" w:line="279" w:lineRule="auto"/>
        <w:ind w:left="0"/>
        <w:rPr>
          <w:rFonts w:ascii="Aptos" w:hAnsi="Aptos" w:eastAsia="Aptos" w:cs="Aptos"/>
          <w:b w:val="0"/>
          <w:bCs w:val="0"/>
          <w:i w:val="0"/>
          <w:iCs w:val="0"/>
          <w:caps w:val="0"/>
          <w:smallCaps w:val="0"/>
          <w:noProof w:val="0"/>
          <w:color w:val="000000" w:themeColor="text1" w:themeTint="FF" w:themeShade="FF"/>
          <w:sz w:val="16"/>
          <w:szCs w:val="16"/>
          <w:lang w:val="en-US"/>
        </w:rPr>
      </w:pPr>
      <w:r w:rsidRPr="0F19A6F4" w:rsidR="4E4C1AFF">
        <w:rPr>
          <w:rFonts w:ascii="Aptos" w:hAnsi="Aptos" w:eastAsia="Aptos" w:cs="Aptos"/>
          <w:b w:val="0"/>
          <w:bCs w:val="0"/>
          <w:i w:val="0"/>
          <w:iCs w:val="0"/>
          <w:caps w:val="0"/>
          <w:smallCaps w:val="0"/>
          <w:noProof w:val="0"/>
          <w:color w:val="000000" w:themeColor="text1" w:themeTint="FF" w:themeShade="FF"/>
          <w:sz w:val="16"/>
          <w:szCs w:val="16"/>
          <w:lang w:val="en-US"/>
        </w:rPr>
        <w:t xml:space="preserve">Based on your submitted protocol CO-0000-001 and XXXXXXX Sub-protocol, </w:t>
      </w:r>
      <w:r w:rsidRPr="0F19A6F4" w:rsidR="4E4C1AFF">
        <w:rPr>
          <w:rFonts w:ascii="Aptos" w:hAnsi="Aptos" w:eastAsia="Aptos" w:cs="Aptos"/>
          <w:b w:val="0"/>
          <w:bCs w:val="0"/>
          <w:i w:val="0"/>
          <w:iCs w:val="0"/>
          <w:caps w:val="0"/>
          <w:smallCaps w:val="0"/>
          <w:noProof w:val="0"/>
          <w:color w:val="000000" w:themeColor="text1" w:themeTint="FF" w:themeShade="FF"/>
          <w:sz w:val="16"/>
          <w:szCs w:val="16"/>
          <w:lang w:val="en-US"/>
        </w:rPr>
        <w:t>it appears that you</w:t>
      </w:r>
      <w:r w:rsidRPr="0F19A6F4" w:rsidR="4E4C1AFF">
        <w:rPr>
          <w:rFonts w:ascii="Aptos" w:hAnsi="Aptos" w:eastAsia="Aptos" w:cs="Aptos"/>
          <w:b w:val="0"/>
          <w:bCs w:val="0"/>
          <w:i w:val="0"/>
          <w:iCs w:val="0"/>
          <w:caps w:val="0"/>
          <w:smallCaps w:val="0"/>
          <w:noProof w:val="0"/>
          <w:color w:val="000000" w:themeColor="text1" w:themeTint="FF" w:themeShade="FF"/>
          <w:sz w:val="16"/>
          <w:szCs w:val="16"/>
          <w:lang w:val="en-US"/>
        </w:rPr>
        <w:t xml:space="preserve"> are pursuing a pathway intended to leverage XYXYXYXY investigation in support of new patient selection </w:t>
      </w:r>
      <w:r w:rsidRPr="0F19A6F4" w:rsidR="4E4C1AFF">
        <w:rPr>
          <w:rFonts w:ascii="Aptos" w:hAnsi="Aptos" w:eastAsia="Aptos" w:cs="Aptos"/>
          <w:b w:val="0"/>
          <w:bCs w:val="0"/>
          <w:i w:val="0"/>
          <w:iCs w:val="0"/>
          <w:caps w:val="0"/>
          <w:smallCaps w:val="0"/>
          <w:noProof w:val="0"/>
          <w:color w:val="000000" w:themeColor="text1" w:themeTint="FF" w:themeShade="FF"/>
          <w:sz w:val="16"/>
          <w:szCs w:val="16"/>
          <w:lang w:val="en-US"/>
        </w:rPr>
        <w:t>indication</w:t>
      </w:r>
      <w:r w:rsidRPr="0F19A6F4" w:rsidR="4E4C1AFF">
        <w:rPr>
          <w:rFonts w:ascii="Aptos" w:hAnsi="Aptos" w:eastAsia="Aptos" w:cs="Aptos"/>
          <w:b w:val="0"/>
          <w:bCs w:val="0"/>
          <w:i w:val="0"/>
          <w:iCs w:val="0"/>
          <w:caps w:val="0"/>
          <w:smallCaps w:val="0"/>
          <w:noProof w:val="0"/>
          <w:color w:val="000000" w:themeColor="text1" w:themeTint="FF" w:themeShade="FF"/>
          <w:sz w:val="16"/>
          <w:szCs w:val="16"/>
          <w:lang w:val="en-US"/>
        </w:rPr>
        <w:t xml:space="preserve"> for XXXXXXXX. In approaching the design of downstream studies, we recommend that you focus on at least the following four high level considerations:</w:t>
      </w:r>
    </w:p>
    <w:p w:rsidR="00003E5C" w:rsidP="0F19A6F4" w:rsidRDefault="00003E5C" w14:paraId="6344C29A" w14:textId="3B2CF676">
      <w:pPr>
        <w:spacing w:after="140" w:afterAutospacing="off" w:line="279" w:lineRule="auto"/>
        <w:ind w:left="0"/>
        <w:rPr>
          <w:rFonts w:ascii="Aptos" w:hAnsi="Aptos" w:eastAsia="Aptos" w:cs="Aptos"/>
          <w:b w:val="0"/>
          <w:bCs w:val="0"/>
          <w:i w:val="0"/>
          <w:iCs w:val="0"/>
          <w:caps w:val="0"/>
          <w:smallCaps w:val="0"/>
          <w:noProof w:val="0"/>
          <w:color w:val="000000" w:themeColor="text1" w:themeTint="FF" w:themeShade="FF"/>
          <w:sz w:val="16"/>
          <w:szCs w:val="16"/>
          <w:lang w:val="en-US"/>
        </w:rPr>
      </w:pPr>
    </w:p>
    <w:p w:rsidR="00003E5C" w:rsidP="0F19A6F4" w:rsidRDefault="00003E5C" w14:paraId="7F259551" w14:textId="107B0255">
      <w:pPr>
        <w:spacing w:after="140" w:afterAutospacing="off" w:line="279" w:lineRule="auto"/>
        <w:ind w:left="0"/>
        <w:rPr>
          <w:rFonts w:ascii="Aptos" w:hAnsi="Aptos" w:eastAsia="Aptos" w:cs="Aptos"/>
          <w:b w:val="0"/>
          <w:bCs w:val="0"/>
          <w:i w:val="0"/>
          <w:iCs w:val="0"/>
          <w:caps w:val="0"/>
          <w:smallCaps w:val="0"/>
          <w:noProof w:val="0"/>
          <w:color w:val="000000" w:themeColor="text1" w:themeTint="FF" w:themeShade="FF"/>
          <w:sz w:val="16"/>
          <w:szCs w:val="16"/>
          <w:lang w:val="en-US"/>
        </w:rPr>
      </w:pPr>
      <w:r w:rsidRPr="0F19A6F4" w:rsidR="4E4C1AFF">
        <w:rPr>
          <w:rFonts w:ascii="Aptos" w:hAnsi="Aptos" w:eastAsia="Aptos" w:cs="Aptos"/>
          <w:b w:val="0"/>
          <w:bCs w:val="0"/>
          <w:i w:val="0"/>
          <w:iCs w:val="0"/>
          <w:caps w:val="0"/>
          <w:smallCaps w:val="0"/>
          <w:noProof w:val="0"/>
          <w:color w:val="000000" w:themeColor="text1" w:themeTint="FF" w:themeShade="FF"/>
          <w:sz w:val="16"/>
          <w:szCs w:val="16"/>
          <w:lang w:val="en-US"/>
        </w:rPr>
        <w:t xml:space="preserve">SECURE EMAIL Secure email is </w:t>
      </w:r>
      <w:r w:rsidRPr="0F19A6F4" w:rsidR="4E4C1AFF">
        <w:rPr>
          <w:rFonts w:ascii="Aptos" w:hAnsi="Aptos" w:eastAsia="Aptos" w:cs="Aptos"/>
          <w:b w:val="0"/>
          <w:bCs w:val="0"/>
          <w:i w:val="0"/>
          <w:iCs w:val="0"/>
          <w:caps w:val="0"/>
          <w:smallCaps w:val="0"/>
          <w:noProof w:val="0"/>
          <w:color w:val="000000" w:themeColor="text1" w:themeTint="FF" w:themeShade="FF"/>
          <w:sz w:val="16"/>
          <w:szCs w:val="16"/>
          <w:lang w:val="en-US"/>
        </w:rPr>
        <w:t>required</w:t>
      </w:r>
      <w:r w:rsidRPr="0F19A6F4" w:rsidR="4E4C1AFF">
        <w:rPr>
          <w:rFonts w:ascii="Aptos" w:hAnsi="Aptos" w:eastAsia="Aptos" w:cs="Aptos"/>
          <w:b w:val="0"/>
          <w:bCs w:val="0"/>
          <w:i w:val="0"/>
          <w:iCs w:val="0"/>
          <w:caps w:val="0"/>
          <w:smallCaps w:val="0"/>
          <w:noProof w:val="0"/>
          <w:color w:val="000000" w:themeColor="text1" w:themeTint="FF" w:themeShade="FF"/>
          <w:sz w:val="16"/>
          <w:szCs w:val="16"/>
          <w:lang w:val="en-US"/>
        </w:rPr>
        <w:t xml:space="preserve"> for all email communications from FDA when confidential information (e.g., trade secrets, manufacturing, or patient information) is included in the message. To receive email communications from FDA that include confidential information (e.g., information requests, labeling revisions, courtesy copies of letters), you must </w:t>
      </w:r>
      <w:r w:rsidRPr="0F19A6F4" w:rsidR="4E4C1AFF">
        <w:rPr>
          <w:rFonts w:ascii="Aptos" w:hAnsi="Aptos" w:eastAsia="Aptos" w:cs="Aptos"/>
          <w:b w:val="0"/>
          <w:bCs w:val="0"/>
          <w:i w:val="0"/>
          <w:iCs w:val="0"/>
          <w:caps w:val="0"/>
          <w:smallCaps w:val="0"/>
          <w:noProof w:val="0"/>
          <w:color w:val="000000" w:themeColor="text1" w:themeTint="FF" w:themeShade="FF"/>
          <w:sz w:val="16"/>
          <w:szCs w:val="16"/>
          <w:lang w:val="en-US"/>
        </w:rPr>
        <w:t>establish</w:t>
      </w:r>
      <w:r w:rsidRPr="0F19A6F4" w:rsidR="4E4C1AFF">
        <w:rPr>
          <w:rFonts w:ascii="Aptos" w:hAnsi="Aptos" w:eastAsia="Aptos" w:cs="Aptos"/>
          <w:b w:val="0"/>
          <w:bCs w:val="0"/>
          <w:i w:val="0"/>
          <w:iCs w:val="0"/>
          <w:caps w:val="0"/>
          <w:smallCaps w:val="0"/>
          <w:noProof w:val="0"/>
          <w:color w:val="000000" w:themeColor="text1" w:themeTint="FF" w:themeShade="FF"/>
          <w:sz w:val="16"/>
          <w:szCs w:val="16"/>
          <w:lang w:val="en-US"/>
        </w:rPr>
        <w:t xml:space="preserve"> secure email. To </w:t>
      </w:r>
      <w:r w:rsidRPr="0F19A6F4" w:rsidR="4E4C1AFF">
        <w:rPr>
          <w:rFonts w:ascii="Aptos" w:hAnsi="Aptos" w:eastAsia="Aptos" w:cs="Aptos"/>
          <w:b w:val="0"/>
          <w:bCs w:val="0"/>
          <w:i w:val="0"/>
          <w:iCs w:val="0"/>
          <w:caps w:val="0"/>
          <w:smallCaps w:val="0"/>
          <w:noProof w:val="0"/>
          <w:color w:val="000000" w:themeColor="text1" w:themeTint="FF" w:themeShade="FF"/>
          <w:sz w:val="16"/>
          <w:szCs w:val="16"/>
          <w:lang w:val="en-US"/>
        </w:rPr>
        <w:t>establish</w:t>
      </w:r>
      <w:r w:rsidRPr="0F19A6F4" w:rsidR="4E4C1AFF">
        <w:rPr>
          <w:rFonts w:ascii="Aptos" w:hAnsi="Aptos" w:eastAsia="Aptos" w:cs="Aptos"/>
          <w:b w:val="0"/>
          <w:bCs w:val="0"/>
          <w:i w:val="0"/>
          <w:iCs w:val="0"/>
          <w:caps w:val="0"/>
          <w:smallCaps w:val="0"/>
          <w:noProof w:val="0"/>
          <w:color w:val="000000" w:themeColor="text1" w:themeTint="FF" w:themeShade="FF"/>
          <w:sz w:val="16"/>
          <w:szCs w:val="16"/>
          <w:lang w:val="en-US"/>
        </w:rPr>
        <w:t xml:space="preserve"> secure email with </w:t>
      </w:r>
      <w:r w:rsidRPr="0F19A6F4" w:rsidR="4E4C1AFF">
        <w:rPr>
          <w:rFonts w:ascii="Aptos" w:hAnsi="Aptos" w:eastAsia="Aptos" w:cs="Aptos"/>
          <w:b w:val="0"/>
          <w:bCs w:val="0"/>
          <w:i w:val="0"/>
          <w:iCs w:val="0"/>
          <w:caps w:val="0"/>
          <w:smallCaps w:val="0"/>
          <w:noProof w:val="0"/>
          <w:color w:val="000000" w:themeColor="text1" w:themeTint="FF" w:themeShade="FF"/>
          <w:sz w:val="16"/>
          <w:szCs w:val="16"/>
          <w:lang w:val="en-US"/>
        </w:rPr>
        <w:t>FDA</w:t>
      </w:r>
      <w:r w:rsidRPr="0F19A6F4" w:rsidR="4E4C1AFF">
        <w:rPr>
          <w:rFonts w:ascii="Aptos" w:hAnsi="Aptos" w:eastAsia="Aptos" w:cs="Aptos"/>
          <w:b w:val="0"/>
          <w:bCs w:val="0"/>
          <w:i w:val="0"/>
          <w:iCs w:val="0"/>
          <w:caps w:val="0"/>
          <w:smallCaps w:val="0"/>
          <w:noProof w:val="0"/>
          <w:color w:val="000000" w:themeColor="text1" w:themeTint="FF" w:themeShade="FF"/>
          <w:sz w:val="16"/>
          <w:szCs w:val="16"/>
          <w:lang w:val="en-US"/>
        </w:rPr>
        <w:t xml:space="preserve">, send an email request to </w:t>
      </w:r>
      <w:hyperlink r:id="R18ded51567e2496e">
        <w:r w:rsidRPr="0F19A6F4" w:rsidR="4E4C1AFF">
          <w:rPr>
            <w:rStyle w:val="Hyperlink"/>
            <w:rFonts w:ascii="Aptos" w:hAnsi="Aptos" w:eastAsia="Aptos" w:cs="Aptos"/>
            <w:b w:val="0"/>
            <w:bCs w:val="0"/>
            <w:i w:val="0"/>
            <w:iCs w:val="0"/>
            <w:caps w:val="0"/>
            <w:smallCaps w:val="0"/>
            <w:noProof w:val="0"/>
            <w:sz w:val="16"/>
            <w:szCs w:val="16"/>
            <w:lang w:val="en-US"/>
          </w:rPr>
          <w:t>SecureEmail@fda.hhs.gov</w:t>
        </w:r>
      </w:hyperlink>
      <w:r w:rsidRPr="0F19A6F4" w:rsidR="4E4C1AFF">
        <w:rPr>
          <w:rFonts w:ascii="Aptos" w:hAnsi="Aptos" w:eastAsia="Aptos" w:cs="Aptos"/>
          <w:b w:val="0"/>
          <w:bCs w:val="0"/>
          <w:i w:val="0"/>
          <w:iCs w:val="0"/>
          <w:caps w:val="0"/>
          <w:smallCaps w:val="0"/>
          <w:noProof w:val="0"/>
          <w:color w:val="000000" w:themeColor="text1" w:themeTint="FF" w:themeShade="FF"/>
          <w:sz w:val="16"/>
          <w:szCs w:val="16"/>
          <w:lang w:val="en-US"/>
        </w:rPr>
        <w:t>. Please note that secure email may not be used for formal regulatory submissions to applications</w:t>
      </w:r>
    </w:p>
    <w:p w:rsidR="00003E5C" w:rsidP="0F19A6F4" w:rsidRDefault="00003E5C" w14:paraId="6AEC5778" w14:textId="45EF2A6E">
      <w:pPr>
        <w:spacing w:after="140" w:afterAutospacing="off" w:line="279" w:lineRule="auto"/>
        <w:ind w:left="0"/>
        <w:rPr>
          <w:rFonts w:ascii="Aptos" w:hAnsi="Aptos" w:eastAsia="Aptos" w:cs="Aptos"/>
          <w:b w:val="0"/>
          <w:bCs w:val="0"/>
          <w:i w:val="0"/>
          <w:iCs w:val="0"/>
          <w:caps w:val="0"/>
          <w:smallCaps w:val="0"/>
          <w:noProof w:val="0"/>
          <w:color w:val="000000" w:themeColor="text1" w:themeTint="FF" w:themeShade="FF"/>
          <w:sz w:val="16"/>
          <w:szCs w:val="16"/>
          <w:lang w:val="en-US"/>
        </w:rPr>
      </w:pPr>
    </w:p>
    <w:p w:rsidR="00003E5C" w:rsidP="0F19A6F4" w:rsidRDefault="00003E5C" w14:paraId="10C101CF" w14:textId="1642E260">
      <w:pPr>
        <w:spacing w:after="140" w:afterAutospacing="off" w:line="279" w:lineRule="auto"/>
        <w:ind w:left="0"/>
        <w:rPr>
          <w:rFonts w:ascii="Aptos" w:hAnsi="Aptos" w:eastAsia="Aptos" w:cs="Aptos"/>
          <w:b w:val="0"/>
          <w:bCs w:val="0"/>
          <w:i w:val="0"/>
          <w:iCs w:val="0"/>
          <w:caps w:val="0"/>
          <w:smallCaps w:val="0"/>
          <w:noProof w:val="0"/>
          <w:color w:val="000000" w:themeColor="text1" w:themeTint="FF" w:themeShade="FF"/>
          <w:sz w:val="16"/>
          <w:szCs w:val="16"/>
          <w:lang w:val="en-US"/>
        </w:rPr>
      </w:pPr>
    </w:p>
    <w:p w:rsidR="00003E5C" w:rsidP="0F19A6F4" w:rsidRDefault="00003E5C" w14:paraId="0259F5B9" w14:textId="597DCEE9">
      <w:pPr>
        <w:spacing w:after="140" w:afterAutospacing="off" w:line="279" w:lineRule="auto"/>
        <w:ind w:left="0"/>
        <w:rPr>
          <w:rFonts w:ascii="Aptos" w:hAnsi="Aptos" w:eastAsia="Aptos" w:cs="Aptos"/>
          <w:b w:val="0"/>
          <w:bCs w:val="0"/>
          <w:i w:val="0"/>
          <w:iCs w:val="0"/>
          <w:caps w:val="0"/>
          <w:smallCaps w:val="0"/>
          <w:noProof w:val="0"/>
          <w:color w:val="000000" w:themeColor="text1" w:themeTint="FF" w:themeShade="FF"/>
          <w:sz w:val="16"/>
          <w:szCs w:val="16"/>
          <w:lang w:val="en-US"/>
        </w:rPr>
      </w:pPr>
      <w:r w:rsidRPr="1E9281BA" w:rsidR="4E4C1AFF">
        <w:rPr>
          <w:rFonts w:ascii="Aptos" w:hAnsi="Aptos" w:eastAsia="Aptos" w:cs="Aptos"/>
          <w:b w:val="0"/>
          <w:bCs w:val="0"/>
          <w:i w:val="0"/>
          <w:iCs w:val="0"/>
          <w:caps w:val="0"/>
          <w:smallCaps w:val="0"/>
          <w:noProof w:val="0"/>
          <w:color w:val="000000" w:themeColor="text1" w:themeTint="FF" w:themeShade="FF"/>
          <w:sz w:val="16"/>
          <w:szCs w:val="16"/>
          <w:lang w:val="en-US"/>
        </w:rPr>
        <w:t xml:space="preserve">Sincerely, </w:t>
      </w:r>
    </w:p>
    <w:p w:rsidR="00003E5C" w:rsidP="0F19A6F4" w:rsidRDefault="00003E5C" w14:paraId="1FF29379" w14:textId="216D481F">
      <w:pPr>
        <w:spacing w:after="140" w:afterAutospacing="off" w:line="279" w:lineRule="auto"/>
        <w:ind w:left="0"/>
        <w:rPr>
          <w:rFonts w:ascii="Aptos" w:hAnsi="Aptos" w:eastAsia="Aptos" w:cs="Aptos"/>
          <w:b w:val="0"/>
          <w:bCs w:val="0"/>
          <w:i w:val="0"/>
          <w:iCs w:val="0"/>
          <w:caps w:val="0"/>
          <w:smallCaps w:val="0"/>
          <w:noProof w:val="0"/>
          <w:color w:val="000000" w:themeColor="text1" w:themeTint="FF" w:themeShade="FF"/>
          <w:sz w:val="16"/>
          <w:szCs w:val="16"/>
          <w:lang w:val="en-US"/>
        </w:rPr>
      </w:pPr>
      <w:r w:rsidRPr="0F19A6F4" w:rsidR="4E4C1AFF">
        <w:rPr>
          <w:rFonts w:ascii="Aptos" w:hAnsi="Aptos" w:eastAsia="Aptos" w:cs="Aptos"/>
          <w:b w:val="0"/>
          <w:bCs w:val="0"/>
          <w:i w:val="0"/>
          <w:iCs w:val="0"/>
          <w:caps w:val="0"/>
          <w:smallCaps w:val="0"/>
          <w:noProof w:val="0"/>
          <w:color w:val="000000" w:themeColor="text1" w:themeTint="FF" w:themeShade="FF"/>
          <w:sz w:val="16"/>
          <w:szCs w:val="16"/>
          <w:lang w:val="en-US"/>
        </w:rPr>
        <w:t xml:space="preserve">Magnus Carlsen </w:t>
      </w:r>
    </w:p>
    <w:p w:rsidR="00003E5C" w:rsidP="0F19A6F4" w:rsidRDefault="00003E5C" w14:paraId="7247BDD0" w14:textId="2CD89DC8">
      <w:pPr>
        <w:spacing w:after="140" w:afterAutospacing="off" w:line="279" w:lineRule="auto"/>
        <w:ind w:left="0"/>
        <w:rPr>
          <w:rFonts w:ascii="Aptos" w:hAnsi="Aptos" w:eastAsia="Aptos" w:cs="Aptos"/>
          <w:b w:val="0"/>
          <w:bCs w:val="0"/>
          <w:i w:val="0"/>
          <w:iCs w:val="0"/>
          <w:caps w:val="0"/>
          <w:smallCaps w:val="0"/>
          <w:noProof w:val="0"/>
          <w:color w:val="000000" w:themeColor="text1" w:themeTint="FF" w:themeShade="FF"/>
          <w:sz w:val="16"/>
          <w:szCs w:val="16"/>
          <w:lang w:val="en-US"/>
        </w:rPr>
      </w:pPr>
      <w:r w:rsidRPr="0F19A6F4" w:rsidR="4E4C1AFF">
        <w:rPr>
          <w:rFonts w:ascii="Aptos" w:hAnsi="Aptos" w:eastAsia="Aptos" w:cs="Aptos"/>
          <w:b w:val="0"/>
          <w:bCs w:val="0"/>
          <w:i w:val="0"/>
          <w:iCs w:val="0"/>
          <w:caps w:val="0"/>
          <w:smallCaps w:val="0"/>
          <w:noProof w:val="0"/>
          <w:color w:val="000000" w:themeColor="text1" w:themeTint="FF" w:themeShade="FF"/>
          <w:sz w:val="16"/>
          <w:szCs w:val="16"/>
          <w:lang w:val="en-US"/>
        </w:rPr>
        <w:t xml:space="preserve">2/21/2023 1:21:42 PM </w:t>
      </w:r>
    </w:p>
    <w:p w:rsidR="00003E5C" w:rsidP="0F19A6F4" w:rsidRDefault="00003E5C" w14:paraId="396BE97B" w14:textId="1AEC3199">
      <w:pPr>
        <w:spacing w:after="140" w:afterAutospacing="off" w:line="279" w:lineRule="auto"/>
        <w:ind w:left="0"/>
        <w:rPr>
          <w:rFonts w:ascii="Aptos" w:hAnsi="Aptos" w:eastAsia="Aptos" w:cs="Aptos"/>
          <w:b w:val="0"/>
          <w:bCs w:val="0"/>
          <w:i w:val="0"/>
          <w:iCs w:val="0"/>
          <w:caps w:val="0"/>
          <w:smallCaps w:val="0"/>
          <w:noProof w:val="0"/>
          <w:color w:val="000000" w:themeColor="text1" w:themeTint="FF" w:themeShade="FF"/>
          <w:sz w:val="16"/>
          <w:szCs w:val="16"/>
          <w:lang w:val="en-US"/>
        </w:rPr>
      </w:pPr>
      <w:r w:rsidRPr="0F19A6F4" w:rsidR="4E4C1AFF">
        <w:rPr>
          <w:rFonts w:ascii="Aptos" w:hAnsi="Aptos" w:eastAsia="Aptos" w:cs="Aptos"/>
          <w:b w:val="0"/>
          <w:bCs w:val="0"/>
          <w:i w:val="0"/>
          <w:iCs w:val="0"/>
          <w:caps w:val="0"/>
          <w:smallCaps w:val="0"/>
          <w:noProof w:val="0"/>
          <w:color w:val="000000" w:themeColor="text1" w:themeTint="FF" w:themeShade="FF"/>
          <w:sz w:val="16"/>
          <w:szCs w:val="16"/>
          <w:lang w:val="en-US"/>
        </w:rPr>
        <w:t xml:space="preserve">Libo M., MD, PhD </w:t>
      </w:r>
    </w:p>
    <w:p w:rsidR="00003E5C" w:rsidP="0F19A6F4" w:rsidRDefault="00003E5C" w14:paraId="40992F41" w14:textId="6A2CBEA0">
      <w:pPr>
        <w:spacing w:after="140" w:afterAutospacing="off" w:line="279" w:lineRule="auto"/>
        <w:ind w:left="0"/>
        <w:rPr>
          <w:rFonts w:ascii="Aptos" w:hAnsi="Aptos" w:eastAsia="Aptos" w:cs="Aptos"/>
          <w:b w:val="0"/>
          <w:bCs w:val="0"/>
          <w:i w:val="0"/>
          <w:iCs w:val="0"/>
          <w:caps w:val="0"/>
          <w:smallCaps w:val="0"/>
          <w:noProof w:val="0"/>
          <w:color w:val="000000" w:themeColor="text1" w:themeTint="FF" w:themeShade="FF"/>
          <w:sz w:val="16"/>
          <w:szCs w:val="16"/>
          <w:lang w:val="en-US"/>
        </w:rPr>
      </w:pPr>
      <w:r w:rsidRPr="0F19A6F4" w:rsidR="4E4C1AFF">
        <w:rPr>
          <w:rFonts w:ascii="Aptos" w:hAnsi="Aptos" w:eastAsia="Aptos" w:cs="Aptos"/>
          <w:b w:val="0"/>
          <w:bCs w:val="0"/>
          <w:i w:val="0"/>
          <w:iCs w:val="0"/>
          <w:caps w:val="0"/>
          <w:smallCaps w:val="0"/>
          <w:noProof w:val="0"/>
          <w:color w:val="000000" w:themeColor="text1" w:themeTint="FF" w:themeShade="FF"/>
          <w:sz w:val="16"/>
          <w:szCs w:val="16"/>
          <w:lang w:val="en-US"/>
        </w:rPr>
        <w:t xml:space="preserve">Director </w:t>
      </w:r>
    </w:p>
    <w:p w:rsidR="00003E5C" w:rsidP="0F19A6F4" w:rsidRDefault="00003E5C" w14:paraId="21B69A67" w14:textId="07BFEA81">
      <w:pPr>
        <w:spacing w:after="140" w:afterAutospacing="off" w:line="279" w:lineRule="auto"/>
        <w:ind w:left="0"/>
        <w:rPr>
          <w:rFonts w:ascii="Aptos" w:hAnsi="Aptos" w:eastAsia="Aptos" w:cs="Aptos"/>
          <w:b w:val="0"/>
          <w:bCs w:val="0"/>
          <w:i w:val="0"/>
          <w:iCs w:val="0"/>
          <w:caps w:val="0"/>
          <w:smallCaps w:val="0"/>
          <w:noProof w:val="0"/>
          <w:color w:val="000000" w:themeColor="text1" w:themeTint="FF" w:themeShade="FF"/>
          <w:sz w:val="16"/>
          <w:szCs w:val="16"/>
          <w:lang w:val="en-US"/>
        </w:rPr>
      </w:pPr>
      <w:r w:rsidRPr="0F19A6F4" w:rsidR="4E4C1AFF">
        <w:rPr>
          <w:rFonts w:ascii="Aptos" w:hAnsi="Aptos" w:eastAsia="Aptos" w:cs="Aptos"/>
          <w:b w:val="0"/>
          <w:bCs w:val="0"/>
          <w:i w:val="0"/>
          <w:iCs w:val="0"/>
          <w:caps w:val="0"/>
          <w:smallCaps w:val="0"/>
          <w:noProof w:val="0"/>
          <w:color w:val="000000" w:themeColor="text1" w:themeTint="FF" w:themeShade="FF"/>
          <w:sz w:val="16"/>
          <w:szCs w:val="16"/>
          <w:lang w:val="en-US"/>
        </w:rPr>
        <w:t xml:space="preserve">Division of Imaging and Radiation Medicine </w:t>
      </w:r>
    </w:p>
    <w:p w:rsidR="00003E5C" w:rsidP="0F19A6F4" w:rsidRDefault="00003E5C" w14:paraId="60653375" w14:textId="5331956F">
      <w:pPr>
        <w:spacing w:after="140" w:afterAutospacing="off" w:line="279" w:lineRule="auto"/>
        <w:ind w:left="0"/>
        <w:rPr>
          <w:rFonts w:ascii="Aptos" w:hAnsi="Aptos" w:eastAsia="Aptos" w:cs="Aptos"/>
          <w:b w:val="0"/>
          <w:bCs w:val="0"/>
          <w:i w:val="0"/>
          <w:iCs w:val="0"/>
          <w:caps w:val="0"/>
          <w:smallCaps w:val="0"/>
          <w:noProof w:val="0"/>
          <w:color w:val="000000" w:themeColor="text1" w:themeTint="FF" w:themeShade="FF"/>
          <w:sz w:val="16"/>
          <w:szCs w:val="16"/>
          <w:lang w:val="en-US"/>
        </w:rPr>
      </w:pPr>
      <w:r w:rsidRPr="0F19A6F4" w:rsidR="4E4C1AFF">
        <w:rPr>
          <w:rFonts w:ascii="Aptos" w:hAnsi="Aptos" w:eastAsia="Aptos" w:cs="Aptos"/>
          <w:b w:val="0"/>
          <w:bCs w:val="0"/>
          <w:i w:val="0"/>
          <w:iCs w:val="0"/>
          <w:caps w:val="0"/>
          <w:smallCaps w:val="0"/>
          <w:noProof w:val="0"/>
          <w:color w:val="000000" w:themeColor="text1" w:themeTint="FF" w:themeShade="FF"/>
          <w:sz w:val="16"/>
          <w:szCs w:val="16"/>
          <w:lang w:val="en-US"/>
        </w:rPr>
        <w:t xml:space="preserve">Office of Specialty Medicine </w:t>
      </w:r>
    </w:p>
    <w:p w:rsidR="00003E5C" w:rsidP="0F19A6F4" w:rsidRDefault="00003E5C" w14:paraId="3DD14708" w14:textId="3702DBC6">
      <w:pPr>
        <w:spacing w:after="140" w:afterAutospacing="off" w:line="279" w:lineRule="auto"/>
        <w:ind w:left="0"/>
        <w:rPr>
          <w:rFonts w:ascii="Aptos" w:hAnsi="Aptos" w:eastAsia="Aptos" w:cs="Aptos"/>
          <w:b w:val="0"/>
          <w:bCs w:val="0"/>
          <w:i w:val="0"/>
          <w:iCs w:val="0"/>
          <w:caps w:val="0"/>
          <w:smallCaps w:val="0"/>
          <w:noProof w:val="0"/>
          <w:color w:val="000000" w:themeColor="text1" w:themeTint="FF" w:themeShade="FF"/>
          <w:sz w:val="16"/>
          <w:szCs w:val="16"/>
          <w:lang w:val="en-US"/>
        </w:rPr>
      </w:pPr>
      <w:r w:rsidRPr="0F19A6F4" w:rsidR="4E4C1AFF">
        <w:rPr>
          <w:rFonts w:ascii="Aptos" w:hAnsi="Aptos" w:eastAsia="Aptos" w:cs="Aptos"/>
          <w:b w:val="0"/>
          <w:bCs w:val="0"/>
          <w:i w:val="0"/>
          <w:iCs w:val="0"/>
          <w:caps w:val="0"/>
          <w:smallCaps w:val="0"/>
          <w:noProof w:val="0"/>
          <w:color w:val="000000" w:themeColor="text1" w:themeTint="FF" w:themeShade="FF"/>
          <w:sz w:val="16"/>
          <w:szCs w:val="16"/>
          <w:lang w:val="en-US"/>
        </w:rPr>
        <w:t xml:space="preserve">Center for Drug Evaluation and Research </w:t>
      </w:r>
    </w:p>
    <w:p w:rsidR="00003E5C" w:rsidP="1E9281BA" w:rsidRDefault="00003E5C" w14:paraId="2C078E63" w14:textId="4DFA3CF5">
      <w:pPr>
        <w:pStyle w:val="Normal"/>
        <w:spacing w:after="140" w:afterAutospacing="off" w:line="279" w:lineRule="auto"/>
        <w:ind w:left="0"/>
        <w:rPr>
          <w:rFonts w:ascii="Aptos" w:hAnsi="Aptos" w:eastAsia="Aptos" w:cs="Aptos"/>
          <w:b w:val="0"/>
          <w:bCs w:val="0"/>
          <w:i w:val="0"/>
          <w:iCs w:val="0"/>
          <w:caps w:val="0"/>
          <w:smallCaps w:val="0"/>
          <w:noProof w:val="0"/>
          <w:color w:val="000000" w:themeColor="text1" w:themeTint="FF" w:themeShade="FF"/>
          <w:sz w:val="16"/>
          <w:szCs w:val="16"/>
          <w:lang w:val="en-US"/>
        </w:rPr>
      </w:pPr>
    </w:p>
    <w:sectPr w:rsidR="00003E5C">
      <w:pgSz w:w="12240" w:h="15840" w:orient="portrait"/>
      <w:pgMar w:top="1440" w:right="1440" w:bottom="1440" w:left="1440" w:header="720" w:footer="720" w:gutter="0"/>
      <w:cols w:space="720"/>
      <w:docGrid w:linePitch="360"/>
      <w:headerReference w:type="default" r:id="R3879c46b9b74423b"/>
      <w:footerReference w:type="default" r:id="Re004a45c73f74c6a"/>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600"/>
      <w:gridCol w:w="2640"/>
      <w:gridCol w:w="3120"/>
    </w:tblGrid>
    <w:tr w:rsidR="0F19A6F4" w:rsidTr="0F19A6F4" w14:paraId="1A831541">
      <w:trPr>
        <w:trHeight w:val="300"/>
      </w:trPr>
      <w:tc>
        <w:tcPr>
          <w:tcW w:w="3600" w:type="dxa"/>
          <w:tcMar/>
        </w:tcPr>
        <w:p w:rsidR="0F19A6F4" w:rsidP="0F19A6F4" w:rsidRDefault="0F19A6F4" w14:paraId="590EC324" w14:textId="2486D96B">
          <w:pPr>
            <w:pStyle w:val="Header"/>
            <w:bidi w:val="0"/>
            <w:ind w:left="-115"/>
            <w:jc w:val="left"/>
            <w:rPr>
              <w:sz w:val="18"/>
              <w:szCs w:val="18"/>
            </w:rPr>
          </w:pPr>
          <w:r w:rsidRPr="0F19A6F4" w:rsidR="0F19A6F4">
            <w:rPr>
              <w:sz w:val="20"/>
              <w:szCs w:val="20"/>
            </w:rPr>
            <w:t>US. Food and Drug Administration</w:t>
          </w:r>
        </w:p>
        <w:p w:rsidR="0F19A6F4" w:rsidP="0F19A6F4" w:rsidRDefault="0F19A6F4" w14:paraId="134CAEFC" w14:textId="6B7BBE50">
          <w:pPr>
            <w:pStyle w:val="Header"/>
            <w:bidi w:val="0"/>
            <w:ind w:left="-115"/>
            <w:jc w:val="left"/>
            <w:rPr>
              <w:sz w:val="18"/>
              <w:szCs w:val="18"/>
            </w:rPr>
          </w:pPr>
          <w:r w:rsidRPr="0F19A6F4" w:rsidR="0F19A6F4">
            <w:rPr>
              <w:sz w:val="20"/>
              <w:szCs w:val="20"/>
            </w:rPr>
            <w:t>Silver Spring, MD 20993</w:t>
          </w:r>
        </w:p>
        <w:p w:rsidR="0F19A6F4" w:rsidP="0F19A6F4" w:rsidRDefault="0F19A6F4" w14:paraId="49F57594" w14:textId="5F119C0C">
          <w:pPr>
            <w:pStyle w:val="Header"/>
            <w:bidi w:val="0"/>
            <w:ind w:left="-115"/>
            <w:jc w:val="left"/>
            <w:rPr>
              <w:sz w:val="18"/>
              <w:szCs w:val="18"/>
            </w:rPr>
          </w:pPr>
          <w:r w:rsidRPr="0F19A6F4" w:rsidR="0F19A6F4">
            <w:rPr>
              <w:sz w:val="20"/>
              <w:szCs w:val="20"/>
            </w:rPr>
            <w:t>www.fda.gov</w:t>
          </w:r>
        </w:p>
      </w:tc>
      <w:tc>
        <w:tcPr>
          <w:tcW w:w="2640" w:type="dxa"/>
          <w:tcMar/>
        </w:tcPr>
        <w:p w:rsidR="0F19A6F4" w:rsidP="0F19A6F4" w:rsidRDefault="0F19A6F4" w14:paraId="063F3F7E" w14:textId="39915164">
          <w:pPr>
            <w:pStyle w:val="Header"/>
            <w:bidi w:val="0"/>
            <w:jc w:val="center"/>
          </w:pPr>
        </w:p>
      </w:tc>
      <w:tc>
        <w:tcPr>
          <w:tcW w:w="3120" w:type="dxa"/>
          <w:tcMar/>
        </w:tcPr>
        <w:p w:rsidR="0F19A6F4" w:rsidP="0F19A6F4" w:rsidRDefault="0F19A6F4" w14:paraId="3184BDAE" w14:textId="7CA85524">
          <w:pPr>
            <w:pStyle w:val="Header"/>
            <w:bidi w:val="0"/>
            <w:ind w:right="-115"/>
            <w:jc w:val="right"/>
          </w:pPr>
        </w:p>
      </w:tc>
    </w:tr>
  </w:tbl>
  <w:p w:rsidR="0F19A6F4" w:rsidP="0F19A6F4" w:rsidRDefault="0F19A6F4" w14:paraId="2E50AE02" w14:textId="0B856DF0">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0F19A6F4" w:rsidTr="0F19A6F4" w14:paraId="10681AD8">
      <w:trPr>
        <w:trHeight w:val="300"/>
      </w:trPr>
      <w:tc>
        <w:tcPr>
          <w:tcW w:w="3120" w:type="dxa"/>
          <w:tcMar/>
        </w:tcPr>
        <w:p w:rsidR="0F19A6F4" w:rsidP="0F19A6F4" w:rsidRDefault="0F19A6F4" w14:paraId="684F9639" w14:textId="41951373">
          <w:pPr>
            <w:pStyle w:val="Header"/>
            <w:bidi w:val="0"/>
            <w:ind w:left="-115"/>
            <w:jc w:val="left"/>
          </w:pPr>
        </w:p>
      </w:tc>
      <w:tc>
        <w:tcPr>
          <w:tcW w:w="3120" w:type="dxa"/>
          <w:tcMar/>
        </w:tcPr>
        <w:p w:rsidR="0F19A6F4" w:rsidP="0F19A6F4" w:rsidRDefault="0F19A6F4" w14:paraId="59AFCE86" w14:textId="7B0E66F0">
          <w:pPr>
            <w:pStyle w:val="Header"/>
            <w:bidi w:val="0"/>
            <w:jc w:val="center"/>
          </w:pPr>
        </w:p>
      </w:tc>
      <w:tc>
        <w:tcPr>
          <w:tcW w:w="3120" w:type="dxa"/>
          <w:tcMar/>
        </w:tcPr>
        <w:p w:rsidR="0F19A6F4" w:rsidP="0F19A6F4" w:rsidRDefault="0F19A6F4" w14:paraId="0B5BCC15" w14:textId="58955B54">
          <w:pPr>
            <w:pStyle w:val="Header"/>
            <w:bidi w:val="0"/>
            <w:ind w:right="-115"/>
            <w:jc w:val="right"/>
          </w:pPr>
        </w:p>
      </w:tc>
    </w:tr>
  </w:tbl>
  <w:p w:rsidR="0F19A6F4" w:rsidP="0F19A6F4" w:rsidRDefault="0F19A6F4" w14:paraId="23F0108C" w14:textId="23FEB87E">
    <w:pPr>
      <w:pStyle w:val="Header"/>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6A0CD1F"/>
    <w:rsid w:val="00003E5C"/>
    <w:rsid w:val="00061FAC"/>
    <w:rsid w:val="0F19A6F4"/>
    <w:rsid w:val="16A0CD1F"/>
    <w:rsid w:val="19AC04C1"/>
    <w:rsid w:val="1E9281BA"/>
    <w:rsid w:val="424BCCC4"/>
    <w:rsid w:val="4E4C1AFF"/>
    <w:rsid w:val="4EDF534A"/>
    <w:rsid w:val="541A7F44"/>
    <w:rsid w:val="6EDDC3E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0CD1F"/>
  <w15:chartTrackingRefBased/>
  <w15:docId w15:val="{86FC646C-356D-456F-A61D-C00300682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mailto:SecureEmail@fda.hhs.gov" TargetMode="External" Id="R18ded51567e2496e" /><Relationship Type="http://schemas.openxmlformats.org/officeDocument/2006/relationships/header" Target="header.xml" Id="R3879c46b9b74423b" /><Relationship Type="http://schemas.openxmlformats.org/officeDocument/2006/relationships/footer" Target="footer.xml" Id="Re004a45c73f74c6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Youhan Lalwani (ext)</dc:creator>
  <keywords/>
  <dc:description/>
  <lastModifiedBy>Youhan Lalwani (ext)</lastModifiedBy>
  <revision>4</revision>
  <dcterms:created xsi:type="dcterms:W3CDTF">2024-06-11T09:37:00.0000000Z</dcterms:created>
  <dcterms:modified xsi:type="dcterms:W3CDTF">2024-06-12T05:15:59.8711159Z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cb69475-382c-4c7a-b21d-8ca64eeef1bd_Enabled">
    <vt:lpwstr>true</vt:lpwstr>
  </property>
  <property fmtid="{D5CDD505-2E9C-101B-9397-08002B2CF9AE}" pid="3" name="MSIP_Label_ecb69475-382c-4c7a-b21d-8ca64eeef1bd_SetDate">
    <vt:lpwstr>2024-06-11T09:37:52Z</vt:lpwstr>
  </property>
  <property fmtid="{D5CDD505-2E9C-101B-9397-08002B2CF9AE}" pid="4" name="MSIP_Label_ecb69475-382c-4c7a-b21d-8ca64eeef1bd_Method">
    <vt:lpwstr>Standard</vt:lpwstr>
  </property>
  <property fmtid="{D5CDD505-2E9C-101B-9397-08002B2CF9AE}" pid="5" name="MSIP_Label_ecb69475-382c-4c7a-b21d-8ca64eeef1bd_Name">
    <vt:lpwstr>Eviden For Internal Use - All Employees</vt:lpwstr>
  </property>
  <property fmtid="{D5CDD505-2E9C-101B-9397-08002B2CF9AE}" pid="6" name="MSIP_Label_ecb69475-382c-4c7a-b21d-8ca64eeef1bd_SiteId">
    <vt:lpwstr>7d1c7785-2d8a-437d-b842-1ed5d8fbe00a</vt:lpwstr>
  </property>
  <property fmtid="{D5CDD505-2E9C-101B-9397-08002B2CF9AE}" pid="7" name="MSIP_Label_ecb69475-382c-4c7a-b21d-8ca64eeef1bd_ActionId">
    <vt:lpwstr>f3cd6136-6de1-4ec4-981f-981bdee5bb85</vt:lpwstr>
  </property>
  <property fmtid="{D5CDD505-2E9C-101B-9397-08002B2CF9AE}" pid="8" name="MSIP_Label_ecb69475-382c-4c7a-b21d-8ca64eeef1bd_ContentBits">
    <vt:lpwstr>0</vt:lpwstr>
  </property>
</Properties>
</file>