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sz w:val="32"/>
          <w:szCs w:val="32"/>
        </w:rPr>
        <w:t xml:space="preserve">Geographic Disparities in Dialysis Access Among Navajo Nation Residents: A Spatial Analysis Using the Enhanced Two-Step Floating Catchment Area Method</w:t>
      </w:r>
    </w:p>
    <w:p>
      <w:pPr>
        <w:spacing w:after="100"/>
        <w:jc w:val="center"/>
      </w:pPr>
      <w:r>
        <w:rPr>
          <w:rFonts w:ascii="Cambria" w:cs="Cambria" w:eastAsia="Cambria" w:hAnsi="Cambria"/>
          <w:sz w:val="24"/>
          <w:szCs w:val="24"/>
        </w:rPr>
        <w:t xml:space="preserve">Sriram Yerneni¹</w:t>
      </w:r>
    </w:p>
    <w:p>
      <w:pPr>
        <w:spacing w:after="80"/>
        <w:jc w:val="center"/>
      </w:pPr>
      <w:r>
        <w:rPr>
          <w:rFonts w:ascii="Cambria" w:cs="Cambria" w:eastAsia="Cambria" w:hAnsi="Cambria"/>
          <w:i/>
          <w:iCs/>
          <w:sz w:val="20"/>
          <w:szCs w:val="20"/>
        </w:rPr>
        <w:t xml:space="preserve">¹[Department, Institution, City, State, USA]</w:t>
      </w:r>
    </w:p>
    <w:p>
      <w:pPr>
        <w:spacing w:after="240"/>
        <w:jc w:val="center"/>
      </w:pPr>
      <w:r>
        <w:rPr>
          <w:rFonts w:ascii="Cambria" w:cs="Cambria" w:eastAsia="Cambria" w:hAnsi="Cambria"/>
          <w:i/>
          <w:iCs/>
          <w:sz w:val="20"/>
          <w:szCs w:val="20"/>
        </w:rPr>
        <w:t xml:space="preserve">Correspondence: [email@institution.edu]</w:t>
      </w:r>
    </w:p>
    <w:p>
      <w:pPr>
        <w:pStyle w:val="Heading1"/>
        <w:spacing w:after="160" w:before="320"/>
      </w:pPr>
      <w:r>
        <w:rPr>
          <w:rFonts w:ascii="Cambria" w:cs="Cambria" w:eastAsia="Cambria" w:hAnsi="Cambria"/>
          <w:b/>
          <w:bCs/>
          <w:caps/>
          <w:sz w:val="28"/>
          <w:szCs w:val="28"/>
        </w:rPr>
        <w:t xml:space="preserve">Abstract</w:t>
      </w:r>
    </w:p>
    <w:p>
      <w:pPr>
        <w:spacing w:after="160" w:line="276"/>
        <w:jc w:val="both"/>
      </w:pPr>
      <w:r>
        <w:rPr>
          <w:rFonts w:ascii="Cambria" w:cs="Cambria" w:eastAsia="Cambria" w:hAnsi="Cambria"/>
          <w:sz w:val="24"/>
          <w:szCs w:val="24"/>
        </w:rPr>
        <w:t xml:space="preserve">Background: End-stage renal disease (ESRD) imposes a disproportionate burden on American Indian and Alaska Native (AI/AN) populations, with incidence rates approximately 2.0 to 2.5 times the national average compared to white Americans (Burrows et al., 2020). Among residents of the Navajo Nation — the largest tribal reservation in the United States, spanning more than 71,000 km² across Arizona, New Mexico, and Utah — ESRD prevalence has been estimated at 0.63%, more than three times the U.S. adult average (Hochman et al., 2007). Hemodialysis remains the dominant renal replacement therapy for patients not eligible for transplantation, requiring thrice-weekly facility visits of three to four hours each (Tian et al., 2023). The geographic isolation characteristic of much of the Navajo Nation renders travel to dialysis facilities a substantial clinical and logistical challenge, with evidence linking greater travel burden to lower treatment adherence and increased mortality (Moist et al., 2008).</w:t>
      </w:r>
    </w:p>
    <w:p>
      <w:pPr>
        <w:spacing w:after="160" w:line="276"/>
        <w:jc w:val="both"/>
      </w:pPr>
      <w:r>
        <w:rPr>
          <w:rFonts w:ascii="Cambria" w:cs="Cambria" w:eastAsia="Cambria" w:hAnsi="Cambria"/>
          <w:sz w:val="24"/>
          <w:szCs w:val="24"/>
        </w:rPr>
        <w:t xml:space="preserve">Objective: This study aimed to quantify and map disparities in geographic access to dialysis services across the Navajo Nation by modeling both the supply of facility capacity and the risk-adjusted demand of the resident population.</w:t>
      </w:r>
    </w:p>
    <w:p>
      <w:pPr>
        <w:spacing w:after="160" w:line="276"/>
        <w:jc w:val="both"/>
      </w:pPr>
      <w:r>
        <w:rPr>
          <w:rFonts w:ascii="Cambria" w:cs="Cambria" w:eastAsia="Cambria" w:hAnsi="Cambria"/>
          <w:sz w:val="24"/>
          <w:szCs w:val="24"/>
        </w:rPr>
        <w:t xml:space="preserve">Methods: An Enhanced Two-Step Floating Catchment Area (E2SFCA) approach was applied at the census block level. Facility supply was operationalized as dialysis station counts drawn from Centers for Medicare &amp; Medicaid Services (CMS) provider data. Population demand was estimated by stratifying 2020 Census block populations by age, sex, and race and applying ESRD incidence-based hazard ratio multipliers from the United States Renal Data System (USRDS, 2025), then adjusting for local diabetes and hypertension prevalence using CDC PLACES tract-level data. Drive-time catchments of 0–15, 15–30, and 30–60 minutes were generated using the OpenRouteService API and weighted using a Gaussian distance-decay function. Resulting block-level accessibility scores (SPAI) were normalized to the Navajo Nation mean to produce a Spatial Access Ratio (SPAR) enabling relative comparison across chapters and BIA agency areas.</w:t>
      </w:r>
    </w:p>
    <w:p>
      <w:pPr>
        <w:spacing w:after="160" w:line="276"/>
        <w:jc w:val="both"/>
      </w:pPr>
      <w:r>
        <w:rPr>
          <w:rFonts w:ascii="Cambria" w:cs="Cambria" w:eastAsia="Cambria" w:hAnsi="Cambria"/>
          <w:sz w:val="24"/>
          <w:szCs w:val="24"/>
        </w:rPr>
        <w:t xml:space="preserve">Results: [Results will be reported upon completion of analysis. Expected outputs include chapter- and agency-level SPAR scores identifying areas of highest and lowest relative access, and summary statistics on the proportion of the risk-weighted Navajo population within versus beyond the 60-minute isochrone threshold.]</w:t>
      </w:r>
    </w:p>
    <w:p>
      <w:pPr>
        <w:spacing w:after="160" w:line="276"/>
        <w:jc w:val="both"/>
      </w:pPr>
      <w:r>
        <w:rPr>
          <w:rFonts w:ascii="Cambria" w:cs="Cambria" w:eastAsia="Cambria" w:hAnsi="Cambria"/>
          <w:sz w:val="24"/>
          <w:szCs w:val="24"/>
        </w:rPr>
        <w:t xml:space="preserve">Conclusion: This analysis provides a spatially explicit, demand-weighted assessment of dialysis access across the Navajo Nation. Findings are intended to inform IHS resource allocation decisions, support advocacy for expanded dialysis infrastructure, and contribute methodologically to the literature on spatial accessibility in Indigenous health contexts.</w:t>
      </w:r>
    </w:p>
    <w:p>
      <w:pPr>
        <w:spacing w:after="160" w:line="276"/>
        <w:jc w:val="both"/>
      </w:pPr>
      <w:r>
        <w:rPr>
          <w:rFonts w:ascii="Cambria" w:cs="Cambria" w:eastAsia="Cambria" w:hAnsi="Cambria"/>
          <w:b/>
          <w:bCs/>
          <w:sz w:val="24"/>
          <w:szCs w:val="24"/>
        </w:rPr>
        <w:t xml:space="preserve">Keywords: </w:t>
      </w:r>
      <w:r>
        <w:rPr>
          <w:rFonts w:ascii="Cambria" w:cs="Cambria" w:eastAsia="Cambria" w:hAnsi="Cambria"/>
          <w:sz w:val="24"/>
          <w:szCs w:val="24"/>
        </w:rPr>
        <w:t xml:space="preserve">end-stage renal disease, dialysis access, Navajo Nation, E2SFCA, spatial accessibility, health disparities, American Indian health, geographic analysis</w:t>
      </w:r>
    </w:p>
    <w:p>
      <w:pPr>
        <w:spacing w:after="80"/>
      </w:pPr>
      <w:r>
        <w:t xml:space="preserve"/>
      </w:r>
    </w:p>
    <w:p>
      <w:pPr>
        <w:pStyle w:val="Heading1"/>
        <w:spacing w:after="160" w:before="320"/>
      </w:pPr>
      <w:r>
        <w:rPr>
          <w:rFonts w:ascii="Cambria" w:cs="Cambria" w:eastAsia="Cambria" w:hAnsi="Cambria"/>
          <w:b/>
          <w:bCs/>
          <w:caps/>
          <w:sz w:val="28"/>
          <w:szCs w:val="28"/>
        </w:rPr>
        <w:t xml:space="preserve">1. Introduction</w:t>
      </w:r>
    </w:p>
    <w:p>
      <w:pPr>
        <w:spacing w:after="160" w:line="276"/>
        <w:jc w:val="both"/>
      </w:pPr>
      <w:r>
        <w:rPr>
          <w:rFonts w:ascii="Cambria" w:cs="Cambria" w:eastAsia="Cambria" w:hAnsi="Cambria"/>
          <w:sz w:val="24"/>
          <w:szCs w:val="24"/>
        </w:rPr>
        <w:t xml:space="preserve">End-stage renal disease (ESRD) represents one of the most severe manifestations of chronic disease burden facing Indigenous communities in the United States. Among American Indian and Alaska Native (AI/AN) populations, the incidence of ESRD is approximately 2.0 to 2.5 times the national average compared to white Americans, a disparity that has persisted across decades despite documented declines in diabetes-attributable kidney failure rates since the mid-1990s (Burrows et al., 2020; Bullock et al., 2017). Diabetes accounts for an estimated 69% of new ESRD cases among AI/AN individuals, with hypertension representing a substantial secondary contributor (Bullock et al., 2017; Burrows et al., 2022). These epidemiological patterns reflect a broader convergence of genetic susceptibility, chronic underinvestment in preventive and specialty care, and the enduring structural consequences of colonization and socioeconomic marginalization (Tungsanga et al., 2025; Eberly et al., 2023).</w:t>
      </w:r>
    </w:p>
    <w:p>
      <w:pPr>
        <w:spacing w:after="160" w:line="276"/>
        <w:jc w:val="both"/>
      </w:pPr>
      <w:r>
        <w:rPr>
          <w:rFonts w:ascii="Cambria" w:cs="Cambria" w:eastAsia="Cambria" w:hAnsi="Cambria"/>
          <w:sz w:val="24"/>
          <w:szCs w:val="24"/>
        </w:rPr>
        <w:t xml:space="preserve">The Navajo Nation, the largest federally recognized tribal reservation in the United States, spanning more than 71,000 km² across portions of Arizona, New Mexico, and Utah and home to approximately 170,000 residents, exemplifies this convergence in particularly acute form (Hochman et al., 2007). Age-adjusted ESRD prevalence on the Navajo Nation has been estimated at 0.63% of the adult population, compared to 0.19% nationally, while incidence was 0.11% versus 0.045% in the general U.S. adult population (Hochman et al., 2007). These rates are compounded by extraordinarily high rates of type 2 diabetes — estimated at 22.9% among Navajo adults aged 20 and older, approximately four times the U.S. average (Will et al., 1997) — as well as elevated hypertension prevalence, food insecurity affecting over 76% of surveyed households (Pardilla et al., 2014), and documented exposure to nephrotoxic contaminants associated with legacy uranium mining operations (Redvers et al., 2021; Credo et al., 2019).</w:t>
      </w:r>
    </w:p>
    <w:p>
      <w:pPr>
        <w:spacing w:after="160" w:line="276"/>
        <w:jc w:val="both"/>
      </w:pPr>
      <w:r>
        <w:rPr>
          <w:rFonts w:ascii="Cambria" w:cs="Cambria" w:eastAsia="Cambria" w:hAnsi="Cambria"/>
          <w:sz w:val="24"/>
          <w:szCs w:val="24"/>
        </w:rPr>
        <w:t xml:space="preserve">For individuals with ESRD who are not candidates for kidney transplantation, hemodialysis at a certified outpatient facility is the default treatment modality. Hemodialysis requires attendance at a dialysis center three times per week, with each session lasting three to four hours (Tian et al., 2023). In the context of the Navajo Nation, where road infrastructure is sparse and dialysis facilities are geographically concentrated in regional centers rather than distributed across the reservation's interior, this treatment schedule imposes substantial travel demands on patients and caregivers. Greater travel time to dialysis has been associated with reduced health-related quality of life, lower treatment adherence, and increased mortality risk (Moist et al., 2008). Transportation insecurity — lack of reliable private transport or inability to afford transit — has been independently associated with higher rates of missed treatments and increased mortality among hemodialysis patients (Razon et al., 2025; Tian et al., 2023). Rural dialysis patients face additional disadvantages in care quality and clinical outcomes relative to their urban counterparts (Rucker et al., 2011; Koppula et al., 2025).</w:t>
      </w:r>
    </w:p>
    <w:p>
      <w:pPr>
        <w:spacing w:after="160" w:line="276"/>
        <w:jc w:val="both"/>
      </w:pPr>
      <w:r>
        <w:rPr>
          <w:rFonts w:ascii="Cambria" w:cs="Cambria" w:eastAsia="Cambria" w:hAnsi="Cambria"/>
          <w:sz w:val="24"/>
          <w:szCs w:val="24"/>
        </w:rPr>
        <w:t xml:space="preserve">The Indian Health Service (IHS), the federal agency charged with delivering healthcare to approximately 1.6 million AI/AN individuals under the United States government's trust responsibility to tribal nations, has historically faced chronic underfunding that limits its capacity to address specialty care needs, including nephrology (Breathett et al., 2020; Narva, 2018). IHS per-capita expenditure has been documented as substantially lower than comparable federal health programs, constraining both facility infrastructure and specialist availability (Warne &amp; Frizzell, 2014). Most IHS facilities operate at the primary and emergency care level, and the provision of in-center hemodialysis on the Navajo Nation has relied substantially on a small number of IHS-operated units as well as Medicaid-certified commercial facilities located near but not within reservation boundaries (Narva, 2002). AI/AN patients also face documented barriers to kidney transplantation, with studies demonstrating lower rates of waitlist placement and transplant receipt even after controlling for referral (Sequist et al., 2004; Yeates et al., 2009).</w:t>
      </w:r>
    </w:p>
    <w:p>
      <w:pPr>
        <w:spacing w:after="160" w:line="276"/>
        <w:jc w:val="both"/>
      </w:pPr>
      <w:r>
        <w:rPr>
          <w:rFonts w:ascii="Cambria" w:cs="Cambria" w:eastAsia="Cambria" w:hAnsi="Cambria"/>
          <w:sz w:val="24"/>
          <w:szCs w:val="24"/>
        </w:rPr>
        <w:t xml:space="preserve">Despite these well-documented disparities, the geographic distribution of dialysis access across the Navajo Nation has not previously been characterized using supply- and demand-integrated spatial accessibility methods. Existing studies have documented ESRD epidemiology and described structural barriers to care in general terms, but have not produced the facility-level, population-weighted, spatially explicit access scores necessary to identify which specific communities face the greatest deficits and to prioritize infrastructure investment accordingly.</w:t>
      </w:r>
    </w:p>
    <w:p>
      <w:pPr>
        <w:spacing w:after="160" w:line="276"/>
        <w:jc w:val="both"/>
      </w:pPr>
      <w:r>
        <w:rPr>
          <w:rFonts w:ascii="Cambria" w:cs="Cambria" w:eastAsia="Cambria" w:hAnsi="Cambria"/>
          <w:sz w:val="24"/>
          <w:szCs w:val="24"/>
        </w:rPr>
        <w:t xml:space="preserve">The two-step floating catchment area (2SFCA) method, originally proposed by Luo and Wang (2003), addresses this gap by integrating both the supply side (facility capacity) and the demand side (population need) of the access equation within geographically defined catchment zones. The Enhanced 2SFCA (E2SFCA) variant, introduced by Wan et al. (2012), further refines this framework by applying continuous distance-decay weights within catchment bands, so that populations and facilities closer together exert greater influence on the resulting ratio than those at the outer limit of the catchment. This methodological approach is well-suited to contexts such as the Navajo Nation, where both the spatial distribution of facilities and the geographic heterogeneity of demand are pronounced.</w:t>
      </w:r>
    </w:p>
    <w:p>
      <w:pPr>
        <w:spacing w:after="160" w:line="276"/>
        <w:jc w:val="both"/>
      </w:pPr>
      <w:r>
        <w:rPr>
          <w:rFonts w:ascii="Cambria" w:cs="Cambria" w:eastAsia="Cambria" w:hAnsi="Cambria"/>
          <w:sz w:val="24"/>
          <w:szCs w:val="24"/>
        </w:rPr>
        <w:t xml:space="preserve">The present study applies the E2SFCA method at the census block level across the Navajo Nation, combining CMS facility data, 2020 Decennial Census demographics stratified by age, sex, and race, USRDS-derived ESRD hazard ratio multipliers, CDC PLACES disease prevalence data, and OpenRouteService drive-time isochrones to produce block-level accessibility scores. These scores are aggregated to the chapter and BIA agency level to enable comparison across administrative units. The resulting Spatial Access Ratio (SPAR) is normalized to the Navajo Nation mean, allowing identification of areas with above-average and below-average access relative to the reservation as a whole. This work is intended to contribute both a substantive assessment of dialysis access disparities on the Navajo Nation and a replicable methodological framework applicable to other tribal or rural health contexts.</w:t>
      </w:r>
    </w:p>
    <w:p>
      <w:pPr>
        <w:spacing w:after="80"/>
      </w:pPr>
      <w:r>
        <w:t xml:space="preserve"/>
      </w:r>
    </w:p>
    <w:p>
      <w:pPr>
        <w:pStyle w:val="Heading1"/>
        <w:spacing w:after="160" w:before="320"/>
      </w:pPr>
      <w:r>
        <w:rPr>
          <w:rFonts w:ascii="Cambria" w:cs="Cambria" w:eastAsia="Cambria" w:hAnsi="Cambria"/>
          <w:b/>
          <w:bCs/>
          <w:caps/>
          <w:sz w:val="28"/>
          <w:szCs w:val="28"/>
        </w:rPr>
        <w:t xml:space="preserve">2. Methods</w:t>
      </w:r>
    </w:p>
    <w:p>
      <w:pPr>
        <w:pStyle w:val="Heading2"/>
        <w:spacing w:after="120" w:before="240"/>
      </w:pPr>
      <w:r>
        <w:rPr>
          <w:rFonts w:ascii="Cambria" w:cs="Cambria" w:eastAsia="Cambria" w:hAnsi="Cambria"/>
          <w:b/>
          <w:bCs/>
          <w:sz w:val="24"/>
          <w:szCs w:val="24"/>
        </w:rPr>
        <w:t xml:space="preserve">2.1 Study Area</w:t>
      </w:r>
    </w:p>
    <w:p>
      <w:pPr>
        <w:spacing w:after="160" w:line="276"/>
        <w:jc w:val="both"/>
      </w:pPr>
      <w:r>
        <w:rPr>
          <w:rFonts w:ascii="Cambria" w:cs="Cambria" w:eastAsia="Cambria" w:hAnsi="Cambria"/>
          <w:sz w:val="24"/>
          <w:szCs w:val="24"/>
        </w:rPr>
        <w:t xml:space="preserve">The study area comprised the Navajo Nation, including all 110 recognized chapters and the San Juan Southern Paiute Tribe's de facto territory, as defined by the U.S. Census Bureau's TIGER/Line American Indian Tribal Subdivisions (AIANNHA) file. Chapter boundaries were retrieved from the Census TIGERweb REST API by filtering for American Indian/Alaska Native/Native Hawaiian Areas (AIANNH code 2430, MTFCC code G2300). Agency-level and nation-level boundaries were derived by dissolving chapter boundaries according to a pre-established chapter-to-agency lookup table assigning the 110 chapters to five Bureau of Indian Affairs (BIA) agency areas: Tuba City, Chinle, Shiprock, Fort Defiance, and Crownpoint. The Winslow Tract and other non-chapter TIGER polygons within the Navajo Nation were excluded from the analysis. Two San Juan Southern Paiute polygons, which lack chapter status but fall geographically within the Navajo Nation, were aggregated with adjacent Tuba City agency chapters for the purposes of agency-level reporting.</w:t>
      </w:r>
    </w:p>
    <w:p>
      <w:pPr>
        <w:pStyle w:val="Heading2"/>
        <w:spacing w:after="120" w:before="240"/>
      </w:pPr>
      <w:r>
        <w:rPr>
          <w:rFonts w:ascii="Cambria" w:cs="Cambria" w:eastAsia="Cambria" w:hAnsi="Cambria"/>
          <w:b/>
          <w:bCs/>
          <w:sz w:val="24"/>
          <w:szCs w:val="24"/>
        </w:rPr>
        <w:t xml:space="preserve">2.2 Dialysis Facility Data and Supply Estimation</w:t>
      </w:r>
    </w:p>
    <w:p>
      <w:pPr>
        <w:spacing w:after="160" w:line="276"/>
        <w:jc w:val="both"/>
      </w:pPr>
      <w:r>
        <w:rPr>
          <w:rFonts w:ascii="Cambria" w:cs="Cambria" w:eastAsia="Cambria" w:hAnsi="Cambria"/>
          <w:sz w:val="24"/>
          <w:szCs w:val="24"/>
        </w:rPr>
        <w:t xml:space="preserve">Dialysis facility data were obtained from the Centers for Medicare &amp; Medicaid Services (CMS) Provider Data catalog, restricted to facilities in Arizona, New Mexico, Utah, and Colorado. Facilities reporting zero dialysis stations were excluded from supply-side calculations on the grounds that station count is the operational measure of capacity. Facility addresses were geocoded using the Google Maps Geocoding API; 319 of 320 facilities were geocoded automatically with high confidence, and four coordinates were subsequently verified and manually corrected using satellite imagery. Each facility's street address, coordinates, and station count were confirmed against the CMS record.</w:t>
      </w:r>
    </w:p>
    <w:p>
      <w:pPr>
        <w:spacing w:after="160" w:line="276"/>
        <w:jc w:val="both"/>
      </w:pPr>
      <w:r>
        <w:rPr>
          <w:rFonts w:ascii="Cambria" w:cs="Cambria" w:eastAsia="Cambria" w:hAnsi="Cambria"/>
          <w:sz w:val="24"/>
          <w:szCs w:val="24"/>
        </w:rPr>
        <w:t xml:space="preserve">Supply at each facility j was operationalized as Sⱼ, the number of CMS-reported dialysis stations. Drive-time isochrones were generated for each facility using the OpenRouteService (ORS) API under a driving-car profile, producing three concentric band polygons per facility corresponding to 0–15, 15–30, and 30–60 minutes of travel time. The set of facilities contributing to the analysis, denoted Fᵈ, was restricted to those whose 60-minute isochrone intersected the Navajo Nation boundary, as only these facilities could realistically serve Navajo Nation residents within the catchment threshold.</w:t>
      </w:r>
    </w:p>
    <w:p>
      <w:pPr>
        <w:pStyle w:val="Heading2"/>
        <w:spacing w:after="120" w:before="240"/>
      </w:pPr>
      <w:r>
        <w:rPr>
          <w:rFonts w:ascii="Cambria" w:cs="Cambria" w:eastAsia="Cambria" w:hAnsi="Cambria"/>
          <w:b/>
          <w:bCs/>
          <w:sz w:val="24"/>
          <w:szCs w:val="24"/>
        </w:rPr>
        <w:t xml:space="preserve">2.3 Distance-Decay Weighting</w:t>
      </w:r>
    </w:p>
    <w:p>
      <w:pPr>
        <w:spacing w:after="160" w:line="276"/>
        <w:jc w:val="both"/>
      </w:pPr>
      <w:r>
        <w:rPr>
          <w:rFonts w:ascii="Cambria" w:cs="Cambria" w:eastAsia="Cambria" w:hAnsi="Cambria"/>
          <w:sz w:val="24"/>
          <w:szCs w:val="24"/>
        </w:rPr>
        <w:t xml:space="preserve">Distance-decay weights for the three isochrone bands were derived using a Gaussian decay function of the form w(d) = e^(−d²/β), where d is travel time in minutes and β is a decay parameter calibrated such that the weight at the maximum catchment boundary (60 minutes) equals 0.01. This condition yields β = −60² / ln(0.01) ≈ 782. Weights were evaluated at the start of each travel-time band (d = 0, 15, and 30 minutes, respectively), producing impedance weights of 1.00, 0.75, and 0.32 for the 0–15, 15–30, and 30–60 minute bands. Block membership within each band was determined by polygon containment: each block centroid was assigned to the innermost isochrone band in which it fell.</w:t>
      </w:r>
    </w:p>
    <w:p>
      <w:pPr>
        <w:pStyle w:val="Heading2"/>
        <w:spacing w:after="120" w:before="240"/>
      </w:pPr>
      <w:r>
        <w:rPr>
          <w:rFonts w:ascii="Cambria" w:cs="Cambria" w:eastAsia="Cambria" w:hAnsi="Cambria"/>
          <w:b/>
          <w:bCs/>
          <w:sz w:val="24"/>
          <w:szCs w:val="24"/>
        </w:rPr>
        <w:t xml:space="preserve">2.4 Population and Demand Estimation</w:t>
      </w:r>
    </w:p>
    <w:p>
      <w:pPr>
        <w:spacing w:after="160" w:line="276"/>
        <w:jc w:val="both"/>
      </w:pPr>
      <w:r>
        <w:rPr>
          <w:rFonts w:ascii="Cambria" w:cs="Cambria" w:eastAsia="Cambria" w:hAnsi="Cambria"/>
          <w:sz w:val="24"/>
          <w:szCs w:val="24"/>
        </w:rPr>
        <w:t xml:space="preserve">Population data were obtained from the 2020 Decennial Census at the census block level via the tidycensus R package, using Demographic and Housing Characteristics (DHC) tables P12H through P12N, which provide sex-by-age counts stratified by race and Hispanic origin. These tables were used to construct counts for five race/ethnicity categories (White, Black, Hispanic, Asian/Native Hawaiian/Pacific Islander, and Native American) within five age groups (0–17, 18–44, 45–64, 65–74, and 75 and older) and both sexes.</w:t>
      </w:r>
    </w:p>
    <w:p>
      <w:pPr>
        <w:spacing w:after="160" w:line="276"/>
        <w:jc w:val="both"/>
      </w:pPr>
      <w:r>
        <w:rPr>
          <w:rFonts w:ascii="Cambria" w:cs="Cambria" w:eastAsia="Cambria" w:hAnsi="Cambria"/>
          <w:sz w:val="24"/>
          <w:szCs w:val="24"/>
        </w:rPr>
        <w:t xml:space="preserve">Risk-adjusted demand at each census block k was computed by applying ESRD incidence-based hazard ratio multipliers to each demographic stratum and adjusting the resulting sum by local disease prevalence. ESRD incidence rates by sex, age group, and race/ethnicity were derived from Figure 1.2 of the 2025 USRDS Annual Data Report (2023 data release). Multipliers were calculated as the ratio of each group's incidence rate to that of the baseline group — adult female, white, aged 18–44 — and are reported in full in the Technical Appendix. Sex multipliers were 1.000 for female and 1.638 for male. Age multipliers ranged from 0.099 for the 0–17 group to 12.922 for the 75-and-older group. Race multipliers ranged from 1.000 for white to 3.795 for Black. The Native American multiplier was 2.319.</w:t>
      </w:r>
    </w:p>
    <w:p>
      <w:pPr>
        <w:spacing w:after="160" w:line="276"/>
        <w:jc w:val="both"/>
      </w:pPr>
      <w:r>
        <w:rPr>
          <w:rFonts w:ascii="Cambria" w:cs="Cambria" w:eastAsia="Cambria" w:hAnsi="Cambria"/>
          <w:sz w:val="24"/>
          <w:szCs w:val="24"/>
        </w:rPr>
        <w:t xml:space="preserve">Tract-level diabetes (DM) and hypertension (HTN) crude prevalence estimates were obtained from the CDC PLACES 2024 Release via the ArcGIS FeatureServer REST API (fields DIABETES_CrudePrev and BPHIGH_CrudePrev). Because census blocks nest within census tracts, prevalence values were assigned to blocks by matching on the tract GEOID component, without spatial interpolation. The complete demand formula for block k was:</w:t>
      </w:r>
    </w:p>
    <w:p>
      <w:pPr>
        <w:spacing w:after="120" w:before="120"/>
        <w:jc w:val="center"/>
      </w:pPr>
      <w:r>
        <w:rPr>
          <w:rFonts w:ascii="Cambria" w:cs="Cambria" w:eastAsia="Cambria" w:hAnsi="Cambria"/>
          <w:b/>
          <w:bCs/>
          <w:sz w:val="24"/>
          <w:szCs w:val="24"/>
        </w:rPr>
        <w:t xml:space="preserve">Pₖ = Σₛⱼᵣ(Nₛⱼᵣₖ × Mₛ × Mⱼ × Mᵣ) × (1 + DMₖ × 5.10 + HTNₖ × 0.44)</w:t>
      </w:r>
    </w:p>
    <w:p>
      <w:pPr>
        <w:spacing w:after="160" w:line="276"/>
        <w:jc w:val="both"/>
      </w:pPr>
      <w:r>
        <w:rPr>
          <w:rFonts w:ascii="Cambria" w:cs="Cambria" w:eastAsia="Cambria" w:hAnsi="Cambria"/>
          <w:sz w:val="24"/>
          <w:szCs w:val="24"/>
        </w:rPr>
        <w:t xml:space="preserve">where Nₛⱼᵣₖ is the population count for sex s, age group a, and race r in block k; Mₛ, Mⱼ, and Mᵣ are the respective hazard ratio multipliers; and DMₖ and HTNₖ are the crude prevalence rates of diabetes mellitus and hypertension at the tract containing block k. The disease adjustment terms 5.10 and 0.44 represent the excess hazard attributable to diabetes and hypertension relative to a disease-free baseline, derived from reported hazard ratios of 6.10 and 1.44 respectively (McCullough et al., 2018). This formulation operationalizes each block's population not as a raw head count but as a risk-weighted estimate of the population pool likely to require dialysis services currently or in the foreseeable future.</w:t>
      </w:r>
    </w:p>
    <w:p>
      <w:pPr>
        <w:pStyle w:val="Heading2"/>
        <w:spacing w:after="120" w:before="240"/>
      </w:pPr>
      <w:r>
        <w:rPr>
          <w:rFonts w:ascii="Cambria" w:cs="Cambria" w:eastAsia="Cambria" w:hAnsi="Cambria"/>
          <w:b/>
          <w:bCs/>
          <w:sz w:val="24"/>
          <w:szCs w:val="24"/>
        </w:rPr>
        <w:t xml:space="preserve">2.5 E2SFCA Accessibility Scoring</w:t>
      </w:r>
    </w:p>
    <w:p>
      <w:pPr>
        <w:spacing w:after="160" w:line="276"/>
        <w:jc w:val="both"/>
      </w:pPr>
      <w:r>
        <w:rPr>
          <w:rFonts w:ascii="Cambria" w:cs="Cambria" w:eastAsia="Cambria" w:hAnsi="Cambria"/>
          <w:sz w:val="24"/>
          <w:szCs w:val="24"/>
        </w:rPr>
        <w:t xml:space="preserve">The E2SFCA method was implemented in two steps following the formulation described by Wan et al. (2012). In the first step, a supply-to-demand ratio Rⱼ was calculated for each facility j in Fᵈ as:</w:t>
      </w:r>
    </w:p>
    <w:p>
      <w:pPr>
        <w:spacing w:after="120" w:before="120"/>
        <w:jc w:val="center"/>
      </w:pPr>
      <w:r>
        <w:rPr>
          <w:rFonts w:ascii="Cambria" w:cs="Cambria" w:eastAsia="Cambria" w:hAnsi="Cambria"/>
          <w:b/>
          <w:bCs/>
          <w:sz w:val="24"/>
          <w:szCs w:val="24"/>
        </w:rPr>
        <w:t xml:space="preserve">Rⱼ = Sⱼ / Σₖ∈iⱼ(Pₖ × Wᵣ)</w:t>
      </w:r>
    </w:p>
    <w:p>
      <w:pPr>
        <w:spacing w:after="160" w:line="276"/>
        <w:jc w:val="both"/>
      </w:pPr>
      <w:r>
        <w:rPr>
          <w:rFonts w:ascii="Cambria" w:cs="Cambria" w:eastAsia="Cambria" w:hAnsi="Cambria"/>
          <w:sz w:val="24"/>
          <w:szCs w:val="24"/>
        </w:rPr>
        <w:t xml:space="preserve">where Sⱼ is the station count at facility j, iⱼ is the set of blocks within the 60-minute isochrone of facility j, Pₖ is the risk-adjusted demand at block k, and Wᵣ is the distance-decay weight corresponding to the isochrone band containing block k. This ratio captures the amount of facility capacity available per unit of risk-weighted demand within the catchment.</w:t>
      </w:r>
    </w:p>
    <w:p>
      <w:pPr>
        <w:spacing w:after="160" w:line="276"/>
        <w:jc w:val="both"/>
      </w:pPr>
      <w:r>
        <w:rPr>
          <w:rFonts w:ascii="Cambria" w:cs="Cambria" w:eastAsia="Cambria" w:hAnsi="Cambria"/>
          <w:sz w:val="24"/>
          <w:szCs w:val="24"/>
        </w:rPr>
        <w:t xml:space="preserve">In the second step, a block-level accessibility score Aₖ (also referred to as the Spatial Provider Accessibility Index, SPAIₖ) was computed for each block k as:</w:t>
      </w:r>
    </w:p>
    <w:p>
      <w:pPr>
        <w:spacing w:after="120" w:before="120"/>
        <w:jc w:val="center"/>
      </w:pPr>
      <w:r>
        <w:rPr>
          <w:rFonts w:ascii="Cambria" w:cs="Cambria" w:eastAsia="Cambria" w:hAnsi="Cambria"/>
          <w:b/>
          <w:bCs/>
          <w:sz w:val="24"/>
          <w:szCs w:val="24"/>
        </w:rPr>
        <w:t xml:space="preserve">Aₖ = Σⱼ∈iₖ(Rⱼ × Wᵣ)</w:t>
      </w:r>
    </w:p>
    <w:p>
      <w:pPr>
        <w:spacing w:after="160" w:line="276"/>
        <w:jc w:val="both"/>
      </w:pPr>
      <w:r>
        <w:rPr>
          <w:rFonts w:ascii="Cambria" w:cs="Cambria" w:eastAsia="Cambria" w:hAnsi="Cambria"/>
          <w:sz w:val="24"/>
          <w:szCs w:val="24"/>
        </w:rPr>
        <w:t xml:space="preserve">where iₖ is the set of facilities in Fᵈ reachable within 60 minutes of block k and Wᵣ is again the distance-decay weight for the relevant band. This score reflects both the proximity of available facilities and the degree to which their capacity is constrained by surrounding demand: a block receiving a high score has access to facilities that are relatively nearby and not heavily overburdened, while a low score reflects either long travel times, few reachable facilities, heavily burdened catchments, or some combination of all three.</w:t>
      </w:r>
    </w:p>
    <w:p>
      <w:pPr>
        <w:pStyle w:val="Heading2"/>
        <w:spacing w:after="120" w:before="240"/>
      </w:pPr>
      <w:r>
        <w:rPr>
          <w:rFonts w:ascii="Cambria" w:cs="Cambria" w:eastAsia="Cambria" w:hAnsi="Cambria"/>
          <w:b/>
          <w:bCs/>
          <w:sz w:val="24"/>
          <w:szCs w:val="24"/>
        </w:rPr>
        <w:t xml:space="preserve">2.6 Spatial Access Ratio and Aggregation</w:t>
      </w:r>
    </w:p>
    <w:p>
      <w:pPr>
        <w:spacing w:after="160" w:line="276"/>
        <w:jc w:val="both"/>
      </w:pPr>
      <w:r>
        <w:rPr>
          <w:rFonts w:ascii="Cambria" w:cs="Cambria" w:eastAsia="Cambria" w:hAnsi="Cambria"/>
          <w:sz w:val="24"/>
          <w:szCs w:val="24"/>
        </w:rPr>
        <w:t xml:space="preserve">To facilitate comparison across geographic units, block-level accessibility scores were normalized to produce a Spatial Access Ratio (SPARₖ):</w:t>
      </w:r>
    </w:p>
    <w:p>
      <w:pPr>
        <w:spacing w:after="120" w:before="120"/>
        <w:jc w:val="center"/>
      </w:pPr>
      <w:r>
        <w:rPr>
          <w:rFonts w:ascii="Cambria" w:cs="Cambria" w:eastAsia="Cambria" w:hAnsi="Cambria"/>
          <w:b/>
          <w:bCs/>
          <w:sz w:val="24"/>
          <w:szCs w:val="24"/>
        </w:rPr>
        <w:t xml:space="preserve">SPARₖ = Aₖ / (1/N) Σₖ'Aₖ'</w:t>
      </w:r>
    </w:p>
    <w:p>
      <w:pPr>
        <w:spacing w:after="160" w:line="276"/>
        <w:jc w:val="both"/>
      </w:pPr>
      <w:r>
        <w:rPr>
          <w:rFonts w:ascii="Cambria" w:cs="Cambria" w:eastAsia="Cambria" w:hAnsi="Cambria"/>
          <w:sz w:val="24"/>
          <w:szCs w:val="24"/>
        </w:rPr>
        <w:t xml:space="preserve">where N is the total number of blocks in the analysis set. A SPAR value of 1.0 indicates access equal to the Navajo Nation mean; values above 1.0 indicate above-average access relative to the study area, and values below 1.0 indicate below-average access. Importantly, this normalization is internal to the Navajo Nation; the SPAR does not reflect comparison to national or state-level benchmarks.</w:t>
      </w:r>
    </w:p>
    <w:p>
      <w:pPr>
        <w:spacing w:after="160" w:line="276"/>
        <w:jc w:val="both"/>
      </w:pPr>
      <w:r>
        <w:rPr>
          <w:rFonts w:ascii="Cambria" w:cs="Cambria" w:eastAsia="Cambria" w:hAnsi="Cambria"/>
          <w:sz w:val="24"/>
          <w:szCs w:val="24"/>
        </w:rPr>
        <w:t xml:space="preserve">Census blocks were assigned to chapters via centroid-in-polygon containment. Block-level Pₖ, SPAIₖ, and SPARₖ values were aggregated to the chapter level using Pₖ-weighted means, so that more populous or higher-demand blocks exerted proportionally greater influence on chapter-level summary statistics. Chapter-level values were subsequently aggregated to the five BIA agency areas using the same weighting approach. All spatial operations were performed in R using the sf and tidycensus packages.</w:t>
      </w:r>
    </w:p>
    <w:p>
      <w:pPr>
        <w:pStyle w:val="Heading2"/>
        <w:spacing w:after="120" w:before="240"/>
      </w:pPr>
      <w:r>
        <w:rPr>
          <w:rFonts w:ascii="Cambria" w:cs="Cambria" w:eastAsia="Cambria" w:hAnsi="Cambria"/>
          <w:b/>
          <w:bCs/>
          <w:sz w:val="24"/>
          <w:szCs w:val="24"/>
        </w:rPr>
        <w:t xml:space="preserve">2.7 Software and Reproducibility</w:t>
      </w:r>
    </w:p>
    <w:p>
      <w:pPr>
        <w:spacing w:after="160" w:line="276"/>
        <w:jc w:val="both"/>
      </w:pPr>
      <w:r>
        <w:rPr>
          <w:rFonts w:ascii="Cambria" w:cs="Cambria" w:eastAsia="Cambria" w:hAnsi="Cambria"/>
          <w:sz w:val="24"/>
          <w:szCs w:val="24"/>
        </w:rPr>
        <w:t xml:space="preserve">All analyses were conducted in R (version 4.x) using a numbered pipeline of eleven scripts. Spatial data were handled using the sf package; census data were retrieved via tidycensus; isochrone generation used the openrouteservice R package interfacing with the OpenRouteService API. All intermediate and final outputs were written to versioned files. The complete pipeline, data sources, and API query parameters are documented in the project repository to support reproducibility.</w:t>
      </w:r>
    </w:p>
    <w:p>
      <w:pPr>
        <w:spacing w:after="80"/>
      </w:pPr>
      <w:r>
        <w:t xml:space="preserve"/>
      </w:r>
    </w:p>
    <w:p>
      <w:pPr>
        <w:pStyle w:val="Heading1"/>
        <w:spacing w:after="160" w:before="320"/>
      </w:pPr>
      <w:r>
        <w:rPr>
          <w:rFonts w:ascii="Cambria" w:cs="Cambria" w:eastAsia="Cambria" w:hAnsi="Cambria"/>
          <w:b/>
          <w:bCs/>
          <w:caps/>
          <w:sz w:val="28"/>
          <w:szCs w:val="28"/>
        </w:rPr>
        <w:t xml:space="preserve">3. Results</w:t>
      </w:r>
    </w:p>
    <w:p>
      <w:pPr>
        <w:spacing w:after="160" w:line="276"/>
        <w:jc w:val="both"/>
      </w:pPr>
      <w:r>
        <w:rPr>
          <w:rFonts w:ascii="Cambria" w:cs="Cambria" w:eastAsia="Cambria" w:hAnsi="Cambria"/>
          <w:sz w:val="24"/>
          <w:szCs w:val="24"/>
        </w:rPr>
        <w:t xml:space="preserve">[This section will be completed upon finalization of the spatial analysis pipeline. Anticipated results include the following components:]</w:t>
      </w:r>
    </w:p>
    <w:p>
      <w:pPr>
        <w:spacing w:after="160" w:line="276"/>
        <w:jc w:val="both"/>
      </w:pPr>
      <w:r>
        <w:rPr>
          <w:rFonts w:ascii="Cambria" w:cs="Cambria" w:eastAsia="Cambria" w:hAnsi="Cambria"/>
          <w:sz w:val="24"/>
          <w:szCs w:val="24"/>
        </w:rPr>
        <w:t xml:space="preserve">[INSERT TABLE 1 HERE: Summary of dialysis facilities in Fᵈ by BIA agency area, including facility count, total station count, and mean distance to Navajo Nation boundary.]</w:t>
      </w:r>
    </w:p>
    <w:p>
      <w:pPr>
        <w:spacing w:after="160" w:line="276"/>
        <w:jc w:val="both"/>
      </w:pPr>
      <w:r>
        <w:rPr>
          <w:rFonts w:ascii="Cambria" w:cs="Cambria" w:eastAsia="Cambria" w:hAnsi="Cambria"/>
          <w:sz w:val="24"/>
          <w:szCs w:val="24"/>
        </w:rPr>
        <w:t xml:space="preserve">[INSERT TABLE 2 HERE: Chapter- and agency-level summary of risk-adjusted demand (Pₖ), mean SPAI, and mean SPAR, with population-weighted standard deviations.]</w:t>
      </w:r>
    </w:p>
    <w:p>
      <w:pPr>
        <w:spacing w:after="160" w:line="276"/>
        <w:jc w:val="both"/>
      </w:pPr>
      <w:r>
        <w:rPr>
          <w:rFonts w:ascii="Cambria" w:cs="Cambria" w:eastAsia="Cambria" w:hAnsi="Cambria"/>
          <w:sz w:val="24"/>
          <w:szCs w:val="24"/>
        </w:rPr>
        <w:t xml:space="preserve">[INSERT FIGURE 1 HERE: Choropleth map of SPAR by Navajo Nation chapter.]</w:t>
      </w:r>
    </w:p>
    <w:p>
      <w:pPr>
        <w:spacing w:after="160" w:line="276"/>
        <w:jc w:val="both"/>
      </w:pPr>
      <w:r>
        <w:rPr>
          <w:rFonts w:ascii="Cambria" w:cs="Cambria" w:eastAsia="Cambria" w:hAnsi="Cambria"/>
          <w:sz w:val="24"/>
          <w:szCs w:val="24"/>
        </w:rPr>
        <w:t xml:space="preserve">[INSERT FIGURE 2 HERE: Choropleth map of SPAR by BIA agency area, with facility locations overlaid.]</w:t>
      </w:r>
    </w:p>
    <w:p>
      <w:pPr>
        <w:spacing w:after="160" w:line="276"/>
        <w:jc w:val="both"/>
      </w:pPr>
      <w:r>
        <w:rPr>
          <w:rFonts w:ascii="Cambria" w:cs="Cambria" w:eastAsia="Cambria" w:hAnsi="Cambria"/>
          <w:sz w:val="24"/>
          <w:szCs w:val="24"/>
        </w:rPr>
        <w:t xml:space="preserve">[INSERT FIGURE 3 HERE: Bubble map of facility supply-to-demand ratios (Rⱼ), with bubble size proportional to Rⱼ and color indicating agency area.]</w:t>
      </w:r>
    </w:p>
    <w:p>
      <w:pPr>
        <w:spacing w:after="160" w:line="276"/>
        <w:jc w:val="both"/>
      </w:pPr>
      <w:r>
        <w:rPr>
          <w:rFonts w:ascii="Cambria" w:cs="Cambria" w:eastAsia="Cambria" w:hAnsi="Cambria"/>
          <w:sz w:val="24"/>
          <w:szCs w:val="24"/>
        </w:rPr>
        <w:t xml:space="preserve">[INSERT TABLE 3 HERE: Distribution of risk-weighted Navajo Nation population by SPAR category: above-average access (SPAR &gt; 1.0), near-average access (SPAR 0.5–1.0), below-average access (SPAR &lt; 0.5), and no access (block outside all 60-minute isochrones).]</w:t>
      </w:r>
    </w:p>
    <w:p>
      <w:pPr>
        <w:spacing w:after="80"/>
      </w:pPr>
      <w:r>
        <w:t xml:space="preserve"/>
      </w:r>
    </w:p>
    <w:p>
      <w:pPr>
        <w:pStyle w:val="Heading1"/>
        <w:spacing w:after="160" w:before="320"/>
      </w:pPr>
      <w:r>
        <w:rPr>
          <w:rFonts w:ascii="Cambria" w:cs="Cambria" w:eastAsia="Cambria" w:hAnsi="Cambria"/>
          <w:b/>
          <w:bCs/>
          <w:caps/>
          <w:sz w:val="28"/>
          <w:szCs w:val="28"/>
        </w:rPr>
        <w:t xml:space="preserve">4. Discussion</w:t>
      </w:r>
    </w:p>
    <w:p>
      <w:pPr>
        <w:spacing w:after="160" w:line="276"/>
        <w:jc w:val="both"/>
      </w:pPr>
      <w:r>
        <w:rPr>
          <w:rFonts w:ascii="Cambria" w:cs="Cambria" w:eastAsia="Cambria" w:hAnsi="Cambria"/>
          <w:sz w:val="24"/>
          <w:szCs w:val="24"/>
        </w:rPr>
        <w:t xml:space="preserve">This study applied the E2SFCA method to produce the first demand-weighted, spatially explicit assessment of dialysis access across the Navajo Nation at the census block level. By integrating CMS facility capacity data with risk-adjusted population demand derived from USRDS incidence rates and CDC PLACES prevalence estimates, the analysis moves beyond simple measures of proximity to generate access scores that reflect both how far patients must travel and how heavily burdened the facilities available to them are. The resulting SPAR framework provides a relative map of access inequality within tribal borders that can directly inform resource allocation decisions.</w:t>
      </w:r>
    </w:p>
    <w:p>
      <w:pPr>
        <w:spacing w:after="160" w:line="276"/>
        <w:jc w:val="both"/>
      </w:pPr>
      <w:r>
        <w:rPr>
          <w:rFonts w:ascii="Cambria" w:cs="Cambria" w:eastAsia="Cambria" w:hAnsi="Cambria"/>
          <w:sz w:val="24"/>
          <w:szCs w:val="24"/>
        </w:rPr>
        <w:t xml:space="preserve">The geographic structure of the Navajo Nation — a reservation larger than the state of West Virginia, with a road network that does not follow straight-line distances and with population centers concentrated in widely separated chapter communities — renders facility proximity a particularly inadequate proxy for access. Communities in the interior of the reservation, such as those in the Navajo Mountain and Chilchinbeto areas of the Tuba City agency or the Hard Rock and Pinon chapters of the Chinle agency, may be separated from the nearest dialysis facility by distances that, under the thrice-weekly treatment schedule required by hemodialysis, translate to dozens of hours of travel per week. The evidence is clear that this burden is not merely inconvenient: missed and shortened dialysis sessions attributable to travel burden are independently associated with increased hospitalization and mortality (Razon et al., 2025; Moist et al., 2008; Tian et al., 2023).</w:t>
      </w:r>
    </w:p>
    <w:p>
      <w:pPr>
        <w:spacing w:after="160" w:line="276"/>
        <w:jc w:val="both"/>
      </w:pPr>
      <w:r>
        <w:rPr>
          <w:rFonts w:ascii="Cambria" w:cs="Cambria" w:eastAsia="Cambria" w:hAnsi="Cambria"/>
          <w:sz w:val="24"/>
          <w:szCs w:val="24"/>
        </w:rPr>
        <w:t xml:space="preserve">The demand estimation approach used in this study explicitly acknowledges that not all residents of the Navajo Nation face equal risk of requiring dialysis services. The Native American ESRD incidence multiplier of 2.319, derived from USRDS 2025 data, means that blocks with large Native American populations contribute disproportionately to catchment demand. When combined with the age multipliers — particularly the 65–74 and 75-and-older multipliers of 10.077 and 12.922 respectively — this results in the highest demand concentrations in older, predominantly Native communities. The diabetes and hypertension prevalence adjustments further concentrate demand in communities with the greatest chronic disease burden, which on the Navajo Nation tend to be the same communities with the most limited road access to regional centers.</w:t>
      </w:r>
    </w:p>
    <w:p>
      <w:pPr>
        <w:spacing w:after="160" w:line="276"/>
        <w:jc w:val="both"/>
      </w:pPr>
      <w:r>
        <w:rPr>
          <w:rFonts w:ascii="Cambria" w:cs="Cambria" w:eastAsia="Cambria" w:hAnsi="Cambria"/>
          <w:sz w:val="24"/>
          <w:szCs w:val="24"/>
        </w:rPr>
        <w:t xml:space="preserve">The role of the Indian Health Service in mediating dialysis access on the Navajo Nation warrants direct consideration. The IHS operates a small number of dialysis units on or near the reservation, but the majority of dialysis services accessed by Navajo patients are delivered at Medicaid-certified commercial facilities located in regional centers such as Gallup, Flagstaff, Farmington, and Page (Narva, 2002; Narva, 2018). This study's facility dataset is drawn exclusively from CMS Medicaid-certified provider data and therefore reflects the commercial facility landscape. IHS-operated units that are not separately certified under Medicaid and do not appear in the CMS dataset would not be captured in the supply measure, a limitation that could result in an underestimation of accessible capacity in areas proximate to IHS units. Future analyses incorporating IHS facility data, ideally obtained through formal data-sharing agreements with the Navajo Area IHS office or the Navajo Nation Department of Health, would improve the accuracy of supply estimation in these areas.</w:t>
      </w:r>
    </w:p>
    <w:p>
      <w:pPr>
        <w:spacing w:after="160" w:line="276"/>
        <w:jc w:val="both"/>
      </w:pPr>
      <w:r>
        <w:rPr>
          <w:rFonts w:ascii="Cambria" w:cs="Cambria" w:eastAsia="Cambria" w:hAnsi="Cambria"/>
          <w:sz w:val="24"/>
          <w:szCs w:val="24"/>
        </w:rPr>
        <w:t xml:space="preserve">The findings of this study have direct implications for IHS resource allocation and tribal health planning. The SPAR framework identifies specific chapters and agency areas where the ratio of accessible facility capacity to risk-adjusted demand is lowest, providing an evidence base for prioritization of new facility siting, expanded transportation assistance programs, or investment in home dialysis alternatives. The case for home dialysis — including peritoneal dialysis and home hemodialysis — as an equity intervention for geographically isolated patients has grown substantially in recent years, with evidence that Indigenous patients face structural, systemic, and culturally rooted barriers to home modality adoption despite its potential to eliminate the travel burden entirely (Przybylak-Brouillard et al., 2026; Mehrotra et al., 2016). Policy frameworks that couple SPAR-informed geographic targeting with culturally adapted home dialysis training and infrastructure support represent a potentially high-impact combination.</w:t>
      </w:r>
    </w:p>
    <w:p>
      <w:pPr>
        <w:spacing w:after="160" w:line="276"/>
        <w:jc w:val="both"/>
      </w:pPr>
      <w:r>
        <w:rPr>
          <w:rFonts w:ascii="Cambria" w:cs="Cambria" w:eastAsia="Cambria" w:hAnsi="Cambria"/>
          <w:sz w:val="24"/>
          <w:szCs w:val="24"/>
        </w:rPr>
        <w:t xml:space="preserve">At the national policy level, the Advancing American Kidney Health initiative and its goal of shifting 80% of incident ESRD patients to home dialysis or transplantation by 2025 identified geographic access as a structural barrier to this transition but did not provide a mechanism for identifying which specific communities faced the greatest deficits. The type of block-level, demand-weighted spatial analysis described here could serve that function within a tribal health planning context. The federal trust responsibility to provide healthcare to tribal nations creates a legal as well as a moral obligation to address documented geographic access failures of the kind this analysis is designed to illuminate (Warne &amp; Frizzell, 2014; Sequist, 2021).</w:t>
      </w:r>
    </w:p>
    <w:p>
      <w:pPr>
        <w:spacing w:after="80"/>
      </w:pPr>
      <w:r>
        <w:t xml:space="preserve"/>
      </w:r>
    </w:p>
    <w:p>
      <w:pPr>
        <w:pStyle w:val="Heading1"/>
        <w:spacing w:after="160" w:before="320"/>
      </w:pPr>
      <w:r>
        <w:rPr>
          <w:rFonts w:ascii="Cambria" w:cs="Cambria" w:eastAsia="Cambria" w:hAnsi="Cambria"/>
          <w:b/>
          <w:bCs/>
          <w:caps/>
          <w:sz w:val="28"/>
          <w:szCs w:val="28"/>
        </w:rPr>
        <w:t xml:space="preserve">5. Limitations</w:t>
      </w:r>
    </w:p>
    <w:p>
      <w:pPr>
        <w:spacing w:after="160" w:line="276"/>
        <w:jc w:val="both"/>
      </w:pPr>
      <w:r>
        <w:rPr>
          <w:rFonts w:ascii="Cambria" w:cs="Cambria" w:eastAsia="Cambria" w:hAnsi="Cambria"/>
          <w:sz w:val="24"/>
          <w:szCs w:val="24"/>
        </w:rPr>
        <w:t xml:space="preserve">Several limitations of this analysis should be acknowledged. First, the 60-minute maximum catchment radius imposed by the OpenRouteService API means that blocks beyond this threshold are classified as having zero access to any facility in the analysis set. This threshold, while consistent with E2SFCA convention, may artificially truncate the experience of communities whose nearest facility is beyond 60 minutes, which on the Navajo Nation may represent the most access-deprived population. The extent of this censoring cannot be fully quantified without isochrones extending to 90 or 120 minutes.</w:t>
      </w:r>
    </w:p>
    <w:p>
      <w:pPr>
        <w:spacing w:after="160" w:line="276"/>
        <w:jc w:val="both"/>
      </w:pPr>
      <w:r>
        <w:rPr>
          <w:rFonts w:ascii="Cambria" w:cs="Cambria" w:eastAsia="Cambria" w:hAnsi="Cambria"/>
          <w:sz w:val="24"/>
          <w:szCs w:val="24"/>
        </w:rPr>
        <w:t xml:space="preserve">Second, disease prevalence data from CDC PLACES are available at the census tract level rather than the block level. Assignment of tract-level prevalence to all constituent blocks assumes within-tract homogeneity in diabetes and hypertension rates. Because blocks nest within tracts and because within-tract variation in disease prevalence on the Navajo Nation is unknown, this assumption introduces measurement error in the demand estimate. The direction of this error is indeterminate without block-level prevalence data.</w:t>
      </w:r>
    </w:p>
    <w:p>
      <w:pPr>
        <w:spacing w:after="160" w:line="276"/>
        <w:jc w:val="both"/>
      </w:pPr>
      <w:r>
        <w:rPr>
          <w:rFonts w:ascii="Cambria" w:cs="Cambria" w:eastAsia="Cambria" w:hAnsi="Cambria"/>
          <w:sz w:val="24"/>
          <w:szCs w:val="24"/>
        </w:rPr>
        <w:t xml:space="preserve">Third, the operationalization of facility supply as CMS-reported dialysis station count assumes that all stations are equivalently available and consistently staffed. Facilities operating below capacity due to staffing shortages — a documented concern in rural health settings (Koppula et al., 2025) — would result in an overestimation of effective supply.</w:t>
      </w:r>
    </w:p>
    <w:p>
      <w:pPr>
        <w:spacing w:after="160" w:line="276"/>
        <w:jc w:val="both"/>
      </w:pPr>
      <w:r>
        <w:rPr>
          <w:rFonts w:ascii="Cambria" w:cs="Cambria" w:eastAsia="Cambria" w:hAnsi="Cambria"/>
          <w:sz w:val="24"/>
          <w:szCs w:val="24"/>
        </w:rPr>
        <w:t xml:space="preserve">Fourth, as noted above, IHS-operated dialysis units not separately certified under Medicaid may be absent from the CMS dataset used here. To the extent that these facilities provide meaningful capacity to Navajo patients, their omission results in underestimation of supply in affected catchment areas.</w:t>
      </w:r>
    </w:p>
    <w:p>
      <w:pPr>
        <w:spacing w:after="160" w:line="276"/>
        <w:jc w:val="both"/>
      </w:pPr>
      <w:r>
        <w:rPr>
          <w:rFonts w:ascii="Cambria" w:cs="Cambria" w:eastAsia="Cambria" w:hAnsi="Cambria"/>
          <w:sz w:val="24"/>
          <w:szCs w:val="24"/>
        </w:rPr>
        <w:t xml:space="preserve">Fifth, the ESRD hazard ratio multipliers applied in this analysis are derived from national USRDS incidence data and may not fully capture the specific epidemiological profile of the Navajo population. The applicability of a national Native American multiplier to a specific tribal population with its own distinct disease history, genetic background, and exposure profile — including legacy uranium contamination (Redvers et al., 2021; Credo et al., 2019) — is an assumption that a Navajo-specific incidence dataset would allow to be relaxed.</w:t>
      </w:r>
    </w:p>
    <w:p>
      <w:pPr>
        <w:spacing w:after="160" w:line="276"/>
        <w:jc w:val="both"/>
      </w:pPr>
      <w:r>
        <w:rPr>
          <w:rFonts w:ascii="Cambria" w:cs="Cambria" w:eastAsia="Cambria" w:hAnsi="Cambria"/>
          <w:sz w:val="24"/>
          <w:szCs w:val="24"/>
        </w:rPr>
        <w:t xml:space="preserve">Finally, this analysis relies exclusively on publicly available data and was conducted without direct engagement with Navajo Nation governmental or health authorities. The authors recognize that tribal data sovereignty principles hold that data about Indigenous communities should be governed by those communities (Tungsanga et al., 2025). The use of federally aggregated public data in this preliminary analysis is not intended to circumvent tribal governance processes, and any operational application of these findings should be developed in partnership with the Navajo Nation.</w:t>
      </w:r>
    </w:p>
    <w:p>
      <w:pPr>
        <w:spacing w:after="80"/>
      </w:pPr>
      <w:r>
        <w:t xml:space="preserve"/>
      </w:r>
    </w:p>
    <w:p>
      <w:pPr>
        <w:pStyle w:val="Heading1"/>
        <w:spacing w:after="160" w:before="320"/>
      </w:pPr>
      <w:r>
        <w:rPr>
          <w:rFonts w:ascii="Cambria" w:cs="Cambria" w:eastAsia="Cambria" w:hAnsi="Cambria"/>
          <w:b/>
          <w:bCs/>
          <w:caps/>
          <w:sz w:val="28"/>
          <w:szCs w:val="28"/>
        </w:rPr>
        <w:t xml:space="preserve">6. Conclusion</w:t>
      </w:r>
    </w:p>
    <w:p>
      <w:pPr>
        <w:spacing w:after="160" w:line="276"/>
        <w:jc w:val="both"/>
      </w:pPr>
      <w:r>
        <w:rPr>
          <w:rFonts w:ascii="Cambria" w:cs="Cambria" w:eastAsia="Cambria" w:hAnsi="Cambria"/>
          <w:sz w:val="24"/>
          <w:szCs w:val="24"/>
        </w:rPr>
        <w:t xml:space="preserve">This study produced the first spatially explicit, demand-weighted assessment of dialysis access disparities across the Navajo Nation at the census block level, applying an Enhanced Two-Step Floating Catchment Area approach that integrates CMS facility supply data, USRDS-derived risk multipliers, CDC PLACES disease prevalence, and OpenRouteService drive-time isochrones. The resulting Spatial Access Ratio provides a relative measure of access inequality within tribal borders that is directly actionable for resource allocation and health infrastructure planning.</w:t>
      </w:r>
    </w:p>
    <w:p>
      <w:pPr>
        <w:spacing w:after="160" w:line="276"/>
        <w:jc w:val="both"/>
      </w:pPr>
      <w:r>
        <w:rPr>
          <w:rFonts w:ascii="Cambria" w:cs="Cambria" w:eastAsia="Cambria" w:hAnsi="Cambria"/>
          <w:sz w:val="24"/>
          <w:szCs w:val="24"/>
        </w:rPr>
        <w:t xml:space="preserve">The combination of high ESRD incidence, chronic underfunding of IHS, geographic isolation, and concentrated dialysis facility supply in regional centers creates a structural access problem that has received insufficient quantitative characterization in the published literature. The E2SFCA framework applied here provides a replicable, transparent, and methodologically defensible approach to closing that gap. Findings from this analysis are intended to support evidence-based advocacy for expanded dialysis infrastructure on the Navajo Nation, improved transportation assistance programs, and investment in home dialysis alternatives that would eliminate the travel burden for the most geographically isolated residents.</w:t>
      </w:r>
    </w:p>
    <w:p>
      <w:pPr>
        <w:spacing w:after="80"/>
      </w:pPr>
      <w:r>
        <w:t xml:space="preserve"/>
      </w:r>
    </w:p>
    <w:p>
      <w:pPr>
        <w:pStyle w:val="Heading1"/>
        <w:spacing w:after="160" w:before="320"/>
      </w:pPr>
      <w:r>
        <w:rPr>
          <w:rFonts w:ascii="Cambria" w:cs="Cambria" w:eastAsia="Cambria" w:hAnsi="Cambria"/>
          <w:b/>
          <w:bCs/>
          <w:caps/>
          <w:sz w:val="28"/>
          <w:szCs w:val="28"/>
        </w:rPr>
        <w:t xml:space="preserve">Conflict of Interest Statement</w:t>
      </w:r>
    </w:p>
    <w:p>
      <w:pPr>
        <w:spacing w:after="160" w:line="276"/>
        <w:jc w:val="both"/>
      </w:pPr>
      <w:r>
        <w:rPr>
          <w:rFonts w:ascii="Cambria" w:cs="Cambria" w:eastAsia="Cambria" w:hAnsi="Cambria"/>
          <w:sz w:val="24"/>
          <w:szCs w:val="24"/>
        </w:rPr>
        <w:t xml:space="preserve">The authors declare that the research was conducted in the absence of any commercial or financial relationships that could be construed as a potential conflict of interest.</w:t>
      </w:r>
    </w:p>
    <w:p>
      <w:pPr>
        <w:pStyle w:val="Heading1"/>
        <w:spacing w:after="160" w:before="320"/>
      </w:pPr>
      <w:r>
        <w:rPr>
          <w:rFonts w:ascii="Cambria" w:cs="Cambria" w:eastAsia="Cambria" w:hAnsi="Cambria"/>
          <w:b/>
          <w:bCs/>
          <w:caps/>
          <w:sz w:val="28"/>
          <w:szCs w:val="28"/>
        </w:rPr>
        <w:t xml:space="preserve">Author Contributions</w:t>
      </w:r>
    </w:p>
    <w:p>
      <w:pPr>
        <w:spacing w:after="160" w:line="276"/>
        <w:jc w:val="both"/>
      </w:pPr>
      <w:r>
        <w:rPr>
          <w:rFonts w:ascii="Cambria" w:cs="Cambria" w:eastAsia="Cambria" w:hAnsi="Cambria"/>
          <w:sz w:val="24"/>
          <w:szCs w:val="24"/>
        </w:rPr>
        <w:t xml:space="preserve">SY conceived the study, designed the analytical pipeline, conducted all data acquisition and spatial analysis, and wrote the manuscript.</w:t>
      </w:r>
    </w:p>
    <w:p>
      <w:pPr>
        <w:pStyle w:val="Heading1"/>
        <w:spacing w:after="160" w:before="320"/>
      </w:pPr>
      <w:r>
        <w:rPr>
          <w:rFonts w:ascii="Cambria" w:cs="Cambria" w:eastAsia="Cambria" w:hAnsi="Cambria"/>
          <w:b/>
          <w:bCs/>
          <w:caps/>
          <w:sz w:val="28"/>
          <w:szCs w:val="28"/>
        </w:rPr>
        <w:t xml:space="preserve">Funding</w:t>
      </w:r>
    </w:p>
    <w:p>
      <w:pPr>
        <w:spacing w:after="160" w:line="276"/>
        <w:jc w:val="both"/>
      </w:pPr>
      <w:r>
        <w:rPr>
          <w:rFonts w:ascii="Cambria" w:cs="Cambria" w:eastAsia="Cambria" w:hAnsi="Cambria"/>
          <w:sz w:val="24"/>
          <w:szCs w:val="24"/>
        </w:rPr>
        <w:t xml:space="preserve">[Funding statement to be completed. If no external funding was received, state: This research received no specific grant from any funding agency in the public, commercial, or not-for-profit sectors.]</w:t>
      </w:r>
    </w:p>
    <w:p>
      <w:pPr>
        <w:pStyle w:val="Heading1"/>
        <w:spacing w:after="160" w:before="320"/>
      </w:pPr>
      <w:r>
        <w:rPr>
          <w:rFonts w:ascii="Cambria" w:cs="Cambria" w:eastAsia="Cambria" w:hAnsi="Cambria"/>
          <w:b/>
          <w:bCs/>
          <w:caps/>
          <w:sz w:val="28"/>
          <w:szCs w:val="28"/>
        </w:rPr>
        <w:t xml:space="preserve">Acknowledgments</w:t>
      </w:r>
    </w:p>
    <w:p>
      <w:pPr>
        <w:spacing w:after="160" w:line="276"/>
        <w:jc w:val="both"/>
      </w:pPr>
      <w:r>
        <w:rPr>
          <w:rFonts w:ascii="Cambria" w:cs="Cambria" w:eastAsia="Cambria" w:hAnsi="Cambria"/>
          <w:sz w:val="24"/>
          <w:szCs w:val="24"/>
        </w:rPr>
        <w:t xml:space="preserve">[Acknowledgments to be completed, including any faculty supervision, computing resources, and recognition of the Navajo Nation as the subject community.]</w:t>
      </w:r>
    </w:p>
    <w:p>
      <w:pPr>
        <w:pStyle w:val="Heading1"/>
        <w:spacing w:after="160" w:before="320"/>
      </w:pPr>
      <w:r>
        <w:rPr>
          <w:rFonts w:ascii="Cambria" w:cs="Cambria" w:eastAsia="Cambria" w:hAnsi="Cambria"/>
          <w:b/>
          <w:bCs/>
          <w:caps/>
          <w:sz w:val="28"/>
          <w:szCs w:val="28"/>
        </w:rPr>
        <w:t xml:space="preserve">Data Availability Statement</w:t>
      </w:r>
    </w:p>
    <w:p>
      <w:pPr>
        <w:spacing w:after="160" w:line="276"/>
        <w:jc w:val="both"/>
      </w:pPr>
      <w:r>
        <w:rPr>
          <w:rFonts w:ascii="Cambria" w:cs="Cambria" w:eastAsia="Cambria" w:hAnsi="Cambria"/>
          <w:sz w:val="24"/>
          <w:szCs w:val="24"/>
        </w:rPr>
        <w:t xml:space="preserve">All data used in this analysis are publicly available. Dialysis facility data were obtained from the Centers for Medicare &amp; Medicaid Services Provider Data catalog (https://data.cms.gov/provider-data/dataset/23ew-n7w9). Census block geometries and demographic data were obtained from the U.S. Census Bureau 2020 Decennial Census via the tidycensus R package and the Census TIGERweb REST API. Disease prevalence data were obtained from CDC PLACES 2024 Release. ESRD incidence rates were obtained from the 2025 USRDS Annual Data Report. Drive-time isochrones were generated using the OpenRouteService API. Analysis code is available at [REPOSITORY URL].</w:t>
      </w:r>
    </w:p>
    <w:p>
      <w:pPr>
        <w:spacing w:after="80"/>
      </w:pPr>
      <w:r>
        <w:t xml:space="preserve"/>
      </w:r>
    </w:p>
    <w:p>
      <w:pPr>
        <w:pStyle w:val="Heading1"/>
        <w:spacing w:after="160" w:before="320"/>
      </w:pPr>
      <w:r>
        <w:rPr>
          <w:rFonts w:ascii="Cambria" w:cs="Cambria" w:eastAsia="Cambria" w:hAnsi="Cambria"/>
          <w:b/>
          <w:bCs/>
          <w:caps/>
          <w:sz w:val="28"/>
          <w:szCs w:val="28"/>
        </w:rPr>
        <w:t xml:space="preserve">References</w:t>
      </w:r>
    </w:p>
    <w:p>
      <w:pPr>
        <w:spacing w:after="160" w:line="276"/>
        <w:jc w:val="both"/>
      </w:pPr>
      <w:r>
        <w:rPr>
          <w:rFonts w:ascii="Cambria" w:cs="Cambria" w:eastAsia="Cambria" w:hAnsi="Cambria"/>
          <w:sz w:val="24"/>
          <w:szCs w:val="24"/>
        </w:rPr>
        <w:t xml:space="preserve">Albertus P, Morgenstern H, Robinson B, Saran R. Risk of ESRD in the United States. Am J Kidney Dis. 2016;68(6):862–872. doi:10.1053/j.ajkd.2016.05.030</w:t>
      </w:r>
    </w:p>
    <w:p>
      <w:pPr>
        <w:spacing w:after="160" w:line="276"/>
        <w:jc w:val="both"/>
      </w:pPr>
      <w:r>
        <w:rPr>
          <w:rFonts w:ascii="Cambria" w:cs="Cambria" w:eastAsia="Cambria" w:hAnsi="Cambria"/>
          <w:sz w:val="24"/>
          <w:szCs w:val="24"/>
        </w:rPr>
        <w:t xml:space="preserve">Breathett K, Sims M, Gross M, et al. Cardiovascular health in American Indians and Alaska Natives: A scientific statement from the American Heart Association. Circulation. 2020;141(25). doi:10.1161/CIR.0000000000000773</w:t>
      </w:r>
    </w:p>
    <w:p>
      <w:pPr>
        <w:spacing w:after="160" w:line="276"/>
        <w:jc w:val="both"/>
      </w:pPr>
      <w:r>
        <w:rPr>
          <w:rFonts w:ascii="Cambria" w:cs="Cambria" w:eastAsia="Cambria" w:hAnsi="Cambria"/>
          <w:sz w:val="24"/>
          <w:szCs w:val="24"/>
        </w:rPr>
        <w:t xml:space="preserve">Bullock A, Burrows NR, Narva AS, et al. Vital Signs: Decrease in incidence of diabetes-related end-stage renal disease among American Indians/Alaska Natives — United States, 1996–2013. MMWR Morb Mortal Wkly Rep. 2017;66(1):26–32. doi:10.15585/mmwr.mm6601e1</w:t>
      </w:r>
    </w:p>
    <w:p>
      <w:pPr>
        <w:spacing w:after="160" w:line="276"/>
        <w:jc w:val="both"/>
      </w:pPr>
      <w:r>
        <w:rPr>
          <w:rFonts w:ascii="Cambria" w:cs="Cambria" w:eastAsia="Cambria" w:hAnsi="Cambria"/>
          <w:sz w:val="24"/>
          <w:szCs w:val="24"/>
        </w:rPr>
        <w:t xml:space="preserve">Burrows NR, Koyama A, Pavkov ME. Reported cases of end-stage kidney disease — United States, 2000–2019. MMWR Morb Mortal Wkly Rep. 2022;71(11):412–415. doi:10.15585/mmwr.mm7111a3</w:t>
      </w:r>
    </w:p>
    <w:p>
      <w:pPr>
        <w:spacing w:after="160" w:line="276"/>
        <w:jc w:val="both"/>
      </w:pPr>
      <w:r>
        <w:rPr>
          <w:rFonts w:ascii="Cambria" w:cs="Cambria" w:eastAsia="Cambria" w:hAnsi="Cambria"/>
          <w:sz w:val="24"/>
          <w:szCs w:val="24"/>
        </w:rPr>
        <w:t xml:space="preserve">Burrows NR, Zhang Y, Hora I, et al. Sustained lower incidence of diabetes-related end-stage kidney disease among American Indians and Alaska Natives, Blacks, and Hispanics in the U.S., 2000–2016. Diabetes Care. 2020;43(9):2090–2097. doi:10.2337/dc20-0495</w:t>
      </w:r>
    </w:p>
    <w:p>
      <w:pPr>
        <w:spacing w:after="160" w:line="276"/>
        <w:jc w:val="both"/>
      </w:pPr>
      <w:r>
        <w:rPr>
          <w:rFonts w:ascii="Cambria" w:cs="Cambria" w:eastAsia="Cambria" w:hAnsi="Cambria"/>
          <w:sz w:val="24"/>
          <w:szCs w:val="24"/>
        </w:rPr>
        <w:t xml:space="preserve">Claussen C, Papadimos E, Magliano DJ, et al. Prevalence of type 2 diabetes among global Indigenous adult populations: A systematic review. Diabetologia. 2025. doi:10.1007/s00125-025-06624-y</w:t>
      </w:r>
    </w:p>
    <w:p>
      <w:pPr>
        <w:spacing w:after="160" w:line="276"/>
        <w:jc w:val="both"/>
      </w:pPr>
      <w:r>
        <w:rPr>
          <w:rFonts w:ascii="Cambria" w:cs="Cambria" w:eastAsia="Cambria" w:hAnsi="Cambria"/>
          <w:sz w:val="24"/>
          <w:szCs w:val="24"/>
        </w:rPr>
        <w:t xml:space="preserve">Credo J, Torkelson J, Rock T, Ingram JC. Quantification of elemental contaminants in unregulated water across western Navajo Nation. Int J Environ Res Public Health. 2019;16(15). doi:10.3390/ijerph16152727</w:t>
      </w:r>
    </w:p>
    <w:p>
      <w:pPr>
        <w:spacing w:after="160" w:line="276"/>
        <w:jc w:val="both"/>
      </w:pPr>
      <w:r>
        <w:rPr>
          <w:rFonts w:ascii="Cambria" w:cs="Cambria" w:eastAsia="Cambria" w:hAnsi="Cambria"/>
          <w:sz w:val="24"/>
          <w:szCs w:val="24"/>
        </w:rPr>
        <w:t xml:space="preserve">Dashner-Titus EJ, Hoover J, Li L, et al. Metal exposure and oxidative stress markers in pregnant Navajo Birth Cohort Study participants. Free Radic Biol Med. 2018;124:484–492. doi:10.1016/j.freeradbiomed.2018.04.579</w:t>
      </w:r>
    </w:p>
    <w:p>
      <w:pPr>
        <w:spacing w:after="160" w:line="276"/>
        <w:jc w:val="both"/>
      </w:pPr>
      <w:r>
        <w:rPr>
          <w:rFonts w:ascii="Cambria" w:cs="Cambria" w:eastAsia="Cambria" w:hAnsi="Cambria"/>
          <w:sz w:val="24"/>
          <w:szCs w:val="24"/>
        </w:rPr>
        <w:t xml:space="preserve">Di Simone E, Panattoni N, Renzi E, et al. Food and nutrition insecurity in kidney disease: Practitioner considerations. Clin J Am Soc Nephrol. 2026;21(4):684–691. doi:10.2215/CJN.0000000820</w:t>
      </w:r>
    </w:p>
    <w:p>
      <w:pPr>
        <w:spacing w:after="160" w:line="276"/>
        <w:jc w:val="both"/>
      </w:pPr>
      <w:r>
        <w:rPr>
          <w:rFonts w:ascii="Cambria" w:cs="Cambria" w:eastAsia="Cambria" w:hAnsi="Cambria"/>
          <w:sz w:val="24"/>
          <w:szCs w:val="24"/>
        </w:rPr>
        <w:t xml:space="preserve">Eberly LA, Shultz K, Merino M, et al. Cardiovascular disease burden and outcomes among American Indian and Alaska Native Medicare beneficiaries. JAMA Netw Open. 2023;6(9). doi:10.1001/jamanetworkopen.2023.34923</w:t>
      </w:r>
    </w:p>
    <w:p>
      <w:pPr>
        <w:spacing w:after="160" w:line="276"/>
        <w:jc w:val="both"/>
      </w:pPr>
      <w:r>
        <w:rPr>
          <w:rFonts w:ascii="Cambria" w:cs="Cambria" w:eastAsia="Cambria" w:hAnsi="Cambria"/>
          <w:sz w:val="24"/>
          <w:szCs w:val="24"/>
        </w:rPr>
        <w:t xml:space="preserve">Fwu CW, Eggers PW, Norton JM, et al. Age- and race-specific changes in ESKD incidence over four decades. J Am Soc Nephrol. 2024;35(4):456–465. doi:10.1681/ASN.0000000000000310</w:t>
      </w:r>
    </w:p>
    <w:p>
      <w:pPr>
        <w:spacing w:after="160" w:line="276"/>
        <w:jc w:val="both"/>
      </w:pPr>
      <w:r>
        <w:rPr>
          <w:rFonts w:ascii="Cambria" w:cs="Cambria" w:eastAsia="Cambria" w:hAnsi="Cambria"/>
          <w:sz w:val="24"/>
          <w:szCs w:val="24"/>
        </w:rPr>
        <w:t xml:space="preserve">Hall YN, Choi AI, Xu P, O’Hare AM, Chertow GM. Racial ethnic differences in rates and determinants of deceased donor kidney transplantation. J Am Soc Nephrol. 2011;22(4):743–751. doi:10.1681/ASN.2010080819</w:t>
      </w:r>
    </w:p>
    <w:p>
      <w:pPr>
        <w:spacing w:after="160" w:line="276"/>
        <w:jc w:val="both"/>
      </w:pPr>
      <w:r>
        <w:rPr>
          <w:rFonts w:ascii="Cambria" w:cs="Cambria" w:eastAsia="Cambria" w:hAnsi="Cambria"/>
          <w:sz w:val="24"/>
          <w:szCs w:val="24"/>
        </w:rPr>
        <w:t xml:space="preserve">Hochman ME, Watt JP, Reid R, O’Brien KL. The prevalence and incidence of end-stage renal disease in Native American adults on the Navajo Reservation. Kidney Int. 2007;71(9):931–937. doi:10.1038/sj.ki.5002100</w:t>
      </w:r>
    </w:p>
    <w:p>
      <w:pPr>
        <w:spacing w:after="160" w:line="276"/>
        <w:jc w:val="both"/>
      </w:pPr>
      <w:r>
        <w:rPr>
          <w:rFonts w:ascii="Cambria" w:cs="Cambria" w:eastAsia="Cambria" w:hAnsi="Cambria"/>
          <w:sz w:val="24"/>
          <w:szCs w:val="24"/>
        </w:rPr>
        <w:t xml:space="preserve">Keddis MT, Sharma A, Ilyas M, et al. Transplant center assessment of the inequity in the kidney transplant process and outcomes for the Indigenous American patients. PLoS One. 2018;13(11). doi:10.1371/journal.pone.0207819</w:t>
      </w:r>
    </w:p>
    <w:p>
      <w:pPr>
        <w:spacing w:after="160" w:line="276"/>
        <w:jc w:val="both"/>
      </w:pPr>
      <w:r>
        <w:rPr>
          <w:rFonts w:ascii="Cambria" w:cs="Cambria" w:eastAsia="Cambria" w:hAnsi="Cambria"/>
          <w:sz w:val="24"/>
          <w:szCs w:val="24"/>
        </w:rPr>
        <w:t xml:space="preserve">Kim B, Li Y, Lee M, et al. Neighborhood built environment and home dialysis utilization: Varying patterns by urbanicity. Am J Kidney Dis. 2025;85(6):737–744. doi:10.1053/j.ajkd.2025.01.015</w:t>
      </w:r>
    </w:p>
    <w:p>
      <w:pPr>
        <w:spacing w:after="160" w:line="276"/>
        <w:jc w:val="both"/>
      </w:pPr>
      <w:r>
        <w:rPr>
          <w:rFonts w:ascii="Cambria" w:cs="Cambria" w:eastAsia="Cambria" w:hAnsi="Cambria"/>
          <w:sz w:val="24"/>
          <w:szCs w:val="24"/>
        </w:rPr>
        <w:t xml:space="preserve">Koppula S, Patel K, Unruh M. The delivery of kidney care in rural or sparsely populated settings. Am J Kidney Dis. 2025. doi:10.1053/j.ajkd.2025.03.017</w:t>
      </w:r>
    </w:p>
    <w:p>
      <w:pPr>
        <w:spacing w:after="160" w:line="276"/>
        <w:jc w:val="both"/>
      </w:pPr>
      <w:r>
        <w:rPr>
          <w:rFonts w:ascii="Cambria" w:cs="Cambria" w:eastAsia="Cambria" w:hAnsi="Cambria"/>
          <w:sz w:val="24"/>
          <w:szCs w:val="24"/>
        </w:rPr>
        <w:t xml:space="preserve">Lin Y, Hoover J, Beene D, Erdei E, Liu Z. Environmental risk mapping of potential abandoned uranium mine contamination on the Navajo Nation, USA. Environ Sci Pollut Res Int. 2020;27(24):30542–30557. doi:10.1007/s11356-020-09257-3</w:t>
      </w:r>
    </w:p>
    <w:p>
      <w:pPr>
        <w:spacing w:after="160" w:line="276"/>
        <w:jc w:val="both"/>
      </w:pPr>
      <w:r>
        <w:rPr>
          <w:rFonts w:ascii="Cambria" w:cs="Cambria" w:eastAsia="Cambria" w:hAnsi="Cambria"/>
          <w:sz w:val="24"/>
          <w:szCs w:val="24"/>
        </w:rPr>
        <w:t xml:space="preserve">Lucero JE, Roubideaux Y. Advancing diabetes prevention and control in American Indians and Alaska Natives. Annu Rev Public Health. 2022;43:461–475. doi:10.1146/annurev-publhealth-093019-010011</w:t>
      </w:r>
    </w:p>
    <w:p>
      <w:pPr>
        <w:spacing w:after="160" w:line="276"/>
        <w:jc w:val="both"/>
      </w:pPr>
      <w:r>
        <w:rPr>
          <w:rFonts w:ascii="Cambria" w:cs="Cambria" w:eastAsia="Cambria" w:hAnsi="Cambria"/>
          <w:sz w:val="24"/>
          <w:szCs w:val="24"/>
        </w:rPr>
        <w:t xml:space="preserve">Luo W, Wang F. Measures of spatial accessibility to health care in a GIS environment: Synthesis and a case study in the Chicago region. Environ Plann B. 2003;30(6):865–884.</w:t>
      </w:r>
    </w:p>
    <w:p>
      <w:pPr>
        <w:spacing w:after="160" w:line="276"/>
        <w:jc w:val="both"/>
      </w:pPr>
      <w:r>
        <w:rPr>
          <w:rFonts w:ascii="Cambria" w:cs="Cambria" w:eastAsia="Cambria" w:hAnsi="Cambria"/>
          <w:sz w:val="24"/>
          <w:szCs w:val="24"/>
        </w:rPr>
        <w:t xml:space="preserve">Ma M, Wang R, Xu L, Xu M, Liu S. Emerging health risks and underlying toxicological mechanisms of uranium contamination: Lessons from the past two decades. Environ Int. 2020;145:106107. doi:10.1016/j.envint.2020.106107</w:t>
      </w:r>
    </w:p>
    <w:p>
      <w:pPr>
        <w:spacing w:after="160" w:line="276"/>
        <w:jc w:val="both"/>
      </w:pPr>
      <w:r>
        <w:rPr>
          <w:rFonts w:ascii="Cambria" w:cs="Cambria" w:eastAsia="Cambria" w:hAnsi="Cambria"/>
          <w:sz w:val="24"/>
          <w:szCs w:val="24"/>
        </w:rPr>
        <w:t xml:space="preserve">McCullough KP, Morgenstern H, Saran R, et al. Projecting ESRD incidence and prevalence in the United States through 2030. J Am Soc Nephrol. 2018;30(1):127–135. doi:10.1681/ASN.2018050531</w:t>
      </w:r>
    </w:p>
    <w:p>
      <w:pPr>
        <w:spacing w:after="160" w:line="276"/>
        <w:jc w:val="both"/>
      </w:pPr>
      <w:r>
        <w:rPr>
          <w:rFonts w:ascii="Cambria" w:cs="Cambria" w:eastAsia="Cambria" w:hAnsi="Cambria"/>
          <w:sz w:val="24"/>
          <w:szCs w:val="24"/>
        </w:rPr>
        <w:t xml:space="preserve">Mehrotra R, Soohoo M, Rivara MB, et al. Racial and ethnic disparities in use of and outcomes with home dialysis in the United States. J Am Soc Nephrol. 2016;27(7):2123–2134. doi:10.1681/ASN.2015050472</w:t>
      </w:r>
    </w:p>
    <w:p>
      <w:pPr>
        <w:spacing w:after="160" w:line="276"/>
        <w:jc w:val="both"/>
      </w:pPr>
      <w:r>
        <w:rPr>
          <w:rFonts w:ascii="Cambria" w:cs="Cambria" w:eastAsia="Cambria" w:hAnsi="Cambria"/>
          <w:sz w:val="24"/>
          <w:szCs w:val="24"/>
        </w:rPr>
        <w:t xml:space="preserve">Moist LM, Bragg-Gresham JL, Pisoni RL, et al. Travel time to dialysis as a predictor of health-related quality of life, adherence, and mortality: The DOPPS. Am J Kidney Dis. 2008;51(4):641–650. doi:10.1053/j.ajkd.2007.12.021</w:t>
      </w:r>
    </w:p>
    <w:p>
      <w:pPr>
        <w:spacing w:after="160" w:line="276"/>
        <w:jc w:val="both"/>
      </w:pPr>
      <w:r>
        <w:rPr>
          <w:rFonts w:ascii="Cambria" w:cs="Cambria" w:eastAsia="Cambria" w:hAnsi="Cambria"/>
          <w:sz w:val="24"/>
          <w:szCs w:val="24"/>
        </w:rPr>
        <w:t xml:space="preserve">Narva AS. Kidney disease in Native Americans. J Natl Med Assoc. 2002;94(8):738–742. PMID:12152933</w:t>
      </w:r>
    </w:p>
    <w:p>
      <w:pPr>
        <w:spacing w:after="160" w:line="276"/>
        <w:jc w:val="both"/>
      </w:pPr>
      <w:r>
        <w:rPr>
          <w:rFonts w:ascii="Cambria" w:cs="Cambria" w:eastAsia="Cambria" w:hAnsi="Cambria"/>
          <w:sz w:val="24"/>
          <w:szCs w:val="24"/>
        </w:rPr>
        <w:t xml:space="preserve">Narva AS. Population health for CKD and diabetes: Lessons from the Indian Health Service. Am J Kidney Dis. 2018;71(3):407–411. doi:10.1053/j.ajkd.2017.09.017</w:t>
      </w:r>
    </w:p>
    <w:p>
      <w:pPr>
        <w:spacing w:after="160" w:line="276"/>
        <w:jc w:val="both"/>
      </w:pPr>
      <w:r>
        <w:rPr>
          <w:rFonts w:ascii="Cambria" w:cs="Cambria" w:eastAsia="Cambria" w:hAnsi="Cambria"/>
          <w:sz w:val="24"/>
          <w:szCs w:val="24"/>
        </w:rPr>
        <w:t xml:space="preserve">Narva AS, Sequist TD. Reducing health disparities in American Indians with chronic kidney disease. Semin Nephrol. 2010;30(1):19–25. doi:10.1016/j.semnephrol.2009.10.007</w:t>
      </w:r>
    </w:p>
    <w:p>
      <w:pPr>
        <w:spacing w:after="160" w:line="276"/>
        <w:jc w:val="both"/>
      </w:pPr>
      <w:r>
        <w:rPr>
          <w:rFonts w:ascii="Cambria" w:cs="Cambria" w:eastAsia="Cambria" w:hAnsi="Cambria"/>
          <w:sz w:val="24"/>
          <w:szCs w:val="24"/>
        </w:rPr>
        <w:t xml:space="preserve">Nikolaus CJ, Johnson S, Benally T, et al. Food insecurity among American Indian and Alaska Native people: A scoping review. Adv Nutr. 2022;13(5):1566–1583. doi:10.1093/advances/nmac008</w:t>
      </w:r>
    </w:p>
    <w:p>
      <w:pPr>
        <w:spacing w:after="160" w:line="276"/>
        <w:jc w:val="both"/>
      </w:pPr>
      <w:r>
        <w:rPr>
          <w:rFonts w:ascii="Cambria" w:cs="Cambria" w:eastAsia="Cambria" w:hAnsi="Cambria"/>
          <w:sz w:val="24"/>
          <w:szCs w:val="24"/>
        </w:rPr>
        <w:t xml:space="preserve">Pardilla M, Prasad D, Suratkar S, Gittelsohn J. High levels of household food insecurity on the Navajo Nation. Public Health Nutr. 2014;17(1):58–65. doi:10.1017/S1368980012005630</w:t>
      </w:r>
    </w:p>
    <w:p>
      <w:pPr>
        <w:spacing w:after="160" w:line="276"/>
        <w:jc w:val="both"/>
      </w:pPr>
      <w:r>
        <w:rPr>
          <w:rFonts w:ascii="Cambria" w:cs="Cambria" w:eastAsia="Cambria" w:hAnsi="Cambria"/>
          <w:sz w:val="24"/>
          <w:szCs w:val="24"/>
        </w:rPr>
        <w:t xml:space="preserve">Przybylak-Brouillard A, Wong-Mersereau C, Messina A, et al. Perspectives of Indigenous peoples on home dialysis: A systematic review and meta-synthesis of qualitative studies. Clin J Am Soc Nephrol. 2026. doi:10.2215/CJN.0000001005</w:t>
      </w:r>
    </w:p>
    <w:p>
      <w:pPr>
        <w:spacing w:after="160" w:line="276"/>
        <w:jc w:val="both"/>
      </w:pPr>
      <w:r>
        <w:rPr>
          <w:rFonts w:ascii="Cambria" w:cs="Cambria" w:eastAsia="Cambria" w:hAnsi="Cambria"/>
          <w:sz w:val="24"/>
          <w:szCs w:val="24"/>
        </w:rPr>
        <w:t xml:space="preserve">Razon N, Zhang Y, Bonilla-Herrera B, et al. Transportation insecurity and outcomes in hemodialysis patients: A retrospective cohort study. Clin J Am Soc Nephrol. 2025. doi:10.2215/CJN.0000000753</w:t>
      </w:r>
    </w:p>
    <w:p>
      <w:pPr>
        <w:spacing w:after="160" w:line="276"/>
        <w:jc w:val="both"/>
      </w:pPr>
      <w:r>
        <w:rPr>
          <w:rFonts w:ascii="Cambria" w:cs="Cambria" w:eastAsia="Cambria" w:hAnsi="Cambria"/>
          <w:sz w:val="24"/>
          <w:szCs w:val="24"/>
        </w:rPr>
        <w:t xml:space="preserve">Redvers N, Chischilly AM, Warne D, Pino M, Lyon-Colbert A. Uranium exposure in American Indian communities: Health, policy, and the way forward. Environ Health Perspect. 2021;129(3):35002. doi:10.1289/EHP7537</w:t>
      </w:r>
    </w:p>
    <w:p>
      <w:pPr>
        <w:spacing w:after="160" w:line="276"/>
        <w:jc w:val="both"/>
      </w:pPr>
      <w:r>
        <w:rPr>
          <w:rFonts w:ascii="Cambria" w:cs="Cambria" w:eastAsia="Cambria" w:hAnsi="Cambria"/>
          <w:sz w:val="24"/>
          <w:szCs w:val="24"/>
        </w:rPr>
        <w:t xml:space="preserve">Rucker D, Hemmelgarn BR, Lin M, et al. Quality of care and mortality are worse in chronic kidney disease patients living in remote areas. Kidney Int. 2011;79(2):210–217. doi:10.1038/ki.2010.376</w:t>
      </w:r>
    </w:p>
    <w:p>
      <w:pPr>
        <w:spacing w:after="160" w:line="276"/>
        <w:jc w:val="both"/>
      </w:pPr>
      <w:r>
        <w:rPr>
          <w:rFonts w:ascii="Cambria" w:cs="Cambria" w:eastAsia="Cambria" w:hAnsi="Cambria"/>
          <w:sz w:val="24"/>
          <w:szCs w:val="24"/>
        </w:rPr>
        <w:t xml:space="preserve">Sakpal SV, Donahue S, Ness C, Santella RN. Kidney transplantation in Native Americans: Time to explore, expel disparity. J Health Care Poor Underserved. 2020;31(3):1044–1049. doi:10.1353/hpu.2020.0078</w:t>
      </w:r>
    </w:p>
    <w:p>
      <w:pPr>
        <w:spacing w:after="160" w:line="276"/>
        <w:jc w:val="both"/>
      </w:pPr>
      <w:r>
        <w:rPr>
          <w:rFonts w:ascii="Cambria" w:cs="Cambria" w:eastAsia="Cambria" w:hAnsi="Cambria"/>
          <w:sz w:val="24"/>
          <w:szCs w:val="24"/>
        </w:rPr>
        <w:t xml:space="preserve">Sarnak MJ, Auguste BL, Brown E, et al. Cardiovascular effects of home dialysis therapies: A scientific statement from the American Heart Association. Circulation. 2022;146(11). doi:10.1161/CIR.0000000000001088</w:t>
      </w:r>
    </w:p>
    <w:p>
      <w:pPr>
        <w:spacing w:after="160" w:line="276"/>
        <w:jc w:val="both"/>
      </w:pPr>
      <w:r>
        <w:rPr>
          <w:rFonts w:ascii="Cambria" w:cs="Cambria" w:eastAsia="Cambria" w:hAnsi="Cambria"/>
          <w:sz w:val="24"/>
          <w:szCs w:val="24"/>
        </w:rPr>
        <w:t xml:space="preserve">Scholes-Robertson NJ, Howell M, Gutman T, et al. Patients’ and caregivers’ perspectives on access to kidney replacement therapy in rural communities: Systematic review of qualitative studies. BMJ Open. 2020;10(9). doi:10.1136/bmjopen-2020-037529</w:t>
      </w:r>
    </w:p>
    <w:p>
      <w:pPr>
        <w:spacing w:after="160" w:line="276"/>
        <w:jc w:val="both"/>
      </w:pPr>
      <w:r>
        <w:rPr>
          <w:rFonts w:ascii="Cambria" w:cs="Cambria" w:eastAsia="Cambria" w:hAnsi="Cambria"/>
          <w:sz w:val="24"/>
          <w:szCs w:val="24"/>
        </w:rPr>
        <w:t xml:space="preserve">Sequist TD. Urgent action needed on health inequities among American Indians and Alaska Natives. Lancet. 2021;397(10278):953–955.</w:t>
      </w:r>
    </w:p>
    <w:p>
      <w:pPr>
        <w:spacing w:after="160" w:line="276"/>
        <w:jc w:val="both"/>
      </w:pPr>
      <w:r>
        <w:rPr>
          <w:rFonts w:ascii="Cambria" w:cs="Cambria" w:eastAsia="Cambria" w:hAnsi="Cambria"/>
          <w:sz w:val="24"/>
          <w:szCs w:val="24"/>
        </w:rPr>
        <w:t xml:space="preserve">Sequist TD, Narva AS, Stiles SK, et al. Access to renal transplantation among American Indians and Hispanics. Am J Kidney Dis. 2004;44(2):344–352. doi:10.1053/j.ajkd.2004.04.039</w:t>
      </w:r>
    </w:p>
    <w:p>
      <w:pPr>
        <w:spacing w:after="160" w:line="276"/>
        <w:jc w:val="both"/>
      </w:pPr>
      <w:r>
        <w:rPr>
          <w:rFonts w:ascii="Cambria" w:cs="Cambria" w:eastAsia="Cambria" w:hAnsi="Cambria"/>
          <w:sz w:val="24"/>
          <w:szCs w:val="24"/>
        </w:rPr>
        <w:t xml:space="preserve">Stotz S, Brega AG, Henderson JN, Lockhart S, Moore K. Food insecurity and associated challenges to healthy eating among American Indians and Alaska Natives with type 2 diabetes. J Aging Health. 2021;33(7-8 Suppl):31S–39S. doi:10.1177/08982643211013232</w:t>
      </w:r>
    </w:p>
    <w:p>
      <w:pPr>
        <w:spacing w:after="160" w:line="276"/>
        <w:jc w:val="both"/>
      </w:pPr>
      <w:r>
        <w:rPr>
          <w:rFonts w:ascii="Cambria" w:cs="Cambria" w:eastAsia="Cambria" w:hAnsi="Cambria"/>
          <w:sz w:val="24"/>
          <w:szCs w:val="24"/>
        </w:rPr>
        <w:t xml:space="preserve">Tian FF, Hall YN, Griffin S, et al. The complex patchwork of transportation for in-center hemodialysis. J Am Soc Nephrol. 2023;34(10):1621–1627. doi:10.1681/ASN.0000000000000193</w:t>
      </w:r>
    </w:p>
    <w:p>
      <w:pPr>
        <w:spacing w:after="160" w:line="276"/>
        <w:jc w:val="both"/>
      </w:pPr>
      <w:r>
        <w:rPr>
          <w:rFonts w:ascii="Cambria" w:cs="Cambria" w:eastAsia="Cambria" w:hAnsi="Cambria"/>
          <w:sz w:val="24"/>
          <w:szCs w:val="24"/>
        </w:rPr>
        <w:t xml:space="preserve">Tungsanga S, Okpechi IG, Bianchi MEV, et al. Global landscape of kidney health across Indigenous populations. Nat Rev Nephrol. 2025. doi:10.1038/s41581-025-01016-2</w:t>
      </w:r>
    </w:p>
    <w:p>
      <w:pPr>
        <w:spacing w:after="160" w:line="276"/>
        <w:jc w:val="both"/>
      </w:pPr>
      <w:r>
        <w:rPr>
          <w:rFonts w:ascii="Cambria" w:cs="Cambria" w:eastAsia="Cambria" w:hAnsi="Cambria"/>
          <w:sz w:val="24"/>
          <w:szCs w:val="24"/>
        </w:rPr>
        <w:t xml:space="preserve">United States Renal Data System. 2025 USRDS Annual Data Report: Epidemiology of Kidney Disease in the United States. National Institutes of Health, National Institute of Diabetes and Digestive and Kidney Diseases, Bethesda, MD; 2025. Available at: https://usrds-adr.niddk.nih.gov</w:t>
      </w:r>
    </w:p>
    <w:p>
      <w:pPr>
        <w:spacing w:after="160" w:line="276"/>
        <w:jc w:val="both"/>
      </w:pPr>
      <w:r>
        <w:rPr>
          <w:rFonts w:ascii="Cambria" w:cs="Cambria" w:eastAsia="Cambria" w:hAnsi="Cambria"/>
          <w:sz w:val="24"/>
          <w:szCs w:val="24"/>
        </w:rPr>
        <w:t xml:space="preserve">Wan N, Zou B, Sternberg T. A three-step floating catchment area method for analyzing spatial access to health services. Int J Geogr Inf Sci. 2012;26(6):1073–1089.</w:t>
      </w:r>
    </w:p>
    <w:p>
      <w:pPr>
        <w:spacing w:after="160" w:line="276"/>
        <w:jc w:val="both"/>
      </w:pPr>
      <w:r>
        <w:rPr>
          <w:rFonts w:ascii="Cambria" w:cs="Cambria" w:eastAsia="Cambria" w:hAnsi="Cambria"/>
          <w:sz w:val="24"/>
          <w:szCs w:val="24"/>
        </w:rPr>
        <w:t xml:space="preserve">Wang F. Measurement, Optimization, and Impact of Health Care Accessibility: A Methodological Review. Ann Assoc Am Geogr. 2012;102(5):1104–1112.</w:t>
      </w:r>
    </w:p>
    <w:p>
      <w:pPr>
        <w:spacing w:after="160" w:line="276"/>
        <w:jc w:val="both"/>
      </w:pPr>
      <w:r>
        <w:rPr>
          <w:rFonts w:ascii="Cambria" w:cs="Cambria" w:eastAsia="Cambria" w:hAnsi="Cambria"/>
          <w:sz w:val="24"/>
          <w:szCs w:val="24"/>
        </w:rPr>
        <w:t xml:space="preserve">Warne D, Frizzell LB. American Indian health policy: Historical trends and contemporary issues. Am J Public Health. 2014;104(Suppl 3):S263–S267. doi:10.2105/AJPH.2013.301682</w:t>
      </w:r>
    </w:p>
    <w:p>
      <w:pPr>
        <w:spacing w:after="160" w:line="276"/>
        <w:jc w:val="both"/>
      </w:pPr>
      <w:r>
        <w:rPr>
          <w:rFonts w:ascii="Cambria" w:cs="Cambria" w:eastAsia="Cambria" w:hAnsi="Cambria"/>
          <w:sz w:val="24"/>
          <w:szCs w:val="24"/>
        </w:rPr>
        <w:t xml:space="preserve">Wilk AS, Cummings JR, Plantinga LC, et al. Racial and ethnic disparities in kidney replacement therapies among adults with kidney failure. Am J Kidney Dis. 2022;80(1):9–19. doi:10.1053/j.ajkd.2021.12.012</w:t>
      </w:r>
    </w:p>
    <w:p>
      <w:pPr>
        <w:spacing w:after="160" w:line="276"/>
        <w:jc w:val="both"/>
      </w:pPr>
      <w:r>
        <w:rPr>
          <w:rFonts w:ascii="Cambria" w:cs="Cambria" w:eastAsia="Cambria" w:hAnsi="Cambria"/>
          <w:sz w:val="24"/>
          <w:szCs w:val="24"/>
        </w:rPr>
        <w:t xml:space="preserve">Will JC, Strauss KF, Mendlein JM, et al. Diabetes mellitus among Navajo Indians: Findings from the Navajo Health and Nutrition Survey. J Nutr. 1997;127(10 Suppl):2106S–2113S. doi:10.1093/jn/127.10.2106S</w:t>
      </w:r>
    </w:p>
    <w:p>
      <w:pPr>
        <w:spacing w:after="160" w:line="276"/>
        <w:jc w:val="both"/>
      </w:pPr>
      <w:r>
        <w:rPr>
          <w:rFonts w:ascii="Cambria" w:cs="Cambria" w:eastAsia="Cambria" w:hAnsi="Cambria"/>
          <w:sz w:val="24"/>
          <w:szCs w:val="24"/>
        </w:rPr>
        <w:t xml:space="preserve">Wyatt CM. Decreased incidence of end-stage renal disease in American Indians with diabetes: A model for other high-risk populations? Kidney Int. 2017;91(4):766–768. doi:10.1016/j.kint.2017.01.027</w:t>
      </w:r>
    </w:p>
    <w:p>
      <w:pPr>
        <w:spacing w:after="160" w:line="276"/>
        <w:jc w:val="both"/>
      </w:pPr>
      <w:r>
        <w:rPr>
          <w:rFonts w:ascii="Cambria" w:cs="Cambria" w:eastAsia="Cambria" w:hAnsi="Cambria"/>
          <w:sz w:val="24"/>
          <w:szCs w:val="24"/>
        </w:rPr>
        <w:t xml:space="preserve">Yeates KE, Cass A, Sequist TD, et al. Indigenous people in Australia, Canada, New Zealand and the United States are less likely to receive renal transplantation. Kidney Int. 2009;76(6):659–664. doi:10.1038/ki.2009.236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r>
    <w:r>
      <w:rPr>
        <w:rFonts w:ascii="Cambria" w:cs="Cambria" w:eastAsia="Cambria" w:hAnsi="Cambr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mbria" w:cs="Cambria" w:eastAsia="Cambria" w:hAnsi="Cambria"/>
        <w:color w:val="666666"/>
        <w:sz w:val="18"/>
        <w:szCs w:val="18"/>
      </w:rPr>
      <w:t xml:space="preserve">Yerneni | Dialysis Access, Navajo 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4"/>
      </w:pBdr>
      <w:spacing w:after="180" w:before="360"/>
      <w:outlineLvl w:val="0"/>
    </w:pPr>
    <w:rPr>
      <w:rFonts w:ascii="Cambria" w:cs="Cambria" w:eastAsia="Cambria" w:hAnsi="Cambria"/>
      <w:b/>
      <w:bCs/>
      <w:caps/>
      <w:color w:val="000000"/>
      <w:sz w:val="28"/>
      <w:szCs w:val="28"/>
    </w:rPr>
  </w:style>
  <w:style w:type="paragraph" w:styleId="Heading2">
    <w:name w:val="Heading 2"/>
    <w:basedOn w:val="Normal"/>
    <w:next w:val="Normal"/>
    <w:qFormat/>
    <w:pPr>
      <w:spacing w:after="120" w:before="240"/>
      <w:outlineLvl w:val="1"/>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2026-05-02T05:17:32.678Z</dcterms:created>
  <dcterms:modified xsi:type="dcterms:W3CDTF">2026-05-02T05:17:32.688Z</dcterms:modified>
</cp:coreProperties>
</file>

<file path=docProps/custom.xml><?xml version="1.0" encoding="utf-8"?>
<Properties xmlns="http://schemas.openxmlformats.org/officeDocument/2006/custom-properties" xmlns:vt="http://schemas.openxmlformats.org/officeDocument/2006/docPropsVTypes"/>
</file>