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1F4E79"/>
          <w:sz w:val="30"/>
        </w:rPr>
        <w:t>AXA – C360 Validador de Calidad</w:t>
      </w:r>
    </w:p>
    <w:p>
      <w:pPr>
        <w:spacing w:after="160"/>
        <w:jc w:val="center"/>
      </w:pPr>
      <w:r>
        <w:rPr>
          <w:b/>
          <w:sz w:val="22"/>
        </w:rPr>
        <w:t>Prerrequisitos Técnicos de la Solución</w:t>
      </w:r>
    </w:p>
    <w:p>
      <w:pPr>
        <w:spacing w:after="60"/>
      </w:pPr>
      <w:r>
        <w:rPr>
          <w:i w:val="0"/>
          <w:sz w:val="18"/>
        </w:rPr>
        <w:t>Este documento resume los componentes técnicos, servicios de Azure/Office 365 y elementos de datos que deben estar disponibles y configurados antes de desplegar y operar la solución de validación de calidad de datos (arquitectura centrada en Databricks/Unity Catalog).</w:t>
      </w:r>
    </w:p>
    <w:p>
      <w:pPr>
        <w:spacing w:before="120" w:after="40"/>
      </w:pPr>
      <w:r>
        <w:rPr>
          <w:b/>
          <w:color w:val="1F4E79"/>
          <w:sz w:val="22"/>
        </w:rPr>
        <w:t>1. Infraestructura Cloud (Microsoft Azure)</w:t>
      </w:r>
    </w:p>
    <w:p>
      <w:pPr>
        <w:spacing w:before="80" w:after="20"/>
      </w:pPr>
      <w:r>
        <w:rPr>
          <w:b/>
          <w:sz w:val="19"/>
        </w:rPr>
        <w:t>1.1 Ingesta y orquestación</w:t>
      </w:r>
    </w:p>
    <w:p>
      <w:pPr>
        <w:pStyle w:val="ListBullet"/>
        <w:spacing w:after="0" w:line="240" w:lineRule="auto"/>
      </w:pPr>
      <w:r>
        <w:rPr>
          <w:b/>
          <w:sz w:val="18"/>
        </w:rPr>
        <w:t xml:space="preserve">Azure Data Factory: </w:t>
      </w:r>
      <w:r>
        <w:rPr>
          <w:sz w:val="18"/>
        </w:rPr>
        <w:t>Pipeline de extracción (EXT_Pipeline), transformación (TRF_Pipeline) y calidad (Quality_Pipeline), con conectividad hacia el File Server / Data Lake de origen (SIT_DATA_LAKE_LZ vía SSIS/ETL).</w:t>
      </w:r>
    </w:p>
    <w:p>
      <w:pPr>
        <w:pStyle w:val="ListBullet"/>
        <w:spacing w:after="0" w:line="240" w:lineRule="auto"/>
      </w:pPr>
      <w:r>
        <w:rPr>
          <w:b/>
          <w:sz w:val="18"/>
        </w:rPr>
        <w:t xml:space="preserve">SH Integration Runtime: </w:t>
      </w:r>
      <w:r>
        <w:rPr>
          <w:sz w:val="18"/>
        </w:rPr>
        <w:t>acceso SFTP/parquet desde el File Server (Beyond Health, SISE 2G, ARL, Guidewire) hacia la Landing Zone.</w:t>
      </w:r>
    </w:p>
    <w:p>
      <w:pPr>
        <w:spacing w:before="80" w:after="20"/>
      </w:pPr>
      <w:r>
        <w:rPr>
          <w:b/>
          <w:sz w:val="19"/>
        </w:rPr>
        <w:t>1.2 Procesamiento y catalogación</w:t>
      </w:r>
    </w:p>
    <w:p>
      <w:pPr>
        <w:pStyle w:val="ListBullet"/>
        <w:spacing w:after="0" w:line="240" w:lineRule="auto"/>
      </w:pPr>
      <w:r>
        <w:rPr>
          <w:b/>
          <w:sz w:val="18"/>
        </w:rPr>
        <w:t xml:space="preserve">Azure Databricks: </w:t>
      </w:r>
      <w:r>
        <w:rPr>
          <w:sz w:val="18"/>
        </w:rPr>
        <w:t>clúster/SQL Warehouse para ejecutar los notebooks de Bronze, Silver y Gold (motor parametrizado PySpark, sin SQL dinámico).</w:t>
      </w:r>
    </w:p>
    <w:p>
      <w:pPr>
        <w:pStyle w:val="ListBullet"/>
        <w:spacing w:after="0" w:line="240" w:lineRule="auto"/>
      </w:pPr>
      <w:r>
        <w:rPr>
          <w:b/>
          <w:sz w:val="18"/>
        </w:rPr>
        <w:t xml:space="preserve">Unity Catalog: </w:t>
      </w:r>
      <w:r>
        <w:rPr>
          <w:sz w:val="18"/>
        </w:rPr>
        <w:t>catálogo origen axa_col.core y catálogo de trabajo de la solución, con permisos de lectura sobre los esquemas fuente (core_bh, SISE, ARL, Guidewire) y de escritura sobre bronze/silver/gold.</w:t>
      </w:r>
    </w:p>
    <w:p>
      <w:pPr>
        <w:spacing w:before="80" w:after="20"/>
      </w:pPr>
      <w:r>
        <w:rPr>
          <w:b/>
          <w:sz w:val="19"/>
        </w:rPr>
        <w:t>1.3 Almacenamiento (Delta Lake / ADLS Gen2)</w:t>
      </w:r>
    </w:p>
    <w:p>
      <w:pPr>
        <w:pStyle w:val="ListBullet"/>
        <w:spacing w:after="0" w:line="240" w:lineRule="auto"/>
      </w:pPr>
      <w:r>
        <w:rPr>
          <w:b/>
          <w:sz w:val="18"/>
        </w:rPr>
        <w:t xml:space="preserve">Bronze: </w:t>
      </w:r>
      <w:r>
        <w:rPr>
          <w:sz w:val="18"/>
        </w:rPr>
        <w:t>archivos crudos parametrización (Excel) y tablas delta de parámetros/fuentes por satélite (Beyond Health, SISE, ARL, Guidewire).</w:t>
      </w:r>
    </w:p>
    <w:p>
      <w:pPr>
        <w:pStyle w:val="ListBullet"/>
        <w:spacing w:after="0" w:line="240" w:lineRule="auto"/>
      </w:pPr>
      <w:r>
        <w:rPr>
          <w:b/>
          <w:sz w:val="18"/>
        </w:rPr>
        <w:t xml:space="preserve">Silver: </w:t>
      </w:r>
      <w:r>
        <w:rPr>
          <w:sz w:val="18"/>
        </w:rPr>
        <w:t>tablas delta de satélites (SAT_BEYOND_HEALTH, SAT_PYC, SAT_ARL), reglas de calidad, parámetros y HUB_CLIENTE.</w:t>
      </w:r>
    </w:p>
    <w:p>
      <w:pPr>
        <w:pStyle w:val="ListBullet"/>
        <w:spacing w:after="0" w:line="240" w:lineRule="auto"/>
      </w:pPr>
      <w:r>
        <w:rPr>
          <w:b/>
          <w:sz w:val="18"/>
        </w:rPr>
        <w:t xml:space="preserve">Gold: </w:t>
      </w:r>
      <w:r>
        <w:rPr>
          <w:sz w:val="18"/>
        </w:rPr>
        <w:t>modelo de datos completo del validador (DIM_REGLA_CALIDAD, DIM_PARAMETROS, DIM_TIEMPO, FACT_REPORTE_DE_CALIDAD, FACT_RESUMEN_REPORTE_DE_CALIDAD).</w:t>
      </w:r>
    </w:p>
    <w:p>
      <w:pPr>
        <w:spacing w:before="80" w:after="20"/>
      </w:pPr>
      <w:r>
        <w:rPr>
          <w:b/>
          <w:sz w:val="19"/>
        </w:rPr>
        <w:t>1.4 Notificación y consumo</w:t>
      </w:r>
    </w:p>
    <w:p>
      <w:pPr>
        <w:pStyle w:val="ListBullet"/>
        <w:spacing w:after="0" w:line="240" w:lineRule="auto"/>
      </w:pPr>
      <w:r>
        <w:rPr>
          <w:b/>
          <w:sz w:val="18"/>
        </w:rPr>
        <w:t xml:space="preserve">Logic App: </w:t>
      </w:r>
      <w:r>
        <w:rPr>
          <w:sz w:val="18"/>
        </w:rPr>
        <w:t>flujo QualityModule que dispara el envío de correo al grupo de destinatarios cuando finaliza la ejecución (éxito o error).</w:t>
      </w:r>
    </w:p>
    <w:p>
      <w:pPr>
        <w:pStyle w:val="ListBullet"/>
        <w:spacing w:after="0" w:line="240" w:lineRule="auto"/>
      </w:pPr>
      <w:r>
        <w:rPr>
          <w:b/>
          <w:sz w:val="18"/>
        </w:rPr>
        <w:t xml:space="preserve">Outlook (correo corporativo): </w:t>
      </w:r>
      <w:r>
        <w:rPr>
          <w:sz w:val="18"/>
        </w:rPr>
        <w:t>recepción de notificaciones de estado de ejecución (status OK/Error) por pipeline/notebook.</w:t>
      </w:r>
    </w:p>
    <w:p>
      <w:pPr>
        <w:pStyle w:val="ListBullet"/>
        <w:spacing w:after="0" w:line="240" w:lineRule="auto"/>
      </w:pPr>
      <w:r>
        <w:rPr>
          <w:b/>
          <w:sz w:val="18"/>
        </w:rPr>
        <w:t xml:space="preserve">Power BI (Office 365): </w:t>
      </w:r>
      <w:r>
        <w:rPr>
          <w:sz w:val="18"/>
        </w:rPr>
        <w:t>Dashboard_Data_Quality conectado a las tablas Gold para consumo de reportes de calidad.</w:t>
      </w:r>
    </w:p>
    <w:p>
      <w:pPr>
        <w:spacing w:before="80" w:after="20"/>
      </w:pPr>
      <w:r>
        <w:rPr>
          <w:b/>
          <w:sz w:val="19"/>
        </w:rPr>
        <w:t>1.5 Seguridad, monitoreo y despliegue</w:t>
      </w:r>
    </w:p>
    <w:p>
      <w:pPr>
        <w:pStyle w:val="ListBullet"/>
        <w:spacing w:after="0" w:line="240" w:lineRule="auto"/>
      </w:pPr>
      <w:r>
        <w:rPr>
          <w:b/>
          <w:sz w:val="18"/>
        </w:rPr>
        <w:t xml:space="preserve">Azure Key Vault: </w:t>
      </w:r>
      <w:r>
        <w:rPr>
          <w:sz w:val="18"/>
        </w:rPr>
        <w:t>para secretos de conexión (credenciales SFTP, service principals, cadenas de conexión).</w:t>
      </w:r>
    </w:p>
    <w:p>
      <w:pPr>
        <w:pStyle w:val="ListBullet"/>
        <w:spacing w:after="0" w:line="240" w:lineRule="auto"/>
      </w:pPr>
      <w:r>
        <w:rPr>
          <w:b/>
          <w:sz w:val="18"/>
        </w:rPr>
        <w:t xml:space="preserve">Microsoft Entra ID: </w:t>
      </w:r>
      <w:r>
        <w:rPr>
          <w:sz w:val="18"/>
        </w:rPr>
        <w:t>identidades y permisos de service principals/usuarios sobre Data Factory, Databricks y Unity Catalog.</w:t>
      </w:r>
    </w:p>
    <w:p>
      <w:pPr>
        <w:pStyle w:val="ListBullet"/>
        <w:spacing w:after="0" w:line="240" w:lineRule="auto"/>
      </w:pPr>
      <w:r>
        <w:rPr>
          <w:b/>
          <w:sz w:val="18"/>
        </w:rPr>
        <w:t xml:space="preserve">Azure Monitor: </w:t>
      </w:r>
      <w:r>
        <w:rPr>
          <w:sz w:val="18"/>
        </w:rPr>
        <w:t>monitoreo de pipelines, notebooks y alertas de fallo.</w:t>
      </w:r>
    </w:p>
    <w:p>
      <w:pPr>
        <w:pStyle w:val="ListBullet"/>
        <w:spacing w:after="0" w:line="240" w:lineRule="auto"/>
      </w:pPr>
      <w:r>
        <w:rPr>
          <w:b/>
          <w:sz w:val="18"/>
        </w:rPr>
        <w:t xml:space="preserve">Microsoft Cost Management: </w:t>
      </w:r>
      <w:r>
        <w:rPr>
          <w:sz w:val="18"/>
        </w:rPr>
        <w:t>control de consumo de los recursos anteriores.</w:t>
      </w:r>
    </w:p>
    <w:p>
      <w:pPr>
        <w:pStyle w:val="ListBullet"/>
        <w:spacing w:after="0" w:line="240" w:lineRule="auto"/>
      </w:pPr>
      <w:r>
        <w:rPr>
          <w:b/>
          <w:sz w:val="18"/>
        </w:rPr>
        <w:t xml:space="preserve">Azure DevOps: </w:t>
      </w:r>
      <w:r>
        <w:rPr>
          <w:sz w:val="18"/>
        </w:rPr>
        <w:t>repositorio y pipelines de CI/CD para versionar y desplegar notebooks/pipelines entre ambientes.</w:t>
      </w:r>
    </w:p>
    <w:p>
      <w:pPr>
        <w:spacing w:before="120" w:after="40"/>
      </w:pPr>
      <w:r>
        <w:rPr>
          <w:b/>
          <w:color w:val="1F4E79"/>
          <w:sz w:val="22"/>
        </w:rPr>
        <w:t>2. Fuentes de Datos de Origen</w:t>
      </w:r>
    </w:p>
    <w:p>
      <w:pPr>
        <w:spacing w:after="60"/>
      </w:pPr>
      <w:r>
        <w:rPr>
          <w:i w:val="0"/>
          <w:sz w:val="18"/>
        </w:rPr>
        <w:t>Disponibilidad y acceso de lectura a las siguientes fuentes (vía ETL/SSIS hacia la Landing Zone):</w:t>
      </w:r>
    </w:p>
    <w:p>
      <w:pPr>
        <w:pStyle w:val="ListBullet"/>
        <w:spacing w:after="0" w:line="240" w:lineRule="auto"/>
      </w:pPr>
      <w:r>
        <w:rPr>
          <w:b/>
          <w:sz w:val="18"/>
        </w:rPr>
        <w:t xml:space="preserve">Beyond Health: </w:t>
      </w:r>
      <w:r>
        <w:rPr>
          <w:sz w:val="18"/>
        </w:rPr>
        <w:t>BH_PERSON, BH_ADDRESS, BH_INSTITUTION, BH_COUNTRY, BH_CITY, BH_AFFILIATION_CONTRACT, BH_MEMBER y tablas relacionadas.</w:t>
      </w:r>
    </w:p>
    <w:p>
      <w:pPr>
        <w:pStyle w:val="ListBullet"/>
        <w:spacing w:after="0" w:line="240" w:lineRule="auto"/>
      </w:pPr>
      <w:r>
        <w:rPr>
          <w:b/>
          <w:sz w:val="18"/>
        </w:rPr>
        <w:t xml:space="preserve">SISE 2G: </w:t>
      </w:r>
      <w:r>
        <w:rPr>
          <w:sz w:val="18"/>
        </w:rPr>
        <w:t>mpersona, mpersona_dir, mpersona_telef, tmunicipio, tpais, tdpto, tciiu, magente, pv_header, tramo, maseg_header, di_header, di_benef y relacionadas (scripts Generales y Vida).</w:t>
      </w:r>
    </w:p>
    <w:p>
      <w:pPr>
        <w:pStyle w:val="ListBullet"/>
        <w:spacing w:after="0" w:line="240" w:lineRule="auto"/>
      </w:pPr>
      <w:r>
        <w:rPr>
          <w:b/>
          <w:sz w:val="18"/>
        </w:rPr>
        <w:t xml:space="preserve">ARL: </w:t>
      </w:r>
      <w:r>
        <w:rPr>
          <w:sz w:val="18"/>
        </w:rPr>
        <w:t>AAEMPAF0, AAAFAAF0, AAAFNAF0, AACIUAF0, AAICOAF0, AACENAF0 (lógica de negocio pendiente de confirmar).</w:t>
      </w:r>
    </w:p>
    <w:p>
      <w:pPr>
        <w:pStyle w:val="ListBullet"/>
        <w:spacing w:after="0" w:line="240" w:lineRule="auto"/>
      </w:pPr>
      <w:r>
        <w:rPr>
          <w:b/>
          <w:sz w:val="18"/>
        </w:rPr>
        <w:t xml:space="preserve">Guidewire: </w:t>
      </w:r>
      <w:r>
        <w:rPr>
          <w:sz w:val="18"/>
        </w:rPr>
        <w:t>fuente adicional contemplada en la arquitectura estándar (Core Services), aún sin detalle de tablas en este documento.</w:t>
      </w:r>
    </w:p>
    <w:p>
      <w:pPr>
        <w:pStyle w:val="ListBullet"/>
        <w:spacing w:after="0" w:line="240" w:lineRule="auto"/>
      </w:pPr>
      <w:r>
        <w:rPr>
          <w:b/>
          <w:sz w:val="18"/>
        </w:rPr>
        <w:t xml:space="preserve">Archivo de parametrización: </w:t>
      </w:r>
      <w:r>
        <w:rPr>
          <w:sz w:val="18"/>
        </w:rPr>
        <w:t>Plantilla Excel de parametrización (parámetros, fuentes, homologaciones, reglas) cargada inicialmente a Bronze.</w:t>
      </w:r>
    </w:p>
    <w:p>
      <w:pPr>
        <w:spacing w:before="120" w:after="40"/>
      </w:pPr>
      <w:r>
        <w:rPr>
          <w:b/>
          <w:color w:val="1F4E79"/>
          <w:sz w:val="22"/>
        </w:rPr>
        <w:t>3. Modelo de Datos (Gold)</w:t>
      </w:r>
    </w:p>
    <w:p>
      <w:pPr>
        <w:pStyle w:val="ListBullet"/>
        <w:spacing w:after="0" w:line="240" w:lineRule="auto"/>
      </w:pPr>
      <w:r>
        <w:rPr>
          <w:sz w:val="18"/>
        </w:rPr>
        <w:t>HUB_CLIENTE (llave id_cliente = tipo de documento + número de documento) enlaza los satélites SAT_BEYOND_HEALTH, SAT_PYC y SAT_ARL.</w:t>
      </w:r>
    </w:p>
    <w:p>
      <w:pPr>
        <w:pStyle w:val="ListBullet"/>
        <w:spacing w:after="0" w:line="240" w:lineRule="auto"/>
      </w:pPr>
      <w:r>
        <w:rPr>
          <w:sz w:val="18"/>
        </w:rPr>
        <w:t>DIM_PARAMETROS centraliza toda la parametrización (grupo, nombre, valor, valor homologado) — fuente única para el motor PySpark.</w:t>
      </w:r>
    </w:p>
    <w:p>
      <w:pPr>
        <w:pStyle w:val="ListBullet"/>
        <w:spacing w:after="0" w:line="240" w:lineRule="auto"/>
      </w:pPr>
      <w:r>
        <w:rPr>
          <w:sz w:val="18"/>
        </w:rPr>
        <w:t>DIM_REGLA_CALIDAD, DIM_TIEMPO, FACT_REPORTE_DE_CALIDAD y FACT_RESUMEN_REPORTE_DE_CALIDAD soportan el reporte de calidad por regla, atributo, fuente y cliente.</w:t>
      </w:r>
    </w:p>
    <w:p>
      <w:pPr>
        <w:spacing w:before="120" w:after="40"/>
      </w:pPr>
      <w:r>
        <w:rPr>
          <w:b/>
          <w:color w:val="1F4E79"/>
          <w:sz w:val="22"/>
        </w:rPr>
        <w:t>4. Trazabilidad y Auditoría</w:t>
      </w:r>
    </w:p>
    <w:p>
      <w:pPr>
        <w:pStyle w:val="ListBullet"/>
        <w:spacing w:after="0" w:line="240" w:lineRule="auto"/>
      </w:pPr>
      <w:r>
        <w:rPr>
          <w:sz w:val="18"/>
        </w:rPr>
        <w:t>Cada notebook (Bronze, Silver, Gold) debe escribir su resultado en log_ejecucion (y log_reglas_calidad en Gold), incluyendo status de error para corte de la orquestación.</w:t>
      </w:r>
    </w:p>
    <w:p>
      <w:pPr>
        <w:pStyle w:val="ListBullet"/>
        <w:spacing w:after="0" w:line="240" w:lineRule="auto"/>
      </w:pPr>
      <w:r>
        <w:rPr>
          <w:sz w:val="18"/>
        </w:rPr>
        <w:t>Ante error, el pipeline debe propagar el status y permitir notificación vía Logic App/Outlook sin continuar la orquestación.</w:t>
      </w:r>
    </w:p>
    <w:p>
      <w:pPr>
        <w:spacing w:before="120" w:after="40"/>
      </w:pPr>
      <w:r>
        <w:rPr>
          <w:b/>
          <w:color w:val="1F4E79"/>
          <w:sz w:val="22"/>
        </w:rPr>
        <w:t>5. Pendientes por Confirmar (no derivables de los diagramas)</w:t>
      </w:r>
    </w:p>
    <w:p>
      <w:pPr>
        <w:pStyle w:val="ListBullet"/>
        <w:spacing w:after="0" w:line="240" w:lineRule="auto"/>
      </w:pPr>
      <w:r>
        <w:rPr>
          <w:sz w:val="18"/>
        </w:rPr>
        <w:t>Versionamiento específico de Databricks Runtime y tamaño de clúster/SQL Warehouse.</w:t>
      </w:r>
    </w:p>
    <w:p>
      <w:pPr>
        <w:pStyle w:val="ListBullet"/>
        <w:spacing w:after="0" w:line="240" w:lineRule="auto"/>
      </w:pPr>
      <w:r>
        <w:rPr>
          <w:sz w:val="18"/>
        </w:rPr>
        <w:t>Nombre de subscripción, resource group y región de despliegue en Azure.</w:t>
      </w:r>
    </w:p>
    <w:p>
      <w:pPr>
        <w:pStyle w:val="ListBullet"/>
        <w:spacing w:after="0" w:line="240" w:lineRule="auto"/>
      </w:pPr>
      <w:r>
        <w:rPr>
          <w:sz w:val="18"/>
        </w:rPr>
        <w:t>Matriz de permisos (roles de Entra ID / Unity Catalog) por servicio y por equipo.</w:t>
      </w:r>
    </w:p>
    <w:p>
      <w:pPr>
        <w:pStyle w:val="ListBullet"/>
        <w:spacing w:after="0" w:line="240" w:lineRule="auto"/>
      </w:pPr>
      <w:r>
        <w:rPr>
          <w:sz w:val="18"/>
        </w:rPr>
        <w:t>Requisitos de red (Private Link/VNet) si la conectividad a las fuentes on-premise lo exige.</w:t>
      </w:r>
    </w:p>
    <w:p>
      <w:pPr>
        <w:pStyle w:val="ListBullet"/>
        <w:spacing w:after="0" w:line="240" w:lineRule="auto"/>
      </w:pPr>
      <w:r>
        <w:rPr>
          <w:sz w:val="18"/>
        </w:rPr>
        <w:t>Licenciamiento Office 365/Power BI requerido para el grupo de destinatarios de notificaciones y consumo del dashboard.</w:t>
      </w:r>
    </w:p>
    <w:p>
      <w:pPr>
        <w:pStyle w:val="ListBullet"/>
        <w:spacing w:after="0" w:line="240" w:lineRule="auto"/>
      </w:pPr>
      <w:r>
        <w:rPr>
          <w:sz w:val="18"/>
        </w:rPr>
        <w:t>Lógica de negocio/joins del satélite ARL (AS400) — pendiente de recibir.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