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5ECE" w14:textId="400EE769" w:rsidR="00DD2BE3" w:rsidRPr="000A7F2C" w:rsidRDefault="00000000">
      <w:pPr>
        <w:spacing w:after="4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B08D3C"/>
          <w:sz w:val="36"/>
          <w:szCs w:val="20"/>
        </w:rPr>
        <w:t>Equity TCA</w:t>
      </w:r>
    </w:p>
    <w:p w14:paraId="12415ECF" w14:textId="77777777" w:rsidR="00DD2BE3" w:rsidRPr="000A7F2C" w:rsidRDefault="00000000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23262B"/>
          <w:szCs w:val="20"/>
        </w:rPr>
        <w:t>Arrival vs Interval-VWAP — Cost Gap Analysis (2026 H1)</w:t>
      </w:r>
    </w:p>
    <w:p w14:paraId="12415ED0" w14:textId="77777777" w:rsidR="00DD2BE3" w:rsidRPr="000A7F2C" w:rsidRDefault="00000000">
      <w:pPr>
        <w:spacing w:after="2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6B7280"/>
          <w:sz w:val="16"/>
          <w:szCs w:val="20"/>
        </w:rPr>
        <w:t>Market orders · GTC excluded · value-weighted (FX-adjusted USD) · positive = cost</w:t>
      </w:r>
    </w:p>
    <w:p w14:paraId="12415ED1" w14:textId="77777777" w:rsidR="00DD2BE3" w:rsidRPr="000A7F2C" w:rsidRDefault="00000000">
      <w:pPr>
        <w:spacing w:before="200" w:after="1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8A6C28"/>
          <w:szCs w:val="20"/>
        </w:rPr>
        <w:t>1 · Objective &amp; logic</w:t>
      </w:r>
    </w:p>
    <w:p w14:paraId="12415ED2" w14:textId="77777777" w:rsidR="00DD2BE3" w:rsidRPr="000A7F2C" w:rsidRDefault="00000000">
      <w:pPr>
        <w:spacing w:after="12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Where do we see higher or lower arrival-to-execution slippage for market orders? Two benchmarks isolate different things:</w:t>
      </w:r>
    </w:p>
    <w:p w14:paraId="12415ED3" w14:textId="77777777" w:rsidR="00DD2BE3" w:rsidRPr="000A7F2C" w:rsidRDefault="00000000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Arrival cost (A) = side·(</w:t>
      </w:r>
      <w:proofErr w:type="spellStart"/>
      <w:r w:rsidRPr="000A7F2C">
        <w:rPr>
          <w:rFonts w:ascii="ITC Avant Garde Pro Bk" w:hAnsi="ITC Avant Garde Pro Bk"/>
          <w:color w:val="23262B"/>
          <w:sz w:val="18"/>
          <w:szCs w:val="20"/>
        </w:rPr>
        <w:t>AvgPx</w:t>
      </w:r>
      <w:proofErr w:type="spellEnd"/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− </w:t>
      </w:r>
      <w:proofErr w:type="spellStart"/>
      <w:r w:rsidRPr="000A7F2C">
        <w:rPr>
          <w:rFonts w:ascii="ITC Avant Garde Pro Bk" w:hAnsi="ITC Avant Garde Pro Bk"/>
          <w:color w:val="23262B"/>
          <w:sz w:val="18"/>
          <w:szCs w:val="20"/>
        </w:rPr>
        <w:t>ArrPx</w:t>
      </w:r>
      <w:proofErr w:type="spellEnd"/>
      <w:r w:rsidRPr="000A7F2C">
        <w:rPr>
          <w:rFonts w:ascii="ITC Avant Garde Pro Bk" w:hAnsi="ITC Avant Garde Pro Bk"/>
          <w:color w:val="23262B"/>
          <w:sz w:val="18"/>
          <w:szCs w:val="20"/>
        </w:rPr>
        <w:t>)/ArrPx·1e4 — vs the decision price; contains execution/impact plus market drift.</w:t>
      </w:r>
    </w:p>
    <w:p w14:paraId="12415ED4" w14:textId="77777777" w:rsidR="00DD2BE3" w:rsidRPr="000A7F2C" w:rsidRDefault="00000000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Interval-VWAP cost (V) = side·(</w:t>
      </w:r>
      <w:proofErr w:type="spellStart"/>
      <w:r w:rsidRPr="000A7F2C">
        <w:rPr>
          <w:rFonts w:ascii="ITC Avant Garde Pro Bk" w:hAnsi="ITC Avant Garde Pro Bk"/>
          <w:color w:val="23262B"/>
          <w:sz w:val="18"/>
          <w:szCs w:val="20"/>
        </w:rPr>
        <w:t>AvgPx</w:t>
      </w:r>
      <w:proofErr w:type="spellEnd"/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− VWAP)/… — vs the market’s own average; drift-free execution.</w:t>
      </w:r>
    </w:p>
    <w:p w14:paraId="12415ED5" w14:textId="77777777" w:rsidR="00DD2BE3" w:rsidRPr="000A7F2C" w:rsidRDefault="00000000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Gap A − V ≈ timing drift — how the price moved against/for your side while trading.</w:t>
      </w:r>
    </w:p>
    <w:p w14:paraId="12415ED6" w14:textId="77777777" w:rsidR="00DD2BE3" w:rsidRPr="000A7F2C" w:rsidRDefault="00000000">
      <w:pPr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Read: A≈V </w:t>
      </w:r>
      <w:r w:rsidRPr="000A7F2C">
        <w:rPr>
          <w:rFonts w:ascii="Arial" w:hAnsi="Arial" w:cs="Arial"/>
          <w:color w:val="23262B"/>
          <w:sz w:val="18"/>
          <w:szCs w:val="20"/>
        </w:rPr>
        <w:t>→</w:t>
      </w: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genuine execution/impact (controllable). A</w:t>
      </w:r>
      <w:r w:rsidRPr="000A7F2C">
        <w:rPr>
          <w:rFonts w:ascii="Cambria Math" w:hAnsi="Cambria Math" w:cs="Cambria Math"/>
          <w:color w:val="23262B"/>
          <w:sz w:val="18"/>
          <w:szCs w:val="20"/>
        </w:rPr>
        <w:t>≫</w:t>
      </w: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V </w:t>
      </w:r>
      <w:r w:rsidRPr="000A7F2C">
        <w:rPr>
          <w:rFonts w:ascii="Arial" w:hAnsi="Arial" w:cs="Arial"/>
          <w:color w:val="23262B"/>
          <w:sz w:val="18"/>
          <w:szCs w:val="20"/>
        </w:rPr>
        <w:t>→</w:t>
      </w: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adverse drift (timing, mostly not). A</w:t>
      </w:r>
      <w:r w:rsidRPr="000A7F2C">
        <w:rPr>
          <w:rFonts w:ascii="Cambria Math" w:hAnsi="Cambria Math" w:cs="Cambria Math"/>
          <w:color w:val="23262B"/>
          <w:sz w:val="18"/>
          <w:szCs w:val="20"/>
        </w:rPr>
        <w:t>≪</w:t>
      </w: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V </w:t>
      </w:r>
      <w:r w:rsidRPr="000A7F2C">
        <w:rPr>
          <w:rFonts w:ascii="Arial" w:hAnsi="Arial" w:cs="Arial"/>
          <w:color w:val="23262B"/>
          <w:sz w:val="18"/>
          <w:szCs w:val="20"/>
        </w:rPr>
        <w:t>→</w:t>
      </w: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favorable drift masking weak execution (red flag). Judge broker skill on V.</w:t>
      </w:r>
    </w:p>
    <w:p w14:paraId="12415ED7" w14:textId="77777777" w:rsidR="00DD2BE3" w:rsidRPr="000A7F2C" w:rsidRDefault="00000000">
      <w:pPr>
        <w:spacing w:before="200" w:after="1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8A6C28"/>
          <w:szCs w:val="20"/>
        </w:rPr>
        <w:t>2 · Parameters, statistics &amp; categories</w:t>
      </w:r>
    </w:p>
    <w:tbl>
      <w:tblPr>
        <w:tblW w:w="9400" w:type="dxa"/>
        <w:tblInd w:w="80" w:type="dxa"/>
        <w:tblBorders>
          <w:top w:val="single" w:sz="4" w:space="0" w:color="E7DCC3"/>
          <w:left w:val="single" w:sz="4" w:space="0" w:color="E7DCC3"/>
          <w:bottom w:val="single" w:sz="4" w:space="0" w:color="E7DCC3"/>
          <w:right w:val="single" w:sz="4" w:space="0" w:color="E7DCC3"/>
          <w:insideH w:val="single" w:sz="4" w:space="0" w:color="E7DCC3"/>
          <w:insideV w:val="single" w:sz="4" w:space="0" w:color="E7DC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DD2BE3" w:rsidRPr="000A7F2C" w14:paraId="12415E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8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Parameter</w:t>
            </w:r>
          </w:p>
        </w:tc>
        <w:tc>
          <w:tcPr>
            <w:tcW w:w="68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9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Value</w:t>
            </w:r>
          </w:p>
        </w:tc>
      </w:tr>
      <w:tr w:rsidR="00DD2BE3" w:rsidRPr="000A7F2C" w14:paraId="12415E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B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Population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C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Market orders (</w:t>
            </w: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LmtPx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=MKT), GTC excluded — n = 805</w:t>
            </w:r>
          </w:p>
        </w:tc>
      </w:tr>
      <w:tr w:rsidR="00DD2BE3" w:rsidRPr="000A7F2C" w14:paraId="12415E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E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Weighting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DF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FX-adjusted USD notional (value-weighted) + equal-weighted mean</w:t>
            </w:r>
          </w:p>
        </w:tc>
      </w:tr>
      <w:tr w:rsidR="00DD2BE3" w:rsidRPr="000A7F2C" w14:paraId="12415E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1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Benchmarks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2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Arrival + Interval VWAP</w:t>
            </w:r>
          </w:p>
        </w:tc>
      </w:tr>
      <w:tr w:rsidR="00DD2BE3" w:rsidRPr="000A7F2C" w14:paraId="12415E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4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Statistics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5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VW cost, mean cost, t-stat (H0: mean=0), gap A−V</w:t>
            </w:r>
          </w:p>
        </w:tc>
      </w:tr>
      <w:tr w:rsidR="00DD2BE3" w:rsidRPr="000A7F2C" w14:paraId="12415E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7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Min sample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8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25–30 per cell (raise to 50 before acting)</w:t>
            </w:r>
          </w:p>
        </w:tc>
      </w:tr>
      <w:tr w:rsidR="00DD2BE3" w:rsidRPr="000A7F2C" w14:paraId="12415E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A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Trend bar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B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n ≥ 25 and |t| ≥ 2 and VW/mean agree in sign</w:t>
            </w:r>
          </w:p>
        </w:tc>
      </w:tr>
      <w:tr w:rsidR="00DD2BE3" w:rsidRPr="000A7F2C" w14:paraId="12415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D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Categories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EE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 xml:space="preserve">Direction; </w:t>
            </w: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Spread×Dir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 xml:space="preserve">; ADV%×Dir; </w:t>
            </w: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Cap×Dir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 xml:space="preserve">; </w:t>
            </w: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Region×Dir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 xml:space="preserve">; </w:t>
            </w: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Broker×Dir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 xml:space="preserve">; </w:t>
            </w: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Region×Broker</w:t>
            </w:r>
            <w:proofErr w:type="spellEnd"/>
          </w:p>
        </w:tc>
      </w:tr>
    </w:tbl>
    <w:p w14:paraId="12415EF0" w14:textId="77777777" w:rsidR="00DD2BE3" w:rsidRPr="000A7F2C" w:rsidRDefault="00DD2BE3">
      <w:pPr>
        <w:spacing w:after="80"/>
        <w:rPr>
          <w:rFonts w:ascii="ITC Avant Garde Pro Bk" w:hAnsi="ITC Avant Garde Pro Bk"/>
          <w:sz w:val="20"/>
          <w:szCs w:val="20"/>
        </w:rPr>
      </w:pPr>
    </w:p>
    <w:p w14:paraId="12415EF1" w14:textId="77777777" w:rsidR="00DD2BE3" w:rsidRPr="000A7F2C" w:rsidRDefault="00000000">
      <w:pPr>
        <w:spacing w:after="12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Book baseline (market orders): Arrival </w:t>
      </w:r>
      <w:r w:rsidRPr="000A7F2C">
        <w:rPr>
          <w:rFonts w:ascii="ITC Avant Garde Pro Bk" w:hAnsi="ITC Avant Garde Pro Bk"/>
          <w:b/>
          <w:color w:val="23262B"/>
          <w:sz w:val="18"/>
          <w:szCs w:val="20"/>
        </w:rPr>
        <w:t>-0.6</w:t>
      </w: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bps, VWAP </w:t>
      </w:r>
      <w:r w:rsidRPr="000A7F2C">
        <w:rPr>
          <w:rFonts w:ascii="ITC Avant Garde Pro Bk" w:hAnsi="ITC Avant Garde Pro Bk"/>
          <w:b/>
          <w:color w:val="23262B"/>
          <w:sz w:val="18"/>
          <w:szCs w:val="20"/>
        </w:rPr>
        <w:t>+0.9</w:t>
      </w: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 bps — the book essentially trades at its decision price; findings are read against this.</w:t>
      </w:r>
    </w:p>
    <w:p w14:paraId="12415EF2" w14:textId="77777777" w:rsidR="00DD2BE3" w:rsidRPr="000A7F2C" w:rsidRDefault="00000000">
      <w:pPr>
        <w:jc w:val="center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noProof/>
          <w:sz w:val="20"/>
          <w:szCs w:val="20"/>
        </w:rPr>
        <w:drawing>
          <wp:inline distT="0" distB="0" distL="0" distR="0" wp14:anchorId="12415F40" wp14:editId="12415F41">
            <wp:extent cx="6035040" cy="10460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4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0CC1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46EC4556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5C7269C0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0ECD7D25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412B4B6F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6D097ADB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683E0E42" w14:textId="77777777" w:rsidR="00791522" w:rsidRDefault="00791522">
      <w:pPr>
        <w:spacing w:before="200" w:after="100"/>
        <w:rPr>
          <w:rFonts w:ascii="ITC Avant Garde Pro Bk" w:hAnsi="ITC Avant Garde Pro Bk"/>
          <w:b/>
          <w:color w:val="8A6C28"/>
          <w:szCs w:val="20"/>
        </w:rPr>
      </w:pPr>
    </w:p>
    <w:p w14:paraId="12415EF3" w14:textId="1FBB1C6C" w:rsidR="00DD2BE3" w:rsidRPr="000A7F2C" w:rsidRDefault="00000000">
      <w:pPr>
        <w:spacing w:before="200" w:after="1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8A6C28"/>
          <w:szCs w:val="20"/>
        </w:rPr>
        <w:lastRenderedPageBreak/>
        <w:t>3 · Robust trends</w:t>
      </w:r>
    </w:p>
    <w:p w14:paraId="12415EF4" w14:textId="77777777" w:rsidR="00DD2BE3" w:rsidRPr="000A7F2C" w:rsidRDefault="00000000">
      <w:pPr>
        <w:jc w:val="center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noProof/>
          <w:sz w:val="20"/>
          <w:szCs w:val="20"/>
        </w:rPr>
        <w:drawing>
          <wp:inline distT="0" distB="0" distL="0" distR="0" wp14:anchorId="12415F42" wp14:editId="29770E26">
            <wp:extent cx="6187296" cy="28049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2697" cy="281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tblInd w:w="80" w:type="dxa"/>
        <w:tblBorders>
          <w:top w:val="single" w:sz="4" w:space="0" w:color="E7DCC3"/>
          <w:left w:val="single" w:sz="4" w:space="0" w:color="E7DCC3"/>
          <w:bottom w:val="single" w:sz="4" w:space="0" w:color="E7DCC3"/>
          <w:right w:val="single" w:sz="4" w:space="0" w:color="E7DCC3"/>
          <w:insideH w:val="single" w:sz="4" w:space="0" w:color="E7DCC3"/>
          <w:insideV w:val="single" w:sz="4" w:space="0" w:color="E7DC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00"/>
        <w:gridCol w:w="1000"/>
        <w:gridCol w:w="1000"/>
        <w:gridCol w:w="900"/>
        <w:gridCol w:w="800"/>
        <w:gridCol w:w="2000"/>
      </w:tblGrid>
      <w:tr w:rsidR="00DD2BE3" w:rsidRPr="000A7F2C" w14:paraId="12415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5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Segment</w:t>
            </w:r>
          </w:p>
        </w:tc>
        <w:tc>
          <w:tcPr>
            <w:tcW w:w="7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6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n</w:t>
            </w:r>
          </w:p>
        </w:tc>
        <w:tc>
          <w:tcPr>
            <w:tcW w:w="10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7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A (VW)</w:t>
            </w:r>
          </w:p>
        </w:tc>
        <w:tc>
          <w:tcPr>
            <w:tcW w:w="10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8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V (VW)</w:t>
            </w:r>
          </w:p>
        </w:tc>
        <w:tc>
          <w:tcPr>
            <w:tcW w:w="9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9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Gap</w:t>
            </w:r>
          </w:p>
        </w:tc>
        <w:tc>
          <w:tcPr>
            <w:tcW w:w="8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A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t(A)</w:t>
            </w:r>
          </w:p>
        </w:tc>
        <w:tc>
          <w:tcPr>
            <w:tcW w:w="2000" w:type="dxa"/>
            <w:shd w:val="clear" w:color="auto" w:fill="B08D3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B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b/>
                <w:color w:val="FFFFFF"/>
                <w:sz w:val="16"/>
                <w:szCs w:val="20"/>
              </w:rPr>
              <w:t>Read</w:t>
            </w:r>
          </w:p>
        </w:tc>
      </w:tr>
      <w:tr w:rsidR="00DD2BE3" w:rsidRPr="000A7F2C" w14:paraId="12415F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D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Cap×Dir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: Small Cap / Sell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E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61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EFF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+15.4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0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+8.5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1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+6.9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2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+3.0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3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worse | adverse drift</w:t>
            </w:r>
          </w:p>
        </w:tc>
      </w:tr>
      <w:tr w:rsidR="00DD2BE3" w:rsidRPr="000A7F2C" w14:paraId="12415F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5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Region×Dir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: Europe / Buy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6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151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7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+7.4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8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+6.3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9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+1.1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A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+1.7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B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worse | no drift</w:t>
            </w:r>
          </w:p>
        </w:tc>
      </w:tr>
      <w:tr w:rsidR="00DD2BE3" w:rsidRPr="000A7F2C" w14:paraId="12415F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D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Broker×Dir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: BTIA / Sell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E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85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0F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+4.8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0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+5.9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1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-1.1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2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+2.0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3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worse | no drift</w:t>
            </w:r>
          </w:p>
        </w:tc>
      </w:tr>
      <w:tr w:rsidR="00DD2BE3" w:rsidRPr="000A7F2C" w14:paraId="12415F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5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Region×Dir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: Europe / Sell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6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84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7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+4.5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8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9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+2.5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A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B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~ mkt | no drift</w:t>
            </w:r>
          </w:p>
        </w:tc>
      </w:tr>
      <w:tr w:rsidR="00DD2BE3" w:rsidRPr="000A7F2C" w14:paraId="12415F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D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Region×Broker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: Americas / BTIA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E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115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1F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+3.9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0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+12.8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1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-8.8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2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+2.0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3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worse | favorable drift</w:t>
            </w:r>
          </w:p>
        </w:tc>
      </w:tr>
      <w:tr w:rsidR="00DD2BE3" w:rsidRPr="000A7F2C" w14:paraId="12415F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5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proofErr w:type="spellStart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Region×Broker</w:t>
            </w:r>
            <w:proofErr w:type="spellEnd"/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: Europe / CLLT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6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221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7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+3.0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8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+2.1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9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+0.9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A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B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~ mkt | no drift</w:t>
            </w:r>
          </w:p>
        </w:tc>
      </w:tr>
      <w:tr w:rsidR="00DD2BE3" w:rsidRPr="000A7F2C" w14:paraId="12415F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D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Direction: Sell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E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327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2F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+2.2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30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+1.7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31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+0.5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32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+2.9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5F33" w14:textId="77777777" w:rsidR="00DD2BE3" w:rsidRPr="000A7F2C" w:rsidRDefault="00000000">
            <w:pPr>
              <w:spacing w:after="0"/>
              <w:rPr>
                <w:rFonts w:ascii="ITC Avant Garde Pro Bk" w:hAnsi="ITC Avant Garde Pro Bk"/>
                <w:sz w:val="20"/>
                <w:szCs w:val="20"/>
              </w:rPr>
            </w:pPr>
            <w:r w:rsidRPr="000A7F2C">
              <w:rPr>
                <w:rFonts w:ascii="ITC Avant Garde Pro Bk" w:hAnsi="ITC Avant Garde Pro Bk"/>
                <w:color w:val="23262B"/>
                <w:sz w:val="16"/>
                <w:szCs w:val="20"/>
              </w:rPr>
              <w:t>exec ~ mkt | no drift</w:t>
            </w:r>
          </w:p>
        </w:tc>
      </w:tr>
    </w:tbl>
    <w:p w14:paraId="12415F35" w14:textId="77777777" w:rsidR="00DD2BE3" w:rsidRPr="000A7F2C" w:rsidRDefault="00DD2BE3">
      <w:pPr>
        <w:spacing w:after="80"/>
        <w:rPr>
          <w:rFonts w:ascii="ITC Avant Garde Pro Bk" w:hAnsi="ITC Avant Garde Pro Bk"/>
          <w:sz w:val="20"/>
          <w:szCs w:val="20"/>
        </w:rPr>
      </w:pPr>
    </w:p>
    <w:p w14:paraId="12415F36" w14:textId="77777777" w:rsidR="00DD2BE3" w:rsidRPr="000A7F2C" w:rsidRDefault="00000000">
      <w:pPr>
        <w:jc w:val="center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noProof/>
          <w:sz w:val="20"/>
          <w:szCs w:val="20"/>
        </w:rPr>
        <w:drawing>
          <wp:inline distT="0" distB="0" distL="0" distR="0" wp14:anchorId="12415F44" wp14:editId="12415F45">
            <wp:extent cx="6035040" cy="2373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7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5F37" w14:textId="77777777" w:rsidR="00DD2BE3" w:rsidRPr="000A7F2C" w:rsidRDefault="00000000">
      <w:pPr>
        <w:spacing w:before="200" w:after="1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8A6C28"/>
          <w:szCs w:val="20"/>
        </w:rPr>
        <w:t>4 · Insights</w:t>
      </w:r>
    </w:p>
    <w:p w14:paraId="12415F38" w14:textId="77777777" w:rsidR="00DD2BE3" w:rsidRPr="000A7F2C" w:rsidRDefault="00000000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The one sizeable, controllable pocket is small-cap sells (~+15 bps, t=3.0): both execution (worse than VWAP) and adverse drift hurt. Slow the schedule / source block liquidity.</w:t>
      </w:r>
    </w:p>
    <w:p w14:paraId="12415F39" w14:textId="77777777" w:rsidR="00DD2BE3" w:rsidRPr="000A7F2C" w:rsidRDefault="00000000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lastRenderedPageBreak/>
        <w:t>•  Two brokers look better on arrival than they execute: Americas/BTIA (A +3.9 but V +12.8) and Asia/ICBI (A −6 but V +3.9) — favorable drift masks weak execution. Rank brokers on V.</w:t>
      </w:r>
    </w:p>
    <w:p w14:paraId="12415F3A" w14:textId="77777777" w:rsidR="00DD2BE3" w:rsidRPr="000A7F2C" w:rsidRDefault="00000000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European flow carries a real execution cost on both sides (buys V +6.3, t=2.6; sells A +4.5, t=2.2) with little drift — a venue/algo question, not timing.</w:t>
      </w:r>
    </w:p>
    <w:p w14:paraId="12415F3B" w14:textId="77777777" w:rsidR="00DD2BE3" w:rsidRPr="000A7F2C" w:rsidRDefault="00000000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 xml:space="preserve">•  Sells cost, buys don’t at book level (Sell A +2.2, t=2.9 vs Buy −2.0 </w:t>
      </w:r>
      <w:proofErr w:type="spellStart"/>
      <w:r w:rsidRPr="000A7F2C">
        <w:rPr>
          <w:rFonts w:ascii="ITC Avant Garde Pro Bk" w:hAnsi="ITC Avant Garde Pro Bk"/>
          <w:color w:val="23262B"/>
          <w:sz w:val="18"/>
          <w:szCs w:val="20"/>
        </w:rPr>
        <w:t>n.s</w:t>
      </w:r>
      <w:proofErr w:type="spellEnd"/>
      <w:r w:rsidRPr="000A7F2C">
        <w:rPr>
          <w:rFonts w:ascii="ITC Avant Garde Pro Bk" w:hAnsi="ITC Avant Garde Pro Bk"/>
          <w:color w:val="23262B"/>
          <w:sz w:val="18"/>
          <w:szCs w:val="20"/>
        </w:rPr>
        <w:t>.).</w:t>
      </w:r>
    </w:p>
    <w:p w14:paraId="12415F3C" w14:textId="77777777" w:rsidR="00DD2BE3" w:rsidRPr="000A7F2C" w:rsidRDefault="00000000">
      <w:pPr>
        <w:spacing w:before="200" w:after="10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b/>
          <w:color w:val="8A6C28"/>
          <w:szCs w:val="20"/>
        </w:rPr>
        <w:t>5 · Caveats</w:t>
      </w:r>
    </w:p>
    <w:p w14:paraId="12415F3D" w14:textId="77777777" w:rsidR="00DD2BE3" w:rsidRPr="000A7F2C" w:rsidRDefault="00000000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Extreme cells (Very-Large ADV, Very-Wide spread) fall below min-n in market-orders-only, so they do NOT qualify as trends — flag for more data.</w:t>
      </w:r>
    </w:p>
    <w:p w14:paraId="12415F3E" w14:textId="77777777" w:rsidR="00DD2BE3" w:rsidRPr="000A7F2C" w:rsidRDefault="00000000">
      <w:pPr>
        <w:spacing w:after="60"/>
        <w:rPr>
          <w:rFonts w:ascii="ITC Avant Garde Pro Bk" w:hAnsi="ITC Avant Garde Pro Bk"/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Some value-weighted cells are large but insignificant (one/two big tickets) — excluded by the VW/mean-agreement rule.</w:t>
      </w:r>
    </w:p>
    <w:p w14:paraId="12415F3F" w14:textId="77777777" w:rsidR="00DD2BE3" w:rsidRPr="000A7F2C" w:rsidRDefault="00000000">
      <w:pPr>
        <w:spacing w:after="60"/>
        <w:rPr>
          <w:sz w:val="20"/>
          <w:szCs w:val="20"/>
        </w:rPr>
      </w:pPr>
      <w:r w:rsidRPr="000A7F2C">
        <w:rPr>
          <w:rFonts w:ascii="ITC Avant Garde Pro Bk" w:hAnsi="ITC Avant Garde Pro Bk"/>
          <w:color w:val="23262B"/>
          <w:sz w:val="18"/>
          <w:szCs w:val="20"/>
        </w:rPr>
        <w:t>•  Market cap uses approximate static FX; GICS industry ~43% populated. Cost is trading-related IS vs arrival, not full implementation</w:t>
      </w:r>
      <w:r w:rsidRPr="000A7F2C">
        <w:rPr>
          <w:rFonts w:ascii="Segoe UI" w:hAnsi="Segoe UI"/>
          <w:color w:val="23262B"/>
          <w:sz w:val="18"/>
          <w:szCs w:val="20"/>
        </w:rPr>
        <w:t xml:space="preserve"> shortfall.</w:t>
      </w:r>
    </w:p>
    <w:sectPr w:rsidR="00DD2BE3" w:rsidRPr="000A7F2C">
      <w:footerReference w:type="even" r:id="rId9"/>
      <w:footerReference w:type="default" r:id="rId10"/>
      <w:footerReference w:type="first" r:id="rId11"/>
      <w:pgSz w:w="12240" w:h="15840"/>
      <w:pgMar w:top="1200" w:right="1200" w:bottom="120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C810C" w14:textId="77777777" w:rsidR="004F2458" w:rsidRDefault="004F2458" w:rsidP="00AB54A1">
      <w:pPr>
        <w:spacing w:after="0" w:line="240" w:lineRule="auto"/>
      </w:pPr>
      <w:r>
        <w:separator/>
      </w:r>
    </w:p>
  </w:endnote>
  <w:endnote w:type="continuationSeparator" w:id="0">
    <w:p w14:paraId="57886FC9" w14:textId="77777777" w:rsidR="004F2458" w:rsidRDefault="004F2458" w:rsidP="00AB5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Avant Garde Pro Bk">
    <w:panose1 w:val="020B0502020202020204"/>
    <w:charset w:val="00"/>
    <w:family w:val="swiss"/>
    <w:notTrueType/>
    <w:pitch w:val="variable"/>
    <w:sig w:usb0="A00000A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2415" w14:textId="77777777" w:rsidR="00AB54A1" w:rsidRDefault="00AB5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EA1F" w14:textId="77777777" w:rsidR="00AB54A1" w:rsidRDefault="00AB54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B5B7" w14:textId="77777777" w:rsidR="00AB54A1" w:rsidRDefault="00AB5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1866E" w14:textId="77777777" w:rsidR="004F2458" w:rsidRDefault="004F2458" w:rsidP="00AB54A1">
      <w:pPr>
        <w:spacing w:after="0" w:line="240" w:lineRule="auto"/>
      </w:pPr>
      <w:r>
        <w:separator/>
      </w:r>
    </w:p>
  </w:footnote>
  <w:footnote w:type="continuationSeparator" w:id="0">
    <w:p w14:paraId="6D700F39" w14:textId="77777777" w:rsidR="004F2458" w:rsidRDefault="004F2458" w:rsidP="00AB54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BE3"/>
    <w:rsid w:val="00004BD6"/>
    <w:rsid w:val="000A7F2C"/>
    <w:rsid w:val="004F2458"/>
    <w:rsid w:val="0065245D"/>
    <w:rsid w:val="00791522"/>
    <w:rsid w:val="00AB54A1"/>
    <w:rsid w:val="00DD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5ECE"/>
  <w15:docId w15:val="{DB0178CC-765A-4563-83C4-325513E5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B5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Sabina Yessaly</cp:lastModifiedBy>
  <cp:revision>5</cp:revision>
  <dcterms:created xsi:type="dcterms:W3CDTF">2026-07-09T07:27:00Z</dcterms:created>
  <dcterms:modified xsi:type="dcterms:W3CDTF">2026-07-09T07:39:00Z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3f8797-30a8-459f-89b8-7d024d20a7df_Enabled">
    <vt:lpwstr>true</vt:lpwstr>
  </property>
  <property fmtid="{D5CDD505-2E9C-101B-9397-08002B2CF9AE}" pid="3" name="MSIP_Label_a23f8797-30a8-459f-89b8-7d024d20a7df_SetDate">
    <vt:lpwstr>2026-07-09T07:27:25Z</vt:lpwstr>
  </property>
  <property fmtid="{D5CDD505-2E9C-101B-9397-08002B2CF9AE}" pid="4" name="MSIP_Label_a23f8797-30a8-459f-89b8-7d024d20a7df_Method">
    <vt:lpwstr>Privileged</vt:lpwstr>
  </property>
  <property fmtid="{D5CDD505-2E9C-101B-9397-08002B2CF9AE}" pid="5" name="MSIP_Label_a23f8797-30a8-459f-89b8-7d024d20a7df_Name">
    <vt:lpwstr>Internal</vt:lpwstr>
  </property>
  <property fmtid="{D5CDD505-2E9C-101B-9397-08002B2CF9AE}" pid="6" name="MSIP_Label_a23f8797-30a8-459f-89b8-7d024d20a7df_SiteId">
    <vt:lpwstr>6f41eebe-f4f6-41f6-9d01-03d70104f18c</vt:lpwstr>
  </property>
  <property fmtid="{D5CDD505-2E9C-101B-9397-08002B2CF9AE}" pid="7" name="MSIP_Label_a23f8797-30a8-459f-89b8-7d024d20a7df_ActionId">
    <vt:lpwstr>b04e11d3-87cb-44a6-b3c6-79c9cac3e591</vt:lpwstr>
  </property>
  <property fmtid="{D5CDD505-2E9C-101B-9397-08002B2CF9AE}" pid="8" name="MSIP_Label_a23f8797-30a8-459f-89b8-7d024d20a7df_ContentBits">
    <vt:lpwstr>2</vt:lpwstr>
  </property>
  <property fmtid="{D5CDD505-2E9C-101B-9397-08002B2CF9AE}" pid="9" name="MSIP_Label_a23f8797-30a8-459f-89b8-7d024d20a7df_Tag">
    <vt:lpwstr>10, 0, 1, 1</vt:lpwstr>
  </property>
</Properties>
</file>