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15ECE" w14:textId="139A74FF" w:rsidR="00DD2BE3" w:rsidRPr="00B10F56" w:rsidRDefault="0053051F">
      <w:pPr>
        <w:spacing w:after="40"/>
        <w:rPr>
          <w:rFonts w:ascii="ITC Avant Garde Pro Bk" w:hAnsi="ITC Avant Garde Pro Bk"/>
          <w:sz w:val="18"/>
          <w:szCs w:val="18"/>
        </w:rPr>
      </w:pPr>
      <w:r w:rsidRPr="00B10F56">
        <w:rPr>
          <w:rFonts w:ascii="ITC Avant Garde Pro Bk" w:hAnsi="ITC Avant Garde Pro Bk"/>
          <w:b/>
          <w:color w:val="B08D3C"/>
          <w:sz w:val="32"/>
          <w:szCs w:val="18"/>
        </w:rPr>
        <w:t>Equity TCA</w:t>
      </w:r>
      <w:r w:rsidR="00597036" w:rsidRPr="00B10F56">
        <w:rPr>
          <w:rFonts w:ascii="ITC Avant Garde Pro Bk" w:hAnsi="ITC Avant Garde Pro Bk"/>
          <w:b/>
          <w:color w:val="B08D3C"/>
          <w:sz w:val="32"/>
          <w:szCs w:val="18"/>
        </w:rPr>
        <w:t xml:space="preserve"> from EMSX Data (</w:t>
      </w:r>
      <w:r w:rsidR="00B10F56" w:rsidRPr="00B10F56">
        <w:rPr>
          <w:rFonts w:ascii="ITC Avant Garde Pro Bk" w:hAnsi="ITC Avant Garde Pro Bk"/>
          <w:b/>
          <w:color w:val="B08D3C"/>
          <w:sz w:val="32"/>
          <w:szCs w:val="18"/>
        </w:rPr>
        <w:t>04/01/2026 to 02/07/2026)</w:t>
      </w:r>
    </w:p>
    <w:p w14:paraId="12415ECF" w14:textId="77777777" w:rsidR="00DD2BE3" w:rsidRPr="000A7F2C" w:rsidRDefault="0053051F">
      <w:pPr>
        <w:spacing w:after="60"/>
        <w:rPr>
          <w:rFonts w:ascii="ITC Avant Garde Pro Bk" w:hAnsi="ITC Avant Garde Pro Bk"/>
          <w:sz w:val="20"/>
          <w:szCs w:val="20"/>
        </w:rPr>
      </w:pPr>
      <w:r w:rsidRPr="000A7F2C">
        <w:rPr>
          <w:rFonts w:ascii="ITC Avant Garde Pro Bk" w:hAnsi="ITC Avant Garde Pro Bk"/>
          <w:b/>
          <w:color w:val="23262B"/>
          <w:szCs w:val="20"/>
        </w:rPr>
        <w:t>Arrival vs Interval-VWAP — Cost Gap Analysis (2026 H1)</w:t>
      </w:r>
    </w:p>
    <w:p w14:paraId="2AD3215E" w14:textId="625FF4D6" w:rsidR="00C31A04" w:rsidRPr="000744CD" w:rsidRDefault="0053051F">
      <w:pPr>
        <w:spacing w:after="200"/>
        <w:rPr>
          <w:rFonts w:ascii="ITC Avant Garde Pro Bk" w:hAnsi="ITC Avant Garde Pro Bk"/>
          <w:color w:val="6B7280"/>
          <w:sz w:val="16"/>
          <w:szCs w:val="20"/>
        </w:rPr>
      </w:pPr>
      <w:r w:rsidRPr="000A7F2C">
        <w:rPr>
          <w:rFonts w:ascii="ITC Avant Garde Pro Bk" w:hAnsi="ITC Avant Garde Pro Bk"/>
          <w:color w:val="6B7280"/>
          <w:sz w:val="16"/>
          <w:szCs w:val="20"/>
        </w:rPr>
        <w:t xml:space="preserve">Market orders · GTC excluded · value-weighted (FX-adjusted </w:t>
      </w:r>
      <w:proofErr w:type="gramStart"/>
      <w:r w:rsidRPr="000A7F2C">
        <w:rPr>
          <w:rFonts w:ascii="ITC Avant Garde Pro Bk" w:hAnsi="ITC Avant Garde Pro Bk"/>
          <w:color w:val="6B7280"/>
          <w:sz w:val="16"/>
          <w:szCs w:val="20"/>
        </w:rPr>
        <w:t>USD) ·</w:t>
      </w:r>
      <w:proofErr w:type="gramEnd"/>
      <w:r w:rsidRPr="000A7F2C">
        <w:rPr>
          <w:rFonts w:ascii="ITC Avant Garde Pro Bk" w:hAnsi="ITC Avant Garde Pro Bk"/>
          <w:color w:val="6B7280"/>
          <w:sz w:val="16"/>
          <w:szCs w:val="20"/>
        </w:rPr>
        <w:t xml:space="preserve"> positive = cost</w:t>
      </w:r>
    </w:p>
    <w:p w14:paraId="12415ED1" w14:textId="77777777" w:rsidR="00DD2BE3" w:rsidRPr="000A7F2C" w:rsidRDefault="0053051F">
      <w:pPr>
        <w:spacing w:before="200" w:after="100"/>
        <w:rPr>
          <w:rFonts w:ascii="ITC Avant Garde Pro Bk" w:hAnsi="ITC Avant Garde Pro Bk"/>
          <w:sz w:val="20"/>
          <w:szCs w:val="20"/>
        </w:rPr>
      </w:pPr>
      <w:r w:rsidRPr="000A7F2C">
        <w:rPr>
          <w:rFonts w:ascii="ITC Avant Garde Pro Bk" w:hAnsi="ITC Avant Garde Pro Bk"/>
          <w:b/>
          <w:color w:val="8A6C28"/>
          <w:szCs w:val="20"/>
        </w:rPr>
        <w:t>1 · Objective &amp; logic</w:t>
      </w:r>
    </w:p>
    <w:p w14:paraId="12415ED2" w14:textId="77777777" w:rsidR="00DD2BE3" w:rsidRPr="000A7F2C" w:rsidRDefault="0053051F">
      <w:pPr>
        <w:spacing w:after="120"/>
        <w:rPr>
          <w:rFonts w:ascii="ITC Avant Garde Pro Bk" w:hAnsi="ITC Avant Garde Pro Bk"/>
          <w:sz w:val="20"/>
          <w:szCs w:val="20"/>
        </w:rPr>
      </w:pPr>
      <w:r w:rsidRPr="000A7F2C">
        <w:rPr>
          <w:rFonts w:ascii="ITC Avant Garde Pro Bk" w:hAnsi="ITC Avant Garde Pro Bk"/>
          <w:color w:val="23262B"/>
          <w:sz w:val="18"/>
          <w:szCs w:val="20"/>
        </w:rPr>
        <w:t>Where do we see higher or lower arrival-to-execution slippage for market orders? Two benchmarks isolate different things:</w:t>
      </w:r>
    </w:p>
    <w:p w14:paraId="12415ED3" w14:textId="77777777" w:rsidR="00DD2BE3" w:rsidRPr="000A7F2C" w:rsidRDefault="0053051F">
      <w:pPr>
        <w:spacing w:after="60"/>
        <w:rPr>
          <w:rFonts w:ascii="ITC Avant Garde Pro Bk" w:hAnsi="ITC Avant Garde Pro Bk"/>
          <w:sz w:val="20"/>
          <w:szCs w:val="20"/>
        </w:rPr>
      </w:pPr>
      <w:r w:rsidRPr="000A7F2C">
        <w:rPr>
          <w:rFonts w:ascii="ITC Avant Garde Pro Bk" w:hAnsi="ITC Avant Garde Pro Bk"/>
          <w:color w:val="23262B"/>
          <w:sz w:val="18"/>
          <w:szCs w:val="20"/>
        </w:rPr>
        <w:t>•  Arrival cost (A) = side</w:t>
      </w:r>
      <w:proofErr w:type="gramStart"/>
      <w:r w:rsidRPr="000A7F2C">
        <w:rPr>
          <w:rFonts w:ascii="ITC Avant Garde Pro Bk" w:hAnsi="ITC Avant Garde Pro Bk"/>
          <w:color w:val="23262B"/>
          <w:sz w:val="18"/>
          <w:szCs w:val="20"/>
        </w:rPr>
        <w:t>·(</w:t>
      </w:r>
      <w:proofErr w:type="gramEnd"/>
      <w:r w:rsidRPr="000A7F2C">
        <w:rPr>
          <w:rFonts w:ascii="ITC Avant Garde Pro Bk" w:hAnsi="ITC Avant Garde Pro Bk"/>
          <w:color w:val="23262B"/>
          <w:sz w:val="18"/>
          <w:szCs w:val="20"/>
        </w:rPr>
        <w:t>AvgPx − ArrPx)/ArrPx·1e4 — vs the decision price; contains execution/impact plus market drift.</w:t>
      </w:r>
    </w:p>
    <w:p w14:paraId="12415ED4" w14:textId="77777777" w:rsidR="00DD2BE3" w:rsidRPr="000A7F2C" w:rsidRDefault="0053051F">
      <w:pPr>
        <w:spacing w:after="60"/>
        <w:rPr>
          <w:rFonts w:ascii="ITC Avant Garde Pro Bk" w:hAnsi="ITC Avant Garde Pro Bk"/>
          <w:sz w:val="20"/>
          <w:szCs w:val="20"/>
        </w:rPr>
      </w:pPr>
      <w:r w:rsidRPr="000A7F2C">
        <w:rPr>
          <w:rFonts w:ascii="ITC Avant Garde Pro Bk" w:hAnsi="ITC Avant Garde Pro Bk"/>
          <w:color w:val="23262B"/>
          <w:sz w:val="18"/>
          <w:szCs w:val="20"/>
        </w:rPr>
        <w:t>•  Interval-VWAP cost (V) = side</w:t>
      </w:r>
      <w:proofErr w:type="gramStart"/>
      <w:r w:rsidRPr="000A7F2C">
        <w:rPr>
          <w:rFonts w:ascii="ITC Avant Garde Pro Bk" w:hAnsi="ITC Avant Garde Pro Bk"/>
          <w:color w:val="23262B"/>
          <w:sz w:val="18"/>
          <w:szCs w:val="20"/>
        </w:rPr>
        <w:t>·(</w:t>
      </w:r>
      <w:proofErr w:type="gramEnd"/>
      <w:r w:rsidRPr="000A7F2C">
        <w:rPr>
          <w:rFonts w:ascii="ITC Avant Garde Pro Bk" w:hAnsi="ITC Avant Garde Pro Bk"/>
          <w:color w:val="23262B"/>
          <w:sz w:val="18"/>
          <w:szCs w:val="20"/>
        </w:rPr>
        <w:t>AvgPx − VWAP)/… — vs the market’s own average; drift-free execution.</w:t>
      </w:r>
    </w:p>
    <w:p w14:paraId="12415ED5" w14:textId="77777777" w:rsidR="00DD2BE3" w:rsidRPr="000A7F2C" w:rsidRDefault="0053051F">
      <w:pPr>
        <w:spacing w:after="60"/>
        <w:rPr>
          <w:rFonts w:ascii="ITC Avant Garde Pro Bk" w:hAnsi="ITC Avant Garde Pro Bk"/>
          <w:sz w:val="20"/>
          <w:szCs w:val="20"/>
        </w:rPr>
      </w:pPr>
      <w:r w:rsidRPr="000A7F2C">
        <w:rPr>
          <w:rFonts w:ascii="ITC Avant Garde Pro Bk" w:hAnsi="ITC Avant Garde Pro Bk"/>
          <w:color w:val="23262B"/>
          <w:sz w:val="18"/>
          <w:szCs w:val="20"/>
        </w:rPr>
        <w:t>•  Gap A − V ≈ timing drift — how the price moved against/for your side while trading.</w:t>
      </w:r>
    </w:p>
    <w:p w14:paraId="07E58A5C" w14:textId="77777777" w:rsidR="001A37B7" w:rsidRPr="001A37B7" w:rsidRDefault="0053051F">
      <w:pPr>
        <w:rPr>
          <w:rFonts w:ascii="ITC Avant Garde Pro Bk" w:hAnsi="ITC Avant Garde Pro Bk"/>
          <w:b/>
          <w:bCs/>
          <w:color w:val="23262B"/>
          <w:sz w:val="18"/>
          <w:szCs w:val="20"/>
        </w:rPr>
      </w:pPr>
      <w:r w:rsidRPr="001A37B7">
        <w:rPr>
          <w:rFonts w:ascii="ITC Avant Garde Pro Bk" w:hAnsi="ITC Avant Garde Pro Bk"/>
          <w:b/>
          <w:bCs/>
          <w:color w:val="23262B"/>
          <w:sz w:val="18"/>
          <w:szCs w:val="20"/>
        </w:rPr>
        <w:t xml:space="preserve">Read: </w:t>
      </w:r>
    </w:p>
    <w:p w14:paraId="038B0122" w14:textId="77777777" w:rsidR="001A37B7" w:rsidRPr="001A37B7" w:rsidRDefault="0053051F" w:rsidP="001A37B7">
      <w:pPr>
        <w:pStyle w:val="ListParagraph"/>
        <w:numPr>
          <w:ilvl w:val="0"/>
          <w:numId w:val="1"/>
        </w:numPr>
        <w:rPr>
          <w:rFonts w:ascii="ITC Avant Garde Pro Bk" w:hAnsi="ITC Avant Garde Pro Bk"/>
          <w:color w:val="23262B"/>
          <w:sz w:val="18"/>
          <w:szCs w:val="20"/>
        </w:rPr>
      </w:pPr>
      <w:r w:rsidRPr="001A37B7">
        <w:rPr>
          <w:rFonts w:ascii="ITC Avant Garde Pro Bk" w:hAnsi="ITC Avant Garde Pro Bk"/>
          <w:color w:val="23262B"/>
          <w:sz w:val="18"/>
          <w:szCs w:val="20"/>
        </w:rPr>
        <w:t xml:space="preserve">A≈V </w:t>
      </w:r>
      <w:r w:rsidRPr="001A37B7">
        <w:rPr>
          <w:rFonts w:ascii="Arial" w:hAnsi="Arial" w:cs="Arial"/>
          <w:color w:val="23262B"/>
          <w:sz w:val="18"/>
          <w:szCs w:val="20"/>
        </w:rPr>
        <w:t>→</w:t>
      </w:r>
      <w:r w:rsidRPr="001A37B7">
        <w:rPr>
          <w:rFonts w:ascii="ITC Avant Garde Pro Bk" w:hAnsi="ITC Avant Garde Pro Bk"/>
          <w:color w:val="23262B"/>
          <w:sz w:val="18"/>
          <w:szCs w:val="20"/>
        </w:rPr>
        <w:t xml:space="preserve"> genuine execution/impact (controllable). </w:t>
      </w:r>
    </w:p>
    <w:p w14:paraId="3D412C32" w14:textId="77777777" w:rsidR="001A37B7" w:rsidRPr="001A37B7" w:rsidRDefault="0053051F" w:rsidP="001A37B7">
      <w:pPr>
        <w:pStyle w:val="ListParagraph"/>
        <w:numPr>
          <w:ilvl w:val="0"/>
          <w:numId w:val="1"/>
        </w:numPr>
        <w:rPr>
          <w:rFonts w:ascii="ITC Avant Garde Pro Bk" w:hAnsi="ITC Avant Garde Pro Bk"/>
          <w:color w:val="23262B"/>
          <w:sz w:val="18"/>
          <w:szCs w:val="20"/>
        </w:rPr>
      </w:pPr>
      <w:r w:rsidRPr="001A37B7">
        <w:rPr>
          <w:rFonts w:ascii="ITC Avant Garde Pro Bk" w:hAnsi="ITC Avant Garde Pro Bk"/>
          <w:color w:val="23262B"/>
          <w:sz w:val="18"/>
          <w:szCs w:val="20"/>
        </w:rPr>
        <w:t>A</w:t>
      </w:r>
      <w:r w:rsidRPr="001A37B7">
        <w:rPr>
          <w:rFonts w:ascii="Cambria Math" w:hAnsi="Cambria Math" w:cs="Cambria Math"/>
          <w:color w:val="23262B"/>
          <w:sz w:val="18"/>
          <w:szCs w:val="20"/>
        </w:rPr>
        <w:t>≫</w:t>
      </w:r>
      <w:r w:rsidRPr="001A37B7">
        <w:rPr>
          <w:rFonts w:ascii="ITC Avant Garde Pro Bk" w:hAnsi="ITC Avant Garde Pro Bk"/>
          <w:color w:val="23262B"/>
          <w:sz w:val="18"/>
          <w:szCs w:val="20"/>
        </w:rPr>
        <w:t xml:space="preserve">V </w:t>
      </w:r>
      <w:r w:rsidRPr="001A37B7">
        <w:rPr>
          <w:rFonts w:ascii="Arial" w:hAnsi="Arial" w:cs="Arial"/>
          <w:color w:val="23262B"/>
          <w:sz w:val="18"/>
          <w:szCs w:val="20"/>
        </w:rPr>
        <w:t>→</w:t>
      </w:r>
      <w:r w:rsidRPr="001A37B7">
        <w:rPr>
          <w:rFonts w:ascii="ITC Avant Garde Pro Bk" w:hAnsi="ITC Avant Garde Pro Bk"/>
          <w:color w:val="23262B"/>
          <w:sz w:val="18"/>
          <w:szCs w:val="20"/>
        </w:rPr>
        <w:t xml:space="preserve"> adverse drift (timing, mostly not). </w:t>
      </w:r>
    </w:p>
    <w:p w14:paraId="12415ED6" w14:textId="06B7338C" w:rsidR="00DD2BE3" w:rsidRPr="001A37B7" w:rsidRDefault="0053051F" w:rsidP="001A37B7">
      <w:pPr>
        <w:pStyle w:val="ListParagraph"/>
        <w:numPr>
          <w:ilvl w:val="0"/>
          <w:numId w:val="1"/>
        </w:numPr>
        <w:rPr>
          <w:rFonts w:ascii="ITC Avant Garde Pro Bk" w:hAnsi="ITC Avant Garde Pro Bk"/>
          <w:sz w:val="20"/>
          <w:szCs w:val="20"/>
        </w:rPr>
      </w:pPr>
      <w:r w:rsidRPr="001A37B7">
        <w:rPr>
          <w:rFonts w:ascii="ITC Avant Garde Pro Bk" w:hAnsi="ITC Avant Garde Pro Bk"/>
          <w:color w:val="23262B"/>
          <w:sz w:val="18"/>
          <w:szCs w:val="20"/>
        </w:rPr>
        <w:t>A</w:t>
      </w:r>
      <w:r w:rsidRPr="001A37B7">
        <w:rPr>
          <w:rFonts w:ascii="Cambria Math" w:hAnsi="Cambria Math" w:cs="Cambria Math"/>
          <w:color w:val="23262B"/>
          <w:sz w:val="18"/>
          <w:szCs w:val="20"/>
        </w:rPr>
        <w:t>≪</w:t>
      </w:r>
      <w:r w:rsidRPr="001A37B7">
        <w:rPr>
          <w:rFonts w:ascii="ITC Avant Garde Pro Bk" w:hAnsi="ITC Avant Garde Pro Bk"/>
          <w:color w:val="23262B"/>
          <w:sz w:val="18"/>
          <w:szCs w:val="20"/>
        </w:rPr>
        <w:t xml:space="preserve">V </w:t>
      </w:r>
      <w:r w:rsidRPr="001A37B7">
        <w:rPr>
          <w:rFonts w:ascii="Arial" w:hAnsi="Arial" w:cs="Arial"/>
          <w:color w:val="23262B"/>
          <w:sz w:val="18"/>
          <w:szCs w:val="20"/>
        </w:rPr>
        <w:t>→</w:t>
      </w:r>
      <w:r w:rsidRPr="001A37B7">
        <w:rPr>
          <w:rFonts w:ascii="ITC Avant Garde Pro Bk" w:hAnsi="ITC Avant Garde Pro Bk"/>
          <w:color w:val="23262B"/>
          <w:sz w:val="18"/>
          <w:szCs w:val="20"/>
        </w:rPr>
        <w:t xml:space="preserve"> favorable drift masking weak execution (red flag). Judge broker skill on V.</w:t>
      </w:r>
    </w:p>
    <w:p w14:paraId="12415ED7" w14:textId="77777777" w:rsidR="00DD2BE3" w:rsidRPr="000A7F2C" w:rsidRDefault="0053051F">
      <w:pPr>
        <w:spacing w:before="200" w:after="100"/>
        <w:rPr>
          <w:rFonts w:ascii="ITC Avant Garde Pro Bk" w:hAnsi="ITC Avant Garde Pro Bk"/>
          <w:sz w:val="20"/>
          <w:szCs w:val="20"/>
        </w:rPr>
      </w:pPr>
      <w:r w:rsidRPr="000A7F2C">
        <w:rPr>
          <w:rFonts w:ascii="ITC Avant Garde Pro Bk" w:hAnsi="ITC Avant Garde Pro Bk"/>
          <w:b/>
          <w:color w:val="8A6C28"/>
          <w:szCs w:val="20"/>
        </w:rPr>
        <w:t>2</w:t>
      </w:r>
      <w:r w:rsidRPr="000A7F2C">
        <w:rPr>
          <w:rFonts w:ascii="ITC Avant Garde Pro Bk" w:hAnsi="ITC Avant Garde Pro Bk"/>
          <w:b/>
          <w:color w:val="8A6C28"/>
          <w:szCs w:val="20"/>
        </w:rPr>
        <w:t xml:space="preserve"> · Parameters, statistics &amp; categories</w:t>
      </w:r>
    </w:p>
    <w:tbl>
      <w:tblPr>
        <w:tblW w:w="9400" w:type="dxa"/>
        <w:tblInd w:w="80" w:type="dxa"/>
        <w:tblBorders>
          <w:top w:val="single" w:sz="4" w:space="0" w:color="E7DCC3"/>
          <w:left w:val="single" w:sz="4" w:space="0" w:color="E7DCC3"/>
          <w:bottom w:val="single" w:sz="4" w:space="0" w:color="E7DCC3"/>
          <w:right w:val="single" w:sz="4" w:space="0" w:color="E7DCC3"/>
          <w:insideH w:val="single" w:sz="4" w:space="0" w:color="E7DCC3"/>
          <w:insideV w:val="single" w:sz="4" w:space="0" w:color="E7DCC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800"/>
      </w:tblGrid>
      <w:tr w:rsidR="00DD2BE3" w:rsidRPr="000A7F2C" w14:paraId="12415EDA" w14:textId="77777777">
        <w:tc>
          <w:tcPr>
            <w:tcW w:w="2600" w:type="dxa"/>
            <w:shd w:val="clear" w:color="auto" w:fill="B08D3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ED8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b/>
                <w:color w:val="FFFFFF"/>
                <w:sz w:val="16"/>
                <w:szCs w:val="20"/>
              </w:rPr>
              <w:t>Parameter</w:t>
            </w:r>
          </w:p>
        </w:tc>
        <w:tc>
          <w:tcPr>
            <w:tcW w:w="6800" w:type="dxa"/>
            <w:shd w:val="clear" w:color="auto" w:fill="B08D3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ED9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b/>
                <w:color w:val="FFFFFF"/>
                <w:sz w:val="16"/>
                <w:szCs w:val="20"/>
              </w:rPr>
              <w:t>Value</w:t>
            </w:r>
          </w:p>
        </w:tc>
      </w:tr>
      <w:tr w:rsidR="00DD2BE3" w:rsidRPr="000A7F2C" w14:paraId="12415EDD" w14:textId="77777777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EDB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Population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EDC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Market orders (LmtPx=MKT), GTC excluded — n = 805</w:t>
            </w:r>
          </w:p>
        </w:tc>
      </w:tr>
      <w:tr w:rsidR="00DD2BE3" w:rsidRPr="000A7F2C" w14:paraId="12415EE0" w14:textId="77777777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EDE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Weighting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EDF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FX-adjusted USD notional (value-weighted) + equal-weighted mean</w:t>
            </w:r>
          </w:p>
        </w:tc>
      </w:tr>
      <w:tr w:rsidR="00DD2BE3" w:rsidRPr="000A7F2C" w14:paraId="12415EE3" w14:textId="77777777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EE1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Benchmarks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EE2" w14:textId="69C1C4F5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Arrival</w:t>
            </w:r>
            <w:r w:rsidR="00033B81">
              <w:rPr>
                <w:rFonts w:ascii="ITC Avant Garde Pro Bk" w:hAnsi="ITC Avant Garde Pro Bk"/>
                <w:color w:val="23262B"/>
                <w:sz w:val="16"/>
                <w:szCs w:val="20"/>
              </w:rPr>
              <w:t xml:space="preserve"> Price</w:t>
            </w: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 xml:space="preserve"> + Interval VWAP</w:t>
            </w:r>
          </w:p>
        </w:tc>
      </w:tr>
      <w:tr w:rsidR="00DD2BE3" w:rsidRPr="000A7F2C" w14:paraId="12415EE6" w14:textId="77777777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EE4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Statistics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EE5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VW cost, mean cost, t-stat (H0: mean=0), gap A−V</w:t>
            </w:r>
          </w:p>
        </w:tc>
      </w:tr>
      <w:tr w:rsidR="00DD2BE3" w:rsidRPr="000A7F2C" w14:paraId="12415EE9" w14:textId="77777777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EE7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Min sample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EE8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25–30 per cell (raise to 50 before acting)</w:t>
            </w:r>
          </w:p>
        </w:tc>
      </w:tr>
      <w:tr w:rsidR="00DD2BE3" w:rsidRPr="000A7F2C" w14:paraId="12415EEC" w14:textId="77777777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EEA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Trend bar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EEB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n ≥ 25 and |t| ≥ 2 and VW/mean agree in sign</w:t>
            </w:r>
          </w:p>
        </w:tc>
      </w:tr>
      <w:tr w:rsidR="00DD2BE3" w:rsidRPr="000A7F2C" w14:paraId="12415EEF" w14:textId="77777777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EED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Categories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EEE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Direction; Spread×Dir; ADV%×Dir; Cap×Dir; Region×Dir; Broker×Dir; Region×Broker</w:t>
            </w:r>
          </w:p>
        </w:tc>
      </w:tr>
    </w:tbl>
    <w:p w14:paraId="12415EF0" w14:textId="77777777" w:rsidR="00DD2BE3" w:rsidRPr="000A7F2C" w:rsidRDefault="00DD2BE3">
      <w:pPr>
        <w:spacing w:after="80"/>
        <w:rPr>
          <w:rFonts w:ascii="ITC Avant Garde Pro Bk" w:hAnsi="ITC Avant Garde Pro Bk"/>
          <w:sz w:val="20"/>
          <w:szCs w:val="20"/>
        </w:rPr>
      </w:pPr>
    </w:p>
    <w:p w14:paraId="12415EF1" w14:textId="77777777" w:rsidR="00DD2BE3" w:rsidRPr="000A7F2C" w:rsidRDefault="0053051F">
      <w:pPr>
        <w:spacing w:after="120"/>
        <w:rPr>
          <w:rFonts w:ascii="ITC Avant Garde Pro Bk" w:hAnsi="ITC Avant Garde Pro Bk"/>
          <w:sz w:val="20"/>
          <w:szCs w:val="20"/>
        </w:rPr>
      </w:pPr>
      <w:r w:rsidRPr="000A7F2C">
        <w:rPr>
          <w:rFonts w:ascii="ITC Avant Garde Pro Bk" w:hAnsi="ITC Avant Garde Pro Bk"/>
          <w:color w:val="23262B"/>
          <w:sz w:val="18"/>
          <w:szCs w:val="20"/>
        </w:rPr>
        <w:t xml:space="preserve">Book baseline (market orders): Arrival </w:t>
      </w:r>
      <w:r w:rsidRPr="000A7F2C">
        <w:rPr>
          <w:rFonts w:ascii="ITC Avant Garde Pro Bk" w:hAnsi="ITC Avant Garde Pro Bk"/>
          <w:b/>
          <w:color w:val="23262B"/>
          <w:sz w:val="18"/>
          <w:szCs w:val="20"/>
        </w:rPr>
        <w:t>-0.6</w:t>
      </w:r>
      <w:r w:rsidRPr="000A7F2C">
        <w:rPr>
          <w:rFonts w:ascii="ITC Avant Garde Pro Bk" w:hAnsi="ITC Avant Garde Pro Bk"/>
          <w:color w:val="23262B"/>
          <w:sz w:val="18"/>
          <w:szCs w:val="20"/>
        </w:rPr>
        <w:t xml:space="preserve"> bps, VWAP </w:t>
      </w:r>
      <w:r w:rsidRPr="000A7F2C">
        <w:rPr>
          <w:rFonts w:ascii="ITC Avant Garde Pro Bk" w:hAnsi="ITC Avant Garde Pro Bk"/>
          <w:b/>
          <w:color w:val="23262B"/>
          <w:sz w:val="18"/>
          <w:szCs w:val="20"/>
        </w:rPr>
        <w:t>+0.9</w:t>
      </w:r>
      <w:r w:rsidRPr="000A7F2C">
        <w:rPr>
          <w:rFonts w:ascii="ITC Avant Garde Pro Bk" w:hAnsi="ITC Avant Garde Pro Bk"/>
          <w:color w:val="23262B"/>
          <w:sz w:val="18"/>
          <w:szCs w:val="20"/>
        </w:rPr>
        <w:t xml:space="preserve"> bps — the book essentially trades at its decision price; findings are read against this.</w:t>
      </w:r>
    </w:p>
    <w:p w14:paraId="12415EF2" w14:textId="77777777" w:rsidR="00DD2BE3" w:rsidRPr="000A7F2C" w:rsidRDefault="0053051F">
      <w:pPr>
        <w:jc w:val="center"/>
        <w:rPr>
          <w:rFonts w:ascii="ITC Avant Garde Pro Bk" w:hAnsi="ITC Avant Garde Pro Bk"/>
          <w:sz w:val="20"/>
          <w:szCs w:val="20"/>
        </w:rPr>
      </w:pPr>
      <w:r w:rsidRPr="000A7F2C">
        <w:rPr>
          <w:rFonts w:ascii="ITC Avant Garde Pro Bk" w:hAnsi="ITC Avant Garde Pro Bk"/>
          <w:noProof/>
          <w:sz w:val="20"/>
          <w:szCs w:val="20"/>
        </w:rPr>
        <w:drawing>
          <wp:inline distT="0" distB="0" distL="0" distR="0" wp14:anchorId="12415F40" wp14:editId="12415F41">
            <wp:extent cx="6035040" cy="104607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04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80CC1" w14:textId="77777777" w:rsidR="00791522" w:rsidRDefault="00791522">
      <w:pPr>
        <w:spacing w:before="200" w:after="100"/>
        <w:rPr>
          <w:rFonts w:ascii="ITC Avant Garde Pro Bk" w:hAnsi="ITC Avant Garde Pro Bk"/>
          <w:b/>
          <w:color w:val="8A6C28"/>
          <w:szCs w:val="20"/>
        </w:rPr>
      </w:pPr>
    </w:p>
    <w:p w14:paraId="46EC4556" w14:textId="77777777" w:rsidR="00791522" w:rsidRDefault="00791522">
      <w:pPr>
        <w:spacing w:before="200" w:after="100"/>
        <w:rPr>
          <w:rFonts w:ascii="ITC Avant Garde Pro Bk" w:hAnsi="ITC Avant Garde Pro Bk"/>
          <w:b/>
          <w:color w:val="8A6C28"/>
          <w:szCs w:val="20"/>
        </w:rPr>
      </w:pPr>
    </w:p>
    <w:p w14:paraId="5C7269C0" w14:textId="77777777" w:rsidR="00791522" w:rsidRDefault="00791522">
      <w:pPr>
        <w:spacing w:before="200" w:after="100"/>
        <w:rPr>
          <w:rFonts w:ascii="ITC Avant Garde Pro Bk" w:hAnsi="ITC Avant Garde Pro Bk"/>
          <w:b/>
          <w:color w:val="8A6C28"/>
          <w:szCs w:val="20"/>
        </w:rPr>
      </w:pPr>
    </w:p>
    <w:p w14:paraId="0ECD7D25" w14:textId="77777777" w:rsidR="00791522" w:rsidRDefault="00791522">
      <w:pPr>
        <w:spacing w:before="200" w:after="100"/>
        <w:rPr>
          <w:rFonts w:ascii="ITC Avant Garde Pro Bk" w:hAnsi="ITC Avant Garde Pro Bk"/>
          <w:b/>
          <w:color w:val="8A6C28"/>
          <w:szCs w:val="20"/>
        </w:rPr>
      </w:pPr>
    </w:p>
    <w:p w14:paraId="412B4B6F" w14:textId="77777777" w:rsidR="00791522" w:rsidRDefault="00791522">
      <w:pPr>
        <w:spacing w:before="200" w:after="100"/>
        <w:rPr>
          <w:rFonts w:ascii="ITC Avant Garde Pro Bk" w:hAnsi="ITC Avant Garde Pro Bk"/>
          <w:b/>
          <w:color w:val="8A6C28"/>
          <w:szCs w:val="20"/>
        </w:rPr>
      </w:pPr>
    </w:p>
    <w:p w14:paraId="6D097ADB" w14:textId="77777777" w:rsidR="00791522" w:rsidRDefault="00791522">
      <w:pPr>
        <w:spacing w:before="200" w:after="100"/>
        <w:rPr>
          <w:rFonts w:ascii="ITC Avant Garde Pro Bk" w:hAnsi="ITC Avant Garde Pro Bk"/>
          <w:b/>
          <w:color w:val="8A6C28"/>
          <w:szCs w:val="20"/>
        </w:rPr>
      </w:pPr>
    </w:p>
    <w:p w14:paraId="683E0E42" w14:textId="77777777" w:rsidR="00791522" w:rsidRDefault="00791522">
      <w:pPr>
        <w:spacing w:before="200" w:after="100"/>
        <w:rPr>
          <w:rFonts w:ascii="ITC Avant Garde Pro Bk" w:hAnsi="ITC Avant Garde Pro Bk"/>
          <w:b/>
          <w:color w:val="8A6C28"/>
          <w:szCs w:val="20"/>
        </w:rPr>
      </w:pPr>
    </w:p>
    <w:p w14:paraId="12415EF3" w14:textId="1FBB1C6C" w:rsidR="00DD2BE3" w:rsidRPr="000A7F2C" w:rsidRDefault="0053051F">
      <w:pPr>
        <w:spacing w:before="200" w:after="100"/>
        <w:rPr>
          <w:rFonts w:ascii="ITC Avant Garde Pro Bk" w:hAnsi="ITC Avant Garde Pro Bk"/>
          <w:sz w:val="20"/>
          <w:szCs w:val="20"/>
        </w:rPr>
      </w:pPr>
      <w:r w:rsidRPr="000A7F2C">
        <w:rPr>
          <w:rFonts w:ascii="ITC Avant Garde Pro Bk" w:hAnsi="ITC Avant Garde Pro Bk"/>
          <w:b/>
          <w:color w:val="8A6C28"/>
          <w:szCs w:val="20"/>
        </w:rPr>
        <w:t>3 · Robust trends</w:t>
      </w:r>
    </w:p>
    <w:p w14:paraId="12415EF4" w14:textId="77777777" w:rsidR="00DD2BE3" w:rsidRPr="000A7F2C" w:rsidRDefault="0053051F">
      <w:pPr>
        <w:jc w:val="center"/>
        <w:rPr>
          <w:rFonts w:ascii="ITC Avant Garde Pro Bk" w:hAnsi="ITC Avant Garde Pro Bk"/>
          <w:sz w:val="20"/>
          <w:szCs w:val="20"/>
        </w:rPr>
      </w:pPr>
      <w:r w:rsidRPr="000A7F2C">
        <w:rPr>
          <w:rFonts w:ascii="ITC Avant Garde Pro Bk" w:hAnsi="ITC Avant Garde Pro Bk"/>
          <w:noProof/>
          <w:sz w:val="20"/>
          <w:szCs w:val="20"/>
        </w:rPr>
        <w:drawing>
          <wp:inline distT="0" distB="0" distL="0" distR="0" wp14:anchorId="12415F42" wp14:editId="29770E26">
            <wp:extent cx="6187296" cy="28049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2697" cy="281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00" w:type="dxa"/>
        <w:tblInd w:w="80" w:type="dxa"/>
        <w:tblBorders>
          <w:top w:val="single" w:sz="4" w:space="0" w:color="E7DCC3"/>
          <w:left w:val="single" w:sz="4" w:space="0" w:color="E7DCC3"/>
          <w:bottom w:val="single" w:sz="4" w:space="0" w:color="E7DCC3"/>
          <w:right w:val="single" w:sz="4" w:space="0" w:color="E7DCC3"/>
          <w:insideH w:val="single" w:sz="4" w:space="0" w:color="E7DCC3"/>
          <w:insideV w:val="single" w:sz="4" w:space="0" w:color="E7DCC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700"/>
        <w:gridCol w:w="1000"/>
        <w:gridCol w:w="1000"/>
        <w:gridCol w:w="900"/>
        <w:gridCol w:w="800"/>
        <w:gridCol w:w="2000"/>
      </w:tblGrid>
      <w:tr w:rsidR="00DD2BE3" w:rsidRPr="000A7F2C" w14:paraId="12415EFC" w14:textId="77777777">
        <w:tc>
          <w:tcPr>
            <w:tcW w:w="3200" w:type="dxa"/>
            <w:shd w:val="clear" w:color="auto" w:fill="B08D3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EF5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b/>
                <w:color w:val="FFFFFF"/>
                <w:sz w:val="16"/>
                <w:szCs w:val="20"/>
              </w:rPr>
              <w:t>Segment</w:t>
            </w:r>
          </w:p>
        </w:tc>
        <w:tc>
          <w:tcPr>
            <w:tcW w:w="700" w:type="dxa"/>
            <w:shd w:val="clear" w:color="auto" w:fill="B08D3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EF6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b/>
                <w:color w:val="FFFFFF"/>
                <w:sz w:val="16"/>
                <w:szCs w:val="20"/>
              </w:rPr>
              <w:t>n</w:t>
            </w:r>
          </w:p>
        </w:tc>
        <w:tc>
          <w:tcPr>
            <w:tcW w:w="1000" w:type="dxa"/>
            <w:shd w:val="clear" w:color="auto" w:fill="B08D3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EF7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b/>
                <w:color w:val="FFFFFF"/>
                <w:sz w:val="16"/>
                <w:szCs w:val="20"/>
              </w:rPr>
              <w:t>A (VW)</w:t>
            </w:r>
          </w:p>
        </w:tc>
        <w:tc>
          <w:tcPr>
            <w:tcW w:w="1000" w:type="dxa"/>
            <w:shd w:val="clear" w:color="auto" w:fill="B08D3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EF8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b/>
                <w:color w:val="FFFFFF"/>
                <w:sz w:val="16"/>
                <w:szCs w:val="20"/>
              </w:rPr>
              <w:t>V (VW)</w:t>
            </w:r>
          </w:p>
        </w:tc>
        <w:tc>
          <w:tcPr>
            <w:tcW w:w="900" w:type="dxa"/>
            <w:shd w:val="clear" w:color="auto" w:fill="B08D3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EF9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b/>
                <w:color w:val="FFFFFF"/>
                <w:sz w:val="16"/>
                <w:szCs w:val="20"/>
              </w:rPr>
              <w:t>Gap</w:t>
            </w:r>
          </w:p>
        </w:tc>
        <w:tc>
          <w:tcPr>
            <w:tcW w:w="800" w:type="dxa"/>
            <w:shd w:val="clear" w:color="auto" w:fill="B08D3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EFA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b/>
                <w:color w:val="FFFFFF"/>
                <w:sz w:val="16"/>
                <w:szCs w:val="20"/>
              </w:rPr>
              <w:t>t(A)</w:t>
            </w:r>
          </w:p>
        </w:tc>
        <w:tc>
          <w:tcPr>
            <w:tcW w:w="2000" w:type="dxa"/>
            <w:shd w:val="clear" w:color="auto" w:fill="B08D3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EFB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b/>
                <w:color w:val="FFFFFF"/>
                <w:sz w:val="16"/>
                <w:szCs w:val="20"/>
              </w:rPr>
              <w:t>Read</w:t>
            </w:r>
          </w:p>
        </w:tc>
      </w:tr>
      <w:tr w:rsidR="00DD2BE3" w:rsidRPr="000A7F2C" w14:paraId="12415F04" w14:textId="77777777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EFD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Cap×Dir: Small Cap / Sell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EFE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61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EFF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+15.4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00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+8.5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01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+6.9</w:t>
            </w:r>
          </w:p>
        </w:tc>
        <w:tc>
          <w:tcPr>
            <w:tcW w:w="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02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+3.0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03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exec worse | adverse drift</w:t>
            </w:r>
          </w:p>
        </w:tc>
      </w:tr>
      <w:tr w:rsidR="00DD2BE3" w:rsidRPr="000A7F2C" w14:paraId="12415F0C" w14:textId="77777777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05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Region×Dir: Europe / Buy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06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151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07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+7.4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08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+6.3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09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+1.1</w:t>
            </w:r>
          </w:p>
        </w:tc>
        <w:tc>
          <w:tcPr>
            <w:tcW w:w="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0A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+1.7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0B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exec worse | no drift</w:t>
            </w:r>
          </w:p>
        </w:tc>
      </w:tr>
      <w:tr w:rsidR="00DD2BE3" w:rsidRPr="000A7F2C" w14:paraId="12415F14" w14:textId="77777777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0D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Broker×Dir: BTIA / Sell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0E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85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0F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+4.8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10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+5.9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11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-1.1</w:t>
            </w:r>
          </w:p>
        </w:tc>
        <w:tc>
          <w:tcPr>
            <w:tcW w:w="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12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+2.0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13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exec worse | no drift</w:t>
            </w:r>
          </w:p>
        </w:tc>
      </w:tr>
      <w:tr w:rsidR="00DD2BE3" w:rsidRPr="000A7F2C" w14:paraId="12415F1C" w14:textId="77777777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15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Region×Dir: Europe / Sell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16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84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17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+4.5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18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+2.0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19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+2.5</w:t>
            </w:r>
          </w:p>
        </w:tc>
        <w:tc>
          <w:tcPr>
            <w:tcW w:w="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1A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+2.2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1B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exec ~ mkt | no drift</w:t>
            </w:r>
          </w:p>
        </w:tc>
      </w:tr>
      <w:tr w:rsidR="00DD2BE3" w:rsidRPr="000A7F2C" w14:paraId="12415F24" w14:textId="77777777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1D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Region×Broker: Americas / BTIA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1E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115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1F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+3.9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20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+12.8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21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-8.8</w:t>
            </w:r>
          </w:p>
        </w:tc>
        <w:tc>
          <w:tcPr>
            <w:tcW w:w="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22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+2.0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23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exec worse | favorable drift</w:t>
            </w:r>
          </w:p>
        </w:tc>
      </w:tr>
      <w:tr w:rsidR="00DD2BE3" w:rsidRPr="000A7F2C" w14:paraId="12415F2C" w14:textId="77777777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25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Region×Broker: Europe / CLLT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26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221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27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+3.0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28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+2.1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29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+0.9</w:t>
            </w:r>
          </w:p>
        </w:tc>
        <w:tc>
          <w:tcPr>
            <w:tcW w:w="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2A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+2.1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2B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exec ~ mkt | no drift</w:t>
            </w:r>
          </w:p>
        </w:tc>
      </w:tr>
      <w:tr w:rsidR="00DD2BE3" w:rsidRPr="000A7F2C" w14:paraId="12415F34" w14:textId="77777777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2D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Direction: Sell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2E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327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2F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+2.2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30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+1.7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31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+0.5</w:t>
            </w:r>
          </w:p>
        </w:tc>
        <w:tc>
          <w:tcPr>
            <w:tcW w:w="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32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+2.9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33" w14:textId="77777777" w:rsidR="00DD2BE3" w:rsidRPr="000A7F2C" w:rsidRDefault="0053051F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exec ~ mkt | no drift</w:t>
            </w:r>
          </w:p>
        </w:tc>
      </w:tr>
      <w:tr w:rsidR="00940D8A" w:rsidRPr="000A7F2C" w14:paraId="453F12F4" w14:textId="77777777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BCBCBA" w14:textId="5FD0B7C6" w:rsidR="00940D8A" w:rsidRPr="000A7F2C" w:rsidRDefault="00940D8A">
            <w:pPr>
              <w:spacing w:after="0"/>
              <w:rPr>
                <w:rFonts w:ascii="ITC Avant Garde Pro Bk" w:hAnsi="ITC Avant Garde Pro Bk"/>
                <w:color w:val="23262B"/>
                <w:sz w:val="16"/>
                <w:szCs w:val="20"/>
              </w:rPr>
            </w:pPr>
            <w:r>
              <w:rPr>
                <w:rFonts w:ascii="ITC Avant Garde Pro Bk" w:hAnsi="ITC Avant Garde Pro Bk"/>
                <w:color w:val="23262B"/>
                <w:sz w:val="16"/>
                <w:szCs w:val="20"/>
              </w:rPr>
              <w:t>Broker</w:t>
            </w:r>
            <w:r w:rsidR="009D3CBE">
              <w:rPr>
                <w:rFonts w:ascii="ITC Avant Garde Pro Bk" w:hAnsi="ITC Avant Garde Pro Bk"/>
                <w:color w:val="23262B"/>
                <w:sz w:val="16"/>
                <w:szCs w:val="20"/>
              </w:rPr>
              <w:t>xDir: CLLT/Buy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A10EC7" w14:textId="4B6F667A" w:rsidR="00940D8A" w:rsidRPr="000A7F2C" w:rsidRDefault="009D3CBE">
            <w:pPr>
              <w:spacing w:after="0"/>
              <w:rPr>
                <w:rFonts w:ascii="ITC Avant Garde Pro Bk" w:hAnsi="ITC Avant Garde Pro Bk"/>
                <w:color w:val="23262B"/>
                <w:sz w:val="16"/>
                <w:szCs w:val="20"/>
              </w:rPr>
            </w:pPr>
            <w:r>
              <w:rPr>
                <w:rFonts w:ascii="ITC Avant Garde Pro Bk" w:hAnsi="ITC Avant Garde Pro Bk"/>
                <w:color w:val="23262B"/>
                <w:sz w:val="16"/>
                <w:szCs w:val="20"/>
              </w:rPr>
              <w:t>140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C0AEA6" w14:textId="110D6C9A" w:rsidR="00940D8A" w:rsidRPr="000A7F2C" w:rsidRDefault="009D3CBE">
            <w:pPr>
              <w:spacing w:after="0"/>
              <w:rPr>
                <w:rFonts w:ascii="ITC Avant Garde Pro Bk" w:hAnsi="ITC Avant Garde Pro Bk"/>
                <w:color w:val="23262B"/>
                <w:sz w:val="16"/>
                <w:szCs w:val="20"/>
              </w:rPr>
            </w:pPr>
            <w:r>
              <w:rPr>
                <w:rFonts w:ascii="ITC Avant Garde Pro Bk" w:hAnsi="ITC Avant Garde Pro Bk"/>
                <w:color w:val="23262B"/>
                <w:sz w:val="16"/>
                <w:szCs w:val="20"/>
              </w:rPr>
              <w:t>+1.9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F905A7" w14:textId="63030FEC" w:rsidR="00940D8A" w:rsidRPr="000A7F2C" w:rsidRDefault="007B709E">
            <w:pPr>
              <w:spacing w:after="0"/>
              <w:rPr>
                <w:rFonts w:ascii="ITC Avant Garde Pro Bk" w:hAnsi="ITC Avant Garde Pro Bk"/>
                <w:color w:val="23262B"/>
                <w:sz w:val="16"/>
                <w:szCs w:val="20"/>
              </w:rPr>
            </w:pPr>
            <w:r>
              <w:rPr>
                <w:rFonts w:ascii="ITC Avant Garde Pro Bk" w:hAnsi="ITC Avant Garde Pro Bk"/>
                <w:color w:val="23262B"/>
                <w:sz w:val="16"/>
                <w:szCs w:val="20"/>
              </w:rPr>
              <w:t>+1.7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5A8825" w14:textId="0AE8D51F" w:rsidR="00940D8A" w:rsidRPr="000A7F2C" w:rsidRDefault="007B709E">
            <w:pPr>
              <w:spacing w:after="0"/>
              <w:rPr>
                <w:rFonts w:ascii="ITC Avant Garde Pro Bk" w:hAnsi="ITC Avant Garde Pro Bk"/>
                <w:color w:val="23262B"/>
                <w:sz w:val="16"/>
                <w:szCs w:val="20"/>
              </w:rPr>
            </w:pPr>
            <w:r>
              <w:rPr>
                <w:rFonts w:ascii="ITC Avant Garde Pro Bk" w:hAnsi="ITC Avant Garde Pro Bk"/>
                <w:color w:val="23262B"/>
                <w:sz w:val="16"/>
                <w:szCs w:val="20"/>
              </w:rPr>
              <w:t>+0.2</w:t>
            </w:r>
          </w:p>
        </w:tc>
        <w:tc>
          <w:tcPr>
            <w:tcW w:w="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25E14A" w14:textId="4043D229" w:rsidR="00940D8A" w:rsidRPr="000A7F2C" w:rsidRDefault="007B709E">
            <w:pPr>
              <w:spacing w:after="0"/>
              <w:rPr>
                <w:rFonts w:ascii="ITC Avant Garde Pro Bk" w:hAnsi="ITC Avant Garde Pro Bk"/>
                <w:color w:val="23262B"/>
                <w:sz w:val="16"/>
                <w:szCs w:val="20"/>
              </w:rPr>
            </w:pPr>
            <w:r>
              <w:rPr>
                <w:rFonts w:ascii="ITC Avant Garde Pro Bk" w:hAnsi="ITC Avant Garde Pro Bk"/>
                <w:color w:val="23262B"/>
                <w:sz w:val="16"/>
                <w:szCs w:val="20"/>
              </w:rPr>
              <w:t>+5.5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09273" w14:textId="51D0B0AC" w:rsidR="00940D8A" w:rsidRPr="000A7F2C" w:rsidRDefault="007B709E">
            <w:pPr>
              <w:spacing w:after="0"/>
              <w:rPr>
                <w:rFonts w:ascii="ITC Avant Garde Pro Bk" w:hAnsi="ITC Avant Garde Pro Bk"/>
                <w:color w:val="23262B"/>
                <w:sz w:val="16"/>
                <w:szCs w:val="20"/>
              </w:rPr>
            </w:pPr>
            <w:r>
              <w:rPr>
                <w:rFonts w:ascii="ITC Avant Garde Pro Bk" w:hAnsi="ITC Avant Garde Pro Bk"/>
                <w:color w:val="23262B"/>
                <w:sz w:val="16"/>
                <w:szCs w:val="20"/>
              </w:rPr>
              <w:t xml:space="preserve">exec ~ </w:t>
            </w:r>
            <w:r w:rsidR="00697B37">
              <w:rPr>
                <w:rFonts w:ascii="ITC Avant Garde Pro Bk" w:hAnsi="ITC Avant Garde Pro Bk"/>
                <w:color w:val="23262B"/>
                <w:sz w:val="16"/>
                <w:szCs w:val="20"/>
              </w:rPr>
              <w:t>mkt | no drift</w:t>
            </w:r>
          </w:p>
        </w:tc>
      </w:tr>
    </w:tbl>
    <w:p w14:paraId="12415F35" w14:textId="77777777" w:rsidR="00DD2BE3" w:rsidRPr="000A7F2C" w:rsidRDefault="00DD2BE3">
      <w:pPr>
        <w:spacing w:after="80"/>
        <w:rPr>
          <w:rFonts w:ascii="ITC Avant Garde Pro Bk" w:hAnsi="ITC Avant Garde Pro Bk"/>
          <w:sz w:val="20"/>
          <w:szCs w:val="20"/>
        </w:rPr>
      </w:pPr>
    </w:p>
    <w:p w14:paraId="12415F36" w14:textId="77777777" w:rsidR="00DD2BE3" w:rsidRPr="000A7F2C" w:rsidRDefault="0053051F">
      <w:pPr>
        <w:jc w:val="center"/>
        <w:rPr>
          <w:rFonts w:ascii="ITC Avant Garde Pro Bk" w:hAnsi="ITC Avant Garde Pro Bk"/>
          <w:sz w:val="20"/>
          <w:szCs w:val="20"/>
        </w:rPr>
      </w:pPr>
      <w:r w:rsidRPr="000A7F2C">
        <w:rPr>
          <w:rFonts w:ascii="ITC Avant Garde Pro Bk" w:hAnsi="ITC Avant Garde Pro Bk"/>
          <w:noProof/>
          <w:sz w:val="20"/>
          <w:szCs w:val="20"/>
        </w:rPr>
        <w:drawing>
          <wp:inline distT="0" distB="0" distL="0" distR="0" wp14:anchorId="12415F44" wp14:editId="12415F45">
            <wp:extent cx="6035040" cy="23737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7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7AA6" w14:textId="77777777" w:rsidR="000C60B3" w:rsidRDefault="000C60B3">
      <w:pPr>
        <w:spacing w:before="200" w:after="100"/>
        <w:rPr>
          <w:rFonts w:ascii="ITC Avant Garde Pro Bk" w:hAnsi="ITC Avant Garde Pro Bk"/>
          <w:b/>
          <w:color w:val="8A6C28"/>
          <w:szCs w:val="20"/>
        </w:rPr>
      </w:pPr>
    </w:p>
    <w:p w14:paraId="1503A5AA" w14:textId="77777777" w:rsidR="000C60B3" w:rsidRDefault="000C60B3">
      <w:pPr>
        <w:spacing w:before="200" w:after="100"/>
        <w:rPr>
          <w:rFonts w:ascii="ITC Avant Garde Pro Bk" w:hAnsi="ITC Avant Garde Pro Bk"/>
          <w:b/>
          <w:color w:val="8A6C28"/>
          <w:szCs w:val="20"/>
        </w:rPr>
      </w:pPr>
    </w:p>
    <w:p w14:paraId="12415F37" w14:textId="73B22A0A" w:rsidR="00DD2BE3" w:rsidRPr="000A7F2C" w:rsidRDefault="0053051F">
      <w:pPr>
        <w:spacing w:before="200" w:after="100"/>
        <w:rPr>
          <w:rFonts w:ascii="ITC Avant Garde Pro Bk" w:hAnsi="ITC Avant Garde Pro Bk"/>
          <w:sz w:val="20"/>
          <w:szCs w:val="20"/>
        </w:rPr>
      </w:pPr>
      <w:r w:rsidRPr="000A7F2C">
        <w:rPr>
          <w:rFonts w:ascii="ITC Avant Garde Pro Bk" w:hAnsi="ITC Avant Garde Pro Bk"/>
          <w:b/>
          <w:color w:val="8A6C28"/>
          <w:szCs w:val="20"/>
        </w:rPr>
        <w:t>4 · Insights</w:t>
      </w:r>
    </w:p>
    <w:p w14:paraId="12415F38" w14:textId="77777777" w:rsidR="00DD2BE3" w:rsidRPr="000A7F2C" w:rsidRDefault="0053051F">
      <w:pPr>
        <w:spacing w:after="60"/>
        <w:rPr>
          <w:rFonts w:ascii="ITC Avant Garde Pro Bk" w:hAnsi="ITC Avant Garde Pro Bk"/>
          <w:sz w:val="20"/>
          <w:szCs w:val="20"/>
        </w:rPr>
      </w:pPr>
      <w:r w:rsidRPr="000A7F2C">
        <w:rPr>
          <w:rFonts w:ascii="ITC Avant Garde Pro Bk" w:hAnsi="ITC Avant Garde Pro Bk"/>
          <w:color w:val="23262B"/>
          <w:sz w:val="18"/>
          <w:szCs w:val="20"/>
        </w:rPr>
        <w:t xml:space="preserve">•  The one sizeable, controllable pocket is </w:t>
      </w:r>
      <w:proofErr w:type="gramStart"/>
      <w:r w:rsidRPr="000A7F2C">
        <w:rPr>
          <w:rFonts w:ascii="ITC Avant Garde Pro Bk" w:hAnsi="ITC Avant Garde Pro Bk"/>
          <w:color w:val="23262B"/>
          <w:sz w:val="18"/>
          <w:szCs w:val="20"/>
        </w:rPr>
        <w:t>small-cap</w:t>
      </w:r>
      <w:proofErr w:type="gramEnd"/>
      <w:r w:rsidRPr="000A7F2C">
        <w:rPr>
          <w:rFonts w:ascii="ITC Avant Garde Pro Bk" w:hAnsi="ITC Avant Garde Pro Bk"/>
          <w:color w:val="23262B"/>
          <w:sz w:val="18"/>
          <w:szCs w:val="20"/>
        </w:rPr>
        <w:t xml:space="preserve"> sells (~+15 bps, t=3.0): both execution (worse than VWAP) and adverse drift hurt. Slow the schedule / source block liquidity.</w:t>
      </w:r>
    </w:p>
    <w:p w14:paraId="12415F39" w14:textId="77777777" w:rsidR="00DD2BE3" w:rsidRPr="000A7F2C" w:rsidRDefault="0053051F">
      <w:pPr>
        <w:spacing w:after="60"/>
        <w:rPr>
          <w:rFonts w:ascii="ITC Avant Garde Pro Bk" w:hAnsi="ITC Avant Garde Pro Bk"/>
          <w:sz w:val="20"/>
          <w:szCs w:val="20"/>
        </w:rPr>
      </w:pPr>
      <w:r w:rsidRPr="000A7F2C">
        <w:rPr>
          <w:rFonts w:ascii="ITC Avant Garde Pro Bk" w:hAnsi="ITC Avant Garde Pro Bk"/>
          <w:color w:val="23262B"/>
          <w:sz w:val="18"/>
          <w:szCs w:val="20"/>
        </w:rPr>
        <w:t>•  Two brokers look better on arrival than they execute: Americas/BTIA (A +3.9 but V +12.8) and Asia/ICBI (A −6 but V +</w:t>
      </w:r>
      <w:proofErr w:type="gramStart"/>
      <w:r w:rsidRPr="000A7F2C">
        <w:rPr>
          <w:rFonts w:ascii="ITC Avant Garde Pro Bk" w:hAnsi="ITC Avant Garde Pro Bk"/>
          <w:color w:val="23262B"/>
          <w:sz w:val="18"/>
          <w:szCs w:val="20"/>
        </w:rPr>
        <w:t>3.9) —</w:t>
      </w:r>
      <w:proofErr w:type="gramEnd"/>
      <w:r w:rsidRPr="000A7F2C">
        <w:rPr>
          <w:rFonts w:ascii="ITC Avant Garde Pro Bk" w:hAnsi="ITC Avant Garde Pro Bk"/>
          <w:color w:val="23262B"/>
          <w:sz w:val="18"/>
          <w:szCs w:val="20"/>
        </w:rPr>
        <w:t xml:space="preserve"> favorable drift masks weak execution. Rank brokers on V.</w:t>
      </w:r>
    </w:p>
    <w:p w14:paraId="12415F3A" w14:textId="77777777" w:rsidR="00DD2BE3" w:rsidRPr="000A7F2C" w:rsidRDefault="0053051F">
      <w:pPr>
        <w:spacing w:after="60"/>
        <w:rPr>
          <w:rFonts w:ascii="ITC Avant Garde Pro Bk" w:hAnsi="ITC Avant Garde Pro Bk"/>
          <w:sz w:val="20"/>
          <w:szCs w:val="20"/>
        </w:rPr>
      </w:pPr>
      <w:r w:rsidRPr="000A7F2C">
        <w:rPr>
          <w:rFonts w:ascii="ITC Avant Garde Pro Bk" w:hAnsi="ITC Avant Garde Pro Bk"/>
          <w:color w:val="23262B"/>
          <w:sz w:val="18"/>
          <w:szCs w:val="20"/>
        </w:rPr>
        <w:t>•  European flow carries a real execution cost on both sides (buys V +6.3, t=2.6; sells A +4.5, t=2.2) with little drift — a venue/algo question, not timing.</w:t>
      </w:r>
    </w:p>
    <w:p w14:paraId="12415F3B" w14:textId="77777777" w:rsidR="00DD2BE3" w:rsidRPr="000A7F2C" w:rsidRDefault="0053051F">
      <w:pPr>
        <w:spacing w:after="60"/>
        <w:rPr>
          <w:rFonts w:ascii="ITC Avant Garde Pro Bk" w:hAnsi="ITC Avant Garde Pro Bk"/>
          <w:sz w:val="20"/>
          <w:szCs w:val="20"/>
        </w:rPr>
      </w:pPr>
      <w:r w:rsidRPr="000A7F2C">
        <w:rPr>
          <w:rFonts w:ascii="ITC Avant Garde Pro Bk" w:hAnsi="ITC Avant Garde Pro Bk"/>
          <w:color w:val="23262B"/>
          <w:sz w:val="18"/>
          <w:szCs w:val="20"/>
        </w:rPr>
        <w:t>•  Sells cost, buys don’t at book level (Sell A +2.2, t=2.9 vs Buy −2.0 n.s.).</w:t>
      </w:r>
    </w:p>
    <w:p w14:paraId="12415F3C" w14:textId="7BF92EE1" w:rsidR="00DD2BE3" w:rsidRPr="000A7F2C" w:rsidRDefault="0053051F">
      <w:pPr>
        <w:spacing w:before="200" w:after="100"/>
        <w:rPr>
          <w:rFonts w:ascii="ITC Avant Garde Pro Bk" w:hAnsi="ITC Avant Garde Pro Bk"/>
          <w:sz w:val="20"/>
          <w:szCs w:val="20"/>
        </w:rPr>
      </w:pPr>
      <w:r w:rsidRPr="000A7F2C">
        <w:rPr>
          <w:rFonts w:ascii="ITC Avant Garde Pro Bk" w:hAnsi="ITC Avant Garde Pro Bk"/>
          <w:b/>
          <w:color w:val="8A6C28"/>
          <w:szCs w:val="20"/>
        </w:rPr>
        <w:t>5 · C</w:t>
      </w:r>
      <w:r w:rsidR="00697B37">
        <w:rPr>
          <w:rFonts w:ascii="ITC Avant Garde Pro Bk" w:hAnsi="ITC Avant Garde Pro Bk"/>
          <w:b/>
          <w:color w:val="8A6C28"/>
          <w:szCs w:val="20"/>
        </w:rPr>
        <w:t>onsiderations and Points for Improvement</w:t>
      </w:r>
    </w:p>
    <w:p w14:paraId="12415F3D" w14:textId="77777777" w:rsidR="00DD2BE3" w:rsidRPr="000A7F2C" w:rsidRDefault="0053051F">
      <w:pPr>
        <w:spacing w:after="60"/>
        <w:rPr>
          <w:rFonts w:ascii="ITC Avant Garde Pro Bk" w:hAnsi="ITC Avant Garde Pro Bk"/>
          <w:sz w:val="20"/>
          <w:szCs w:val="20"/>
        </w:rPr>
      </w:pPr>
      <w:r w:rsidRPr="000A7F2C">
        <w:rPr>
          <w:rFonts w:ascii="ITC Avant Garde Pro Bk" w:hAnsi="ITC Avant Garde Pro Bk"/>
          <w:color w:val="23262B"/>
          <w:sz w:val="18"/>
          <w:szCs w:val="20"/>
        </w:rPr>
        <w:t>•  Extreme cells (Very-Large ADV, Very-Wide spread) fall below min-n in market-orders-only, so they do NOT qualify as trends — flag for more data.</w:t>
      </w:r>
    </w:p>
    <w:p w14:paraId="12415F3E" w14:textId="77777777" w:rsidR="00DD2BE3" w:rsidRPr="000A7F2C" w:rsidRDefault="0053051F">
      <w:pPr>
        <w:spacing w:after="60"/>
        <w:rPr>
          <w:rFonts w:ascii="ITC Avant Garde Pro Bk" w:hAnsi="ITC Avant Garde Pro Bk"/>
          <w:sz w:val="20"/>
          <w:szCs w:val="20"/>
        </w:rPr>
      </w:pPr>
      <w:r w:rsidRPr="000A7F2C">
        <w:rPr>
          <w:rFonts w:ascii="ITC Avant Garde Pro Bk" w:hAnsi="ITC Avant Garde Pro Bk"/>
          <w:color w:val="23262B"/>
          <w:sz w:val="18"/>
          <w:szCs w:val="20"/>
        </w:rPr>
        <w:t xml:space="preserve">•  Some value-weighted cells are large but insignificant (one/two big </w:t>
      </w:r>
      <w:proofErr w:type="gramStart"/>
      <w:r w:rsidRPr="000A7F2C">
        <w:rPr>
          <w:rFonts w:ascii="ITC Avant Garde Pro Bk" w:hAnsi="ITC Avant Garde Pro Bk"/>
          <w:color w:val="23262B"/>
          <w:sz w:val="18"/>
          <w:szCs w:val="20"/>
        </w:rPr>
        <w:t>tickets) —</w:t>
      </w:r>
      <w:proofErr w:type="gramEnd"/>
      <w:r w:rsidRPr="000A7F2C">
        <w:rPr>
          <w:rFonts w:ascii="ITC Avant Garde Pro Bk" w:hAnsi="ITC Avant Garde Pro Bk"/>
          <w:color w:val="23262B"/>
          <w:sz w:val="18"/>
          <w:szCs w:val="20"/>
        </w:rPr>
        <w:t xml:space="preserve"> excluded by the VW/mean-agreement rule.</w:t>
      </w:r>
    </w:p>
    <w:p w14:paraId="12415F3F" w14:textId="104C502D" w:rsidR="00DD2BE3" w:rsidRPr="00C31A04" w:rsidRDefault="0053051F">
      <w:pPr>
        <w:spacing w:after="60"/>
        <w:rPr>
          <w:rFonts w:ascii="ITC Avant Garde Pro Bk" w:hAnsi="ITC Avant Garde Pro Bk"/>
          <w:sz w:val="20"/>
          <w:szCs w:val="20"/>
        </w:rPr>
      </w:pPr>
      <w:r w:rsidRPr="000A7F2C">
        <w:rPr>
          <w:rFonts w:ascii="ITC Avant Garde Pro Bk" w:hAnsi="ITC Avant Garde Pro Bk"/>
          <w:color w:val="23262B"/>
          <w:sz w:val="18"/>
          <w:szCs w:val="20"/>
        </w:rPr>
        <w:t>•  Market cap uses approximate static FX; GICS industry</w:t>
      </w:r>
      <w:r w:rsidR="00C31A04">
        <w:rPr>
          <w:rFonts w:ascii="ITC Avant Garde Pro Bk" w:hAnsi="ITC Avant Garde Pro Bk"/>
          <w:color w:val="23262B"/>
          <w:sz w:val="18"/>
          <w:szCs w:val="20"/>
        </w:rPr>
        <w:t xml:space="preserve"> field is</w:t>
      </w:r>
      <w:r w:rsidRPr="000A7F2C">
        <w:rPr>
          <w:rFonts w:ascii="ITC Avant Garde Pro Bk" w:hAnsi="ITC Avant Garde Pro Bk"/>
          <w:color w:val="23262B"/>
          <w:sz w:val="18"/>
          <w:szCs w:val="20"/>
        </w:rPr>
        <w:t xml:space="preserve"> ~43% populated. Cost is </w:t>
      </w:r>
      <w:proofErr w:type="gramStart"/>
      <w:r w:rsidRPr="000A7F2C">
        <w:rPr>
          <w:rFonts w:ascii="ITC Avant Garde Pro Bk" w:hAnsi="ITC Avant Garde Pro Bk"/>
          <w:color w:val="23262B"/>
          <w:sz w:val="18"/>
          <w:szCs w:val="20"/>
        </w:rPr>
        <w:t>trading-related</w:t>
      </w:r>
      <w:proofErr w:type="gramEnd"/>
      <w:r w:rsidRPr="000A7F2C">
        <w:rPr>
          <w:rFonts w:ascii="ITC Avant Garde Pro Bk" w:hAnsi="ITC Avant Garde Pro Bk"/>
          <w:color w:val="23262B"/>
          <w:sz w:val="18"/>
          <w:szCs w:val="20"/>
        </w:rPr>
        <w:t xml:space="preserve"> IS vs arrival, not full implementation</w:t>
      </w:r>
      <w:r w:rsidRPr="000A7F2C">
        <w:rPr>
          <w:rFonts w:ascii="Segoe UI" w:hAnsi="Segoe UI"/>
          <w:color w:val="23262B"/>
          <w:sz w:val="18"/>
          <w:szCs w:val="20"/>
        </w:rPr>
        <w:t xml:space="preserve"> </w:t>
      </w:r>
      <w:r w:rsidR="00F3083B">
        <w:rPr>
          <w:rFonts w:ascii="ITC Avant Garde Pro Bk" w:hAnsi="ITC Avant Garde Pro Bk"/>
          <w:color w:val="23262B"/>
          <w:sz w:val="18"/>
          <w:szCs w:val="20"/>
        </w:rPr>
        <w:t>shortfall.</w:t>
      </w:r>
    </w:p>
    <w:sectPr w:rsidR="00DD2BE3" w:rsidRPr="00C31A04">
      <w:footerReference w:type="even" r:id="rId10"/>
      <w:footerReference w:type="default" r:id="rId11"/>
      <w:footerReference w:type="first" r:id="rId12"/>
      <w:pgSz w:w="12240" w:h="15840"/>
      <w:pgMar w:top="1200" w:right="1200" w:bottom="1200" w:left="12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254B8" w14:textId="77777777" w:rsidR="0053051F" w:rsidRDefault="0053051F" w:rsidP="00AB54A1">
      <w:pPr>
        <w:spacing w:after="0" w:line="240" w:lineRule="auto"/>
      </w:pPr>
      <w:r>
        <w:separator/>
      </w:r>
    </w:p>
  </w:endnote>
  <w:endnote w:type="continuationSeparator" w:id="0">
    <w:p w14:paraId="29F17444" w14:textId="77777777" w:rsidR="0053051F" w:rsidRDefault="0053051F" w:rsidP="00AB54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TC Avant Garde Pro Bk">
    <w:panose1 w:val="020B0502020202020204"/>
    <w:charset w:val="00"/>
    <w:family w:val="swiss"/>
    <w:notTrueType/>
    <w:pitch w:val="variable"/>
    <w:sig w:usb0="A00000AF" w:usb1="5000205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72415" w14:textId="77777777" w:rsidR="00AB54A1" w:rsidRDefault="00AB54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1EA1F" w14:textId="77777777" w:rsidR="00AB54A1" w:rsidRDefault="00AB54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AB5B7" w14:textId="77777777" w:rsidR="00AB54A1" w:rsidRDefault="00AB54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EC85B" w14:textId="77777777" w:rsidR="0053051F" w:rsidRDefault="0053051F" w:rsidP="00AB54A1">
      <w:pPr>
        <w:spacing w:after="0" w:line="240" w:lineRule="auto"/>
      </w:pPr>
      <w:r>
        <w:separator/>
      </w:r>
    </w:p>
  </w:footnote>
  <w:footnote w:type="continuationSeparator" w:id="0">
    <w:p w14:paraId="29B512A0" w14:textId="77777777" w:rsidR="0053051F" w:rsidRDefault="0053051F" w:rsidP="00AB54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F4EC3"/>
    <w:multiLevelType w:val="hybridMultilevel"/>
    <w:tmpl w:val="97B68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6656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2BE3"/>
    <w:rsid w:val="00004BD6"/>
    <w:rsid w:val="00033B81"/>
    <w:rsid w:val="000744CD"/>
    <w:rsid w:val="000A7F2C"/>
    <w:rsid w:val="000C60B3"/>
    <w:rsid w:val="001A37B7"/>
    <w:rsid w:val="00235DD6"/>
    <w:rsid w:val="0053051F"/>
    <w:rsid w:val="00597036"/>
    <w:rsid w:val="0065245D"/>
    <w:rsid w:val="00697B37"/>
    <w:rsid w:val="00791522"/>
    <w:rsid w:val="007B709E"/>
    <w:rsid w:val="007F59B2"/>
    <w:rsid w:val="00940D8A"/>
    <w:rsid w:val="009D3CBE"/>
    <w:rsid w:val="00AB54A1"/>
    <w:rsid w:val="00B10F56"/>
    <w:rsid w:val="00B4147E"/>
    <w:rsid w:val="00C31A04"/>
    <w:rsid w:val="00C40A0C"/>
    <w:rsid w:val="00DD2BE3"/>
    <w:rsid w:val="00F3083B"/>
    <w:rsid w:val="00F64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15ECE"/>
  <w15:docId w15:val="{DB0178CC-765A-4563-83C4-325513E53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AB54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54A1"/>
  </w:style>
  <w:style w:type="paragraph" w:styleId="ListParagraph">
    <w:name w:val="List Paragraph"/>
    <w:basedOn w:val="Normal"/>
    <w:uiPriority w:val="34"/>
    <w:qFormat/>
    <w:rsid w:val="001A37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480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Sabina Yessaly</cp:lastModifiedBy>
  <cp:revision>21</cp:revision>
  <dcterms:created xsi:type="dcterms:W3CDTF">2026-07-09T07:27:00Z</dcterms:created>
  <dcterms:modified xsi:type="dcterms:W3CDTF">2026-07-09T08:41:00Z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23f8797-30a8-459f-89b8-7d024d20a7df_Enabled">
    <vt:lpwstr>true</vt:lpwstr>
  </property>
  <property fmtid="{D5CDD505-2E9C-101B-9397-08002B2CF9AE}" pid="3" name="MSIP_Label_a23f8797-30a8-459f-89b8-7d024d20a7df_SetDate">
    <vt:lpwstr>2026-07-09T07:27:25Z</vt:lpwstr>
  </property>
  <property fmtid="{D5CDD505-2E9C-101B-9397-08002B2CF9AE}" pid="4" name="MSIP_Label_a23f8797-30a8-459f-89b8-7d024d20a7df_Method">
    <vt:lpwstr>Privileged</vt:lpwstr>
  </property>
  <property fmtid="{D5CDD505-2E9C-101B-9397-08002B2CF9AE}" pid="5" name="MSIP_Label_a23f8797-30a8-459f-89b8-7d024d20a7df_Name">
    <vt:lpwstr>Internal</vt:lpwstr>
  </property>
  <property fmtid="{D5CDD505-2E9C-101B-9397-08002B2CF9AE}" pid="6" name="MSIP_Label_a23f8797-30a8-459f-89b8-7d024d20a7df_SiteId">
    <vt:lpwstr>6f41eebe-f4f6-41f6-9d01-03d70104f18c</vt:lpwstr>
  </property>
  <property fmtid="{D5CDD505-2E9C-101B-9397-08002B2CF9AE}" pid="7" name="MSIP_Label_a23f8797-30a8-459f-89b8-7d024d20a7df_ActionId">
    <vt:lpwstr>b04e11d3-87cb-44a6-b3c6-79c9cac3e591</vt:lpwstr>
  </property>
  <property fmtid="{D5CDD505-2E9C-101B-9397-08002B2CF9AE}" pid="8" name="MSIP_Label_a23f8797-30a8-459f-89b8-7d024d20a7df_ContentBits">
    <vt:lpwstr>2</vt:lpwstr>
  </property>
  <property fmtid="{D5CDD505-2E9C-101B-9397-08002B2CF9AE}" pid="9" name="MSIP_Label_a23f8797-30a8-459f-89b8-7d024d20a7df_Tag">
    <vt:lpwstr>10, 0, 1, 1</vt:lpwstr>
  </property>
</Properties>
</file>