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234049" w:rsidP="009F00DA">
      <w:pPr>
        <w:pStyle w:val="a3"/>
      </w:pPr>
      <w:r>
        <w:rPr>
          <w:rFonts w:hint="eastAsia"/>
        </w:rPr>
        <w:t>易起游综合性数字平台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23404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23404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没有足够区别于已有综合性数字平台的吸引力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3404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鹏飞，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左子健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234049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234049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34049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赵建伟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234049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23404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孙艺凡</w:t>
            </w:r>
            <w:bookmarkStart w:id="0" w:name="_GoBack"/>
            <w:bookmarkEnd w:id="0"/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4049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F73E"/>
  <w15:docId w15:val="{732474FB-9E1D-45C3-8D94-C79D4ECB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艺凡</cp:lastModifiedBy>
  <cp:revision>5</cp:revision>
  <dcterms:created xsi:type="dcterms:W3CDTF">2012-09-20T02:46:00Z</dcterms:created>
  <dcterms:modified xsi:type="dcterms:W3CDTF">2019-05-05T03:10:00Z</dcterms:modified>
</cp:coreProperties>
</file>